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高阳县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关于发展商贸流通促进消费升级的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支持奖励政策（试行）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为</w:t>
      </w:r>
      <w:r>
        <w:rPr>
          <w:rFonts w:ascii="仿宋" w:hAnsi="仿宋" w:eastAsia="仿宋" w:cs="宋体"/>
          <w:kern w:val="0"/>
          <w:sz w:val="32"/>
          <w:szCs w:val="32"/>
        </w:rPr>
        <w:t>有效促进商贸流通</w:t>
      </w:r>
      <w:r>
        <w:rPr>
          <w:rFonts w:hint="eastAsia" w:ascii="仿宋" w:hAnsi="仿宋" w:eastAsia="仿宋" w:cs="宋体"/>
          <w:kern w:val="0"/>
          <w:sz w:val="32"/>
          <w:szCs w:val="32"/>
        </w:rPr>
        <w:t>企</w:t>
      </w:r>
      <w:r>
        <w:rPr>
          <w:rFonts w:ascii="仿宋" w:hAnsi="仿宋" w:eastAsia="仿宋" w:cs="宋体"/>
          <w:kern w:val="0"/>
          <w:sz w:val="32"/>
          <w:szCs w:val="32"/>
        </w:rPr>
        <w:t>业高质量发展，</w:t>
      </w:r>
      <w:r>
        <w:rPr>
          <w:rFonts w:ascii="仿宋" w:hAnsi="仿宋" w:eastAsia="仿宋" w:cs="宋体"/>
          <w:sz w:val="32"/>
          <w:szCs w:val="32"/>
        </w:rPr>
        <w:t>更好</w:t>
      </w:r>
      <w:r>
        <w:rPr>
          <w:rFonts w:hint="eastAsia" w:ascii="仿宋" w:hAnsi="仿宋" w:eastAsia="仿宋" w:cs="宋体"/>
          <w:sz w:val="32"/>
          <w:szCs w:val="32"/>
        </w:rPr>
        <w:t>地</w:t>
      </w:r>
      <w:r>
        <w:rPr>
          <w:rFonts w:ascii="仿宋" w:hAnsi="仿宋" w:eastAsia="仿宋" w:cs="宋体"/>
          <w:sz w:val="32"/>
          <w:szCs w:val="32"/>
        </w:rPr>
        <w:t>满足人民群众消费需求，</w:t>
      </w:r>
      <w:r>
        <w:rPr>
          <w:rFonts w:hint="eastAsia" w:ascii="仿宋" w:hAnsi="仿宋" w:eastAsia="仿宋" w:cs="宋体"/>
          <w:kern w:val="0"/>
          <w:sz w:val="32"/>
          <w:szCs w:val="32"/>
        </w:rPr>
        <w:t>根据</w:t>
      </w:r>
      <w:r>
        <w:rPr>
          <w:rFonts w:ascii="仿宋" w:hAnsi="仿宋" w:eastAsia="仿宋" w:cs="宋体"/>
          <w:kern w:val="0"/>
          <w:sz w:val="32"/>
          <w:szCs w:val="32"/>
        </w:rPr>
        <w:t>商务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部</w:t>
      </w:r>
      <w:r>
        <w:rPr>
          <w:rFonts w:ascii="仿宋" w:hAnsi="仿宋" w:eastAsia="仿宋" w:cs="宋体"/>
          <w:kern w:val="0"/>
          <w:sz w:val="32"/>
          <w:szCs w:val="32"/>
        </w:rPr>
        <w:t>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12</w:t>
      </w:r>
      <w:r>
        <w:rPr>
          <w:rFonts w:ascii="仿宋" w:hAnsi="仿宋" w:eastAsia="仿宋" w:cs="宋体"/>
          <w:kern w:val="0"/>
          <w:sz w:val="32"/>
          <w:szCs w:val="32"/>
        </w:rPr>
        <w:t>部门《关于</w:t>
      </w:r>
      <w:r>
        <w:rPr>
          <w:rFonts w:hint="eastAsia" w:ascii="仿宋" w:hAnsi="仿宋" w:eastAsia="仿宋" w:cs="宋体"/>
          <w:kern w:val="0"/>
          <w:sz w:val="32"/>
          <w:szCs w:val="32"/>
        </w:rPr>
        <w:t>提振</w:t>
      </w:r>
      <w:r>
        <w:rPr>
          <w:rFonts w:ascii="仿宋" w:hAnsi="仿宋" w:eastAsia="仿宋" w:cs="宋体"/>
          <w:kern w:val="0"/>
          <w:sz w:val="32"/>
          <w:szCs w:val="32"/>
        </w:rPr>
        <w:t>大宗消费重点消费</w:t>
      </w:r>
      <w:r>
        <w:rPr>
          <w:rFonts w:hint="eastAsia" w:ascii="仿宋" w:hAnsi="仿宋" w:eastAsia="仿宋" w:cs="宋体"/>
          <w:kern w:val="0"/>
          <w:sz w:val="32"/>
          <w:szCs w:val="32"/>
        </w:rPr>
        <w:t>促进</w:t>
      </w:r>
      <w:r>
        <w:rPr>
          <w:rFonts w:ascii="仿宋" w:hAnsi="仿宋" w:eastAsia="仿宋" w:cs="宋体"/>
          <w:kern w:val="0"/>
          <w:sz w:val="32"/>
          <w:szCs w:val="32"/>
        </w:rPr>
        <w:t>释放农村消费潜力若干措施》</w:t>
      </w:r>
      <w:r>
        <w:rPr>
          <w:rFonts w:hint="eastAsia" w:ascii="仿宋" w:hAnsi="仿宋" w:eastAsia="仿宋" w:cs="宋体"/>
          <w:kern w:val="0"/>
          <w:sz w:val="32"/>
          <w:szCs w:val="32"/>
        </w:rPr>
        <w:t>《关于</w:t>
      </w:r>
      <w:r>
        <w:rPr>
          <w:rFonts w:ascii="仿宋" w:hAnsi="仿宋" w:eastAsia="仿宋" w:cs="宋体"/>
          <w:kern w:val="0"/>
          <w:sz w:val="32"/>
          <w:szCs w:val="32"/>
        </w:rPr>
        <w:t>消费升级的实施方案</w:t>
      </w:r>
      <w:r>
        <w:rPr>
          <w:rFonts w:hint="eastAsia" w:ascii="仿宋" w:hAnsi="仿宋" w:eastAsia="仿宋" w:cs="宋体"/>
          <w:kern w:val="0"/>
          <w:sz w:val="32"/>
          <w:szCs w:val="32"/>
        </w:rPr>
        <w:t>》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精神</w:t>
      </w:r>
      <w:r>
        <w:rPr>
          <w:rFonts w:ascii="仿宋" w:hAnsi="仿宋" w:eastAsia="仿宋" w:cs="宋体"/>
          <w:kern w:val="0"/>
          <w:sz w:val="32"/>
          <w:szCs w:val="32"/>
        </w:rPr>
        <w:t>，结合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高阳</w:t>
      </w:r>
      <w:r>
        <w:rPr>
          <w:rFonts w:ascii="仿宋" w:hAnsi="仿宋" w:eastAsia="仿宋" w:cs="宋体"/>
          <w:kern w:val="0"/>
          <w:sz w:val="32"/>
          <w:szCs w:val="32"/>
        </w:rPr>
        <w:t>实际，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特</w:t>
      </w:r>
      <w:r>
        <w:rPr>
          <w:rFonts w:hint="eastAsia" w:ascii="仿宋" w:hAnsi="仿宋" w:eastAsia="仿宋" w:cs="宋体"/>
          <w:kern w:val="0"/>
          <w:sz w:val="32"/>
          <w:szCs w:val="32"/>
        </w:rPr>
        <w:t>制定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本政策。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</w:t>
      </w:r>
      <w:r>
        <w:rPr>
          <w:rFonts w:ascii="黑体" w:hAnsi="黑体" w:eastAsia="黑体" w:cs="宋体"/>
          <w:kern w:val="0"/>
          <w:sz w:val="32"/>
          <w:szCs w:val="32"/>
        </w:rPr>
        <w:t>、适用范围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第一条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高阳县域内</w:t>
      </w:r>
      <w:r>
        <w:rPr>
          <w:rFonts w:ascii="仿宋" w:hAnsi="仿宋" w:eastAsia="仿宋" w:cs="宋体"/>
          <w:kern w:val="0"/>
          <w:sz w:val="32"/>
          <w:szCs w:val="32"/>
        </w:rPr>
        <w:t>登记注册的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批发、零售、住宿、餐饮等</w:t>
      </w:r>
      <w:r>
        <w:rPr>
          <w:rFonts w:ascii="仿宋" w:hAnsi="仿宋" w:eastAsia="仿宋" w:cs="宋体"/>
          <w:kern w:val="0"/>
          <w:sz w:val="32"/>
          <w:szCs w:val="32"/>
        </w:rPr>
        <w:t>商贸流通企业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</w:t>
      </w:r>
      <w:r>
        <w:rPr>
          <w:rFonts w:ascii="黑体" w:hAnsi="黑体" w:eastAsia="黑体" w:cs="宋体"/>
          <w:kern w:val="0"/>
          <w:sz w:val="32"/>
          <w:szCs w:val="32"/>
        </w:rPr>
        <w:t>、</w:t>
      </w:r>
      <w:r>
        <w:rPr>
          <w:rFonts w:hint="eastAsia" w:ascii="黑体" w:hAnsi="黑体" w:eastAsia="黑体" w:cs="宋体"/>
          <w:kern w:val="0"/>
          <w:sz w:val="32"/>
          <w:szCs w:val="32"/>
        </w:rPr>
        <w:t>政策措施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第二条 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持续释放旅发大会多重效应，</w:t>
      </w:r>
      <w:r>
        <w:rPr>
          <w:rFonts w:ascii="仿宋" w:hAnsi="仿宋" w:eastAsia="仿宋" w:cs="宋体"/>
          <w:kern w:val="0"/>
          <w:sz w:val="32"/>
          <w:szCs w:val="32"/>
        </w:rPr>
        <w:t>深入挖掘高阳民俗文化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加</w:t>
      </w:r>
      <w:r>
        <w:rPr>
          <w:rFonts w:ascii="仿宋" w:hAnsi="仿宋" w:eastAsia="仿宋" w:cs="宋体"/>
          <w:kern w:val="0"/>
          <w:sz w:val="32"/>
          <w:szCs w:val="32"/>
        </w:rPr>
        <w:t>快发展红色游、生态游、产业游以及旅游会展等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新模式新业态。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对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先期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入驻巾巾乐道产业育城中心和纺客奥莱风情街的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企业（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商户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，通过减租、免租、免检等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各种途径予以奖励扶持。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第三条 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支持鼓励本地批零住餐企业加盟引进高端品牌连锁店，提升城市形象。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支持</w:t>
      </w:r>
      <w:r>
        <w:rPr>
          <w:rFonts w:ascii="仿宋" w:hAnsi="仿宋" w:eastAsia="仿宋" w:cs="宋体"/>
          <w:kern w:val="0"/>
          <w:sz w:val="32"/>
          <w:szCs w:val="32"/>
        </w:rPr>
        <w:t>大型商超向商业综合体转型，引导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基础设施较为完善的</w:t>
      </w:r>
      <w:r>
        <w:rPr>
          <w:rFonts w:ascii="仿宋" w:hAnsi="仿宋" w:eastAsia="仿宋" w:cs="宋体"/>
          <w:kern w:val="0"/>
          <w:sz w:val="32"/>
          <w:szCs w:val="32"/>
        </w:rPr>
        <w:t>传统住宿、餐饮服务业提档升级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对依法经营、信用良好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且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在解决就业和保障民生方面做出较大贡献的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商贸流通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企业，由商务局每年组织进行评选审核，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授予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“诚信经营示范企业”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“流通行业先进单位”“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促消费稳增长优秀企业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”等荣誉称号，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对批发、零售、住餐各个行业前3名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分别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给予5万元、3万元、2万元的奖励。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第四条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支持产业互联网建设，积极促进商贸流通企业开展“互联网+”建设，努力打造“互联网+商贸”的流通新模式，积极推进商贸流通在</w:t>
      </w:r>
      <w:r>
        <w:rPr>
          <w:rFonts w:ascii="仿宋" w:hAnsi="仿宋" w:eastAsia="仿宋" w:cs="宋体"/>
          <w:kern w:val="0"/>
          <w:sz w:val="32"/>
          <w:szCs w:val="32"/>
        </w:rPr>
        <w:t>第三方电商平台开展“互联网+”业务。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对</w:t>
      </w:r>
      <w:r>
        <w:rPr>
          <w:rFonts w:hint="eastAsia" w:ascii="仿宋" w:hAnsi="仿宋" w:eastAsia="仿宋" w:cs="宋体"/>
          <w:kern w:val="0"/>
          <w:sz w:val="32"/>
          <w:szCs w:val="32"/>
        </w:rPr>
        <w:t>经</w:t>
      </w:r>
      <w:r>
        <w:rPr>
          <w:rFonts w:ascii="仿宋" w:hAnsi="仿宋" w:eastAsia="仿宋" w:cs="宋体"/>
          <w:kern w:val="0"/>
          <w:sz w:val="32"/>
          <w:szCs w:val="32"/>
        </w:rPr>
        <w:t>商务部门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审核认定</w:t>
      </w:r>
      <w:r>
        <w:rPr>
          <w:rFonts w:ascii="仿宋" w:hAnsi="仿宋" w:eastAsia="仿宋" w:cs="宋体"/>
          <w:kern w:val="0"/>
          <w:sz w:val="32"/>
          <w:szCs w:val="32"/>
        </w:rPr>
        <w:t>，获得国家级、省级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、市级</w:t>
      </w:r>
      <w:r>
        <w:rPr>
          <w:rFonts w:ascii="仿宋" w:hAnsi="仿宋" w:eastAsia="仿宋" w:cs="宋体"/>
          <w:kern w:val="0"/>
          <w:sz w:val="32"/>
          <w:szCs w:val="32"/>
        </w:rPr>
        <w:t>电子商务示范企业（</w:t>
      </w:r>
      <w:r>
        <w:rPr>
          <w:rFonts w:hint="eastAsia" w:ascii="仿宋" w:hAnsi="仿宋" w:eastAsia="仿宋" w:cs="宋体"/>
          <w:kern w:val="0"/>
          <w:sz w:val="32"/>
          <w:szCs w:val="32"/>
        </w:rPr>
        <w:t>平台</w:t>
      </w:r>
      <w:r>
        <w:rPr>
          <w:rFonts w:ascii="仿宋" w:hAnsi="仿宋" w:eastAsia="仿宋" w:cs="宋体"/>
          <w:kern w:val="0"/>
          <w:sz w:val="32"/>
          <w:szCs w:val="32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称号</w:t>
      </w:r>
      <w:r>
        <w:rPr>
          <w:rFonts w:ascii="仿宋" w:hAnsi="仿宋" w:eastAsia="仿宋" w:cs="宋体"/>
          <w:kern w:val="0"/>
          <w:sz w:val="32"/>
          <w:szCs w:val="32"/>
        </w:rPr>
        <w:t>的企业，分别给予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</w:t>
      </w:r>
      <w:r>
        <w:rPr>
          <w:rFonts w:ascii="仿宋" w:hAnsi="仿宋" w:eastAsia="仿宋" w:cs="宋体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  <w:r>
        <w:rPr>
          <w:rFonts w:ascii="仿宋" w:hAnsi="仿宋" w:eastAsia="仿宋" w:cs="宋体"/>
          <w:kern w:val="0"/>
          <w:sz w:val="32"/>
          <w:szCs w:val="32"/>
        </w:rPr>
        <w:t>万元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1万元</w:t>
      </w:r>
      <w:r>
        <w:rPr>
          <w:rFonts w:ascii="仿宋" w:hAnsi="仿宋" w:eastAsia="仿宋" w:cs="宋体"/>
          <w:kern w:val="0"/>
          <w:sz w:val="32"/>
          <w:szCs w:val="32"/>
        </w:rPr>
        <w:t>的奖励。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组织开展“年度网红”和“直播销量冠军”评选活动，在高阳毛巾节、农民丰收节等重大活动中予以宣传推介。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第五条 </w:t>
      </w:r>
      <w:r>
        <w:rPr>
          <w:rFonts w:ascii="仿宋" w:hAnsi="仿宋" w:eastAsia="仿宋" w:cs="宋体"/>
          <w:kern w:val="0"/>
          <w:sz w:val="32"/>
          <w:szCs w:val="32"/>
        </w:rPr>
        <w:t>依托国际纺客风情园、大世界购物中心、中央步行街等夜经济核心聚集区，打造丰富多彩的夜间消费空间。鼓励主要商圈和特色商业街适当延长营业时间，开设深夜营业专区，满足群众购物、休闲、娱乐等全方位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消费</w:t>
      </w:r>
      <w:r>
        <w:rPr>
          <w:rFonts w:ascii="仿宋" w:hAnsi="仿宋" w:eastAsia="仿宋" w:cs="宋体"/>
          <w:kern w:val="0"/>
          <w:sz w:val="32"/>
          <w:szCs w:val="32"/>
        </w:rPr>
        <w:t>需求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  <w:r>
        <w:rPr>
          <w:rFonts w:ascii="仿宋" w:hAnsi="仿宋" w:eastAsia="仿宋" w:cs="宋体"/>
          <w:kern w:val="0"/>
          <w:sz w:val="32"/>
          <w:szCs w:val="32"/>
        </w:rPr>
        <w:t>鼓励开展促销活动，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积极组织</w:t>
      </w:r>
      <w:r>
        <w:rPr>
          <w:rFonts w:ascii="仿宋" w:hAnsi="仿宋" w:eastAsia="仿宋" w:cs="宋体"/>
          <w:kern w:val="0"/>
          <w:sz w:val="32"/>
          <w:szCs w:val="32"/>
        </w:rPr>
        <w:t>大型商贸流通企业开展团购惠民、购物送礼、发放抵扣券、积分返利等让利活动，扩大内需，拉动消费。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-SA"/>
        </w:rPr>
        <w:t xml:space="preserve">第六条 </w:t>
      </w:r>
      <w:r>
        <w:rPr>
          <w:rFonts w:ascii="仿宋" w:hAnsi="仿宋" w:eastAsia="仿宋" w:cs="宋体"/>
          <w:kern w:val="0"/>
          <w:sz w:val="32"/>
          <w:szCs w:val="32"/>
        </w:rPr>
        <w:t>鼓励企业参与各种展会活动，</w:t>
      </w:r>
      <w:r>
        <w:rPr>
          <w:rFonts w:ascii="仿宋" w:hAnsi="仿宋" w:eastAsia="仿宋" w:cs="宋体"/>
          <w:kern w:val="0"/>
          <w:sz w:val="32"/>
          <w:szCs w:val="32"/>
          <w:lang w:val="en-US" w:eastAsia="zh-CN" w:bidi="ar-SA"/>
        </w:rPr>
        <w:t>通过展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  <w:t>会拓展</w:t>
      </w:r>
      <w:r>
        <w:rPr>
          <w:rFonts w:ascii="仿宋" w:hAnsi="仿宋" w:eastAsia="仿宋" w:cs="宋体"/>
          <w:kern w:val="0"/>
          <w:sz w:val="32"/>
          <w:szCs w:val="32"/>
        </w:rPr>
        <w:t>发展思路，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抢滩产品市场。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  <w:t>对高端高新、特色鲜明、带动力强的优质企业，优先保障展位供应。</w:t>
      </w:r>
      <w:r>
        <w:rPr>
          <w:rFonts w:hint="eastAsia" w:ascii="仿宋" w:hAnsi="仿宋" w:eastAsia="仿宋" w:cs="宋体"/>
          <w:kern w:val="0"/>
          <w:sz w:val="32"/>
          <w:szCs w:val="32"/>
        </w:rPr>
        <w:t>由</w:t>
      </w:r>
      <w:r>
        <w:rPr>
          <w:rFonts w:ascii="仿宋" w:hAnsi="仿宋" w:eastAsia="仿宋" w:cs="宋体"/>
          <w:kern w:val="0"/>
          <w:sz w:val="32"/>
          <w:szCs w:val="32"/>
        </w:rPr>
        <w:t>商务部门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农业农村部门</w:t>
      </w:r>
      <w:r>
        <w:rPr>
          <w:rFonts w:ascii="仿宋" w:hAnsi="仿宋" w:eastAsia="仿宋" w:cs="宋体"/>
          <w:kern w:val="0"/>
          <w:sz w:val="32"/>
          <w:szCs w:val="32"/>
        </w:rPr>
        <w:t>组织推荐参加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国际、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国内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知名展会的</w:t>
      </w:r>
      <w:r>
        <w:rPr>
          <w:rFonts w:ascii="仿宋" w:hAnsi="仿宋" w:eastAsia="仿宋" w:cs="宋体"/>
          <w:kern w:val="0"/>
          <w:sz w:val="32"/>
          <w:szCs w:val="32"/>
        </w:rPr>
        <w:t>，对每个</w:t>
      </w:r>
      <w:r>
        <w:rPr>
          <w:rFonts w:hint="eastAsia" w:ascii="仿宋" w:hAnsi="仿宋" w:eastAsia="仿宋" w:cs="宋体"/>
          <w:kern w:val="0"/>
          <w:sz w:val="32"/>
          <w:szCs w:val="32"/>
        </w:rPr>
        <w:t>展</w:t>
      </w:r>
      <w:r>
        <w:rPr>
          <w:rFonts w:ascii="仿宋" w:hAnsi="仿宋" w:eastAsia="仿宋" w:cs="宋体"/>
          <w:kern w:val="0"/>
          <w:sz w:val="32"/>
          <w:szCs w:val="32"/>
        </w:rPr>
        <w:t>位给予</w:t>
      </w:r>
      <w:r>
        <w:rPr>
          <w:rFonts w:hint="eastAsia" w:ascii="仿宋" w:hAnsi="仿宋" w:eastAsia="仿宋" w:cs="宋体"/>
          <w:kern w:val="0"/>
          <w:sz w:val="32"/>
          <w:szCs w:val="32"/>
        </w:rPr>
        <w:t>2000元</w:t>
      </w:r>
      <w:r>
        <w:rPr>
          <w:rFonts w:ascii="仿宋" w:hAnsi="仿宋" w:eastAsia="仿宋" w:cs="宋体"/>
          <w:kern w:val="0"/>
          <w:sz w:val="32"/>
          <w:szCs w:val="32"/>
        </w:rPr>
        <w:t>的资金补助。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ascii="楷体" w:hAnsi="楷体" w:eastAsia="楷体" w:cs="宋体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第七条 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推动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企业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入统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</w:t>
      </w:r>
      <w:r>
        <w:rPr>
          <w:rFonts w:ascii="仿宋" w:hAnsi="仿宋" w:eastAsia="仿宋" w:cs="宋体"/>
          <w:kern w:val="0"/>
          <w:sz w:val="32"/>
          <w:szCs w:val="32"/>
        </w:rPr>
        <w:t>对达到入统标准的流通企业，即年主营业务收入2000万元及以上的批发企业；年主营业务收入500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万元及以上的</w:t>
      </w:r>
      <w:r>
        <w:rPr>
          <w:rFonts w:ascii="仿宋" w:hAnsi="仿宋" w:eastAsia="仿宋" w:cs="宋体"/>
          <w:kern w:val="0"/>
          <w:sz w:val="32"/>
          <w:szCs w:val="32"/>
        </w:rPr>
        <w:t>零售企业；年主营业务收入200万元及以上的餐饮住宿企业，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在</w:t>
      </w:r>
      <w:r>
        <w:rPr>
          <w:rFonts w:ascii="仿宋" w:hAnsi="仿宋" w:eastAsia="仿宋" w:cs="宋体"/>
          <w:kern w:val="0"/>
          <w:sz w:val="32"/>
          <w:szCs w:val="32"/>
        </w:rPr>
        <w:t>初次入统时，每个企业予以一次性奖励5万元。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入统后，</w:t>
      </w:r>
      <w:r>
        <w:rPr>
          <w:rFonts w:ascii="仿宋" w:hAnsi="仿宋" w:eastAsia="仿宋" w:cs="宋体"/>
          <w:kern w:val="0"/>
          <w:sz w:val="32"/>
          <w:szCs w:val="32"/>
        </w:rPr>
        <w:t>连续两年主营业务收入持续增长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的成长型企业</w:t>
      </w:r>
      <w:r>
        <w:rPr>
          <w:rFonts w:ascii="仿宋" w:hAnsi="仿宋" w:eastAsia="仿宋" w:cs="宋体"/>
          <w:kern w:val="0"/>
          <w:sz w:val="32"/>
          <w:szCs w:val="32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经商务部门组织认定后，</w:t>
      </w:r>
      <w:r>
        <w:rPr>
          <w:rFonts w:ascii="仿宋" w:hAnsi="仿宋" w:eastAsia="仿宋" w:cs="宋体"/>
          <w:kern w:val="0"/>
          <w:sz w:val="32"/>
          <w:szCs w:val="32"/>
        </w:rPr>
        <w:t>奖励1万元。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</w:t>
      </w:r>
      <w:r>
        <w:rPr>
          <w:rFonts w:ascii="黑体" w:hAnsi="黑体" w:eastAsia="黑体" w:cs="宋体"/>
          <w:kern w:val="0"/>
          <w:sz w:val="32"/>
          <w:szCs w:val="32"/>
        </w:rPr>
        <w:t>、</w:t>
      </w:r>
      <w:r>
        <w:rPr>
          <w:rFonts w:hint="eastAsia" w:ascii="黑体" w:hAnsi="黑体" w:eastAsia="黑体" w:cs="宋体"/>
          <w:kern w:val="0"/>
          <w:sz w:val="32"/>
          <w:szCs w:val="32"/>
        </w:rPr>
        <w:t>组织保障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第八条 加强组织领导。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明确任务目标，认真谋划、周密部署，发展商贸流通促进消费升级。建立工作清单和动态管理制度，常抓不懈，巩固成果，促进我县商贸流通业快速迅猛发展。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第九条 加强跟踪服务。</w:t>
      </w:r>
      <w:r>
        <w:rPr>
          <w:rFonts w:hint="eastAsia" w:ascii="仿宋" w:hAnsi="仿宋" w:eastAsia="仿宋" w:cs="Times New Roman"/>
          <w:sz w:val="32"/>
          <w:szCs w:val="32"/>
        </w:rPr>
        <w:t>加强对商贸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流通</w:t>
      </w:r>
      <w:r>
        <w:rPr>
          <w:rFonts w:hint="eastAsia" w:ascii="仿宋" w:hAnsi="仿宋" w:eastAsia="仿宋" w:cs="Times New Roman"/>
          <w:sz w:val="32"/>
          <w:szCs w:val="32"/>
        </w:rPr>
        <w:t>企业的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分析调度</w:t>
      </w:r>
      <w:r>
        <w:rPr>
          <w:rFonts w:hint="eastAsia" w:ascii="仿宋" w:hAnsi="仿宋" w:eastAsia="仿宋" w:cs="Times New Roman"/>
          <w:sz w:val="32"/>
          <w:szCs w:val="32"/>
        </w:rPr>
        <w:t>和沟通协调，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组织相关监管执法部门</w:t>
      </w:r>
      <w:r>
        <w:rPr>
          <w:rFonts w:hint="eastAsia" w:ascii="仿宋" w:hAnsi="仿宋" w:eastAsia="仿宋" w:cs="Times New Roman"/>
          <w:sz w:val="32"/>
          <w:szCs w:val="32"/>
        </w:rPr>
        <w:t>，为企业做好支持服务、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保障</w:t>
      </w:r>
      <w:r>
        <w:rPr>
          <w:rFonts w:hint="eastAsia" w:ascii="仿宋" w:hAnsi="仿宋" w:eastAsia="仿宋" w:cs="Times New Roman"/>
          <w:sz w:val="32"/>
          <w:szCs w:val="32"/>
        </w:rPr>
        <w:t>工作，及时发现问题，解决问题，总结经验。通过与企业的密切沟通联系，确保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企业持续健康发展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第十条 加强宣传引导。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充分</w:t>
      </w:r>
      <w:r>
        <w:rPr>
          <w:rFonts w:hint="eastAsia" w:ascii="仿宋" w:hAnsi="仿宋" w:eastAsia="仿宋" w:cs="Times New Roman"/>
          <w:sz w:val="32"/>
          <w:szCs w:val="32"/>
        </w:rPr>
        <w:t>发挥广播电视、报纸、户外广告等传统媒体和网络、移动终端、微信等新媒体的作用，大力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宣传推介高阳商贸文化，</w:t>
      </w:r>
      <w:r>
        <w:rPr>
          <w:rFonts w:hint="eastAsia" w:ascii="仿宋" w:hAnsi="仿宋" w:eastAsia="仿宋" w:cs="Times New Roman"/>
          <w:sz w:val="32"/>
          <w:szCs w:val="32"/>
        </w:rPr>
        <w:t>营造红火、热闹、有序、安全的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经营</w:t>
      </w:r>
      <w:r>
        <w:rPr>
          <w:rFonts w:hint="eastAsia" w:ascii="仿宋" w:hAnsi="仿宋" w:eastAsia="仿宋" w:cs="Times New Roman"/>
          <w:sz w:val="32"/>
          <w:szCs w:val="32"/>
        </w:rPr>
        <w:t>氛围，</w:t>
      </w:r>
      <w:r>
        <w:rPr>
          <w:rFonts w:ascii="仿宋" w:hAnsi="仿宋" w:eastAsia="仿宋" w:cs="Times New Roman"/>
          <w:sz w:val="32"/>
          <w:szCs w:val="32"/>
        </w:rPr>
        <w:t>营造促进和保障商贸流通业发展的良好氛围。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第十一条 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本政策由县发改局（商务局）负责解释，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自印发之日起实施，有效期二年。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both"/>
        <w:textAlignment w:val="auto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87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9E"/>
    <w:rsid w:val="00106550"/>
    <w:rsid w:val="00125C98"/>
    <w:rsid w:val="00195D46"/>
    <w:rsid w:val="001967A4"/>
    <w:rsid w:val="00271798"/>
    <w:rsid w:val="003868C7"/>
    <w:rsid w:val="003D02D2"/>
    <w:rsid w:val="00450C8E"/>
    <w:rsid w:val="004A24D7"/>
    <w:rsid w:val="004D2314"/>
    <w:rsid w:val="00510D0E"/>
    <w:rsid w:val="00575476"/>
    <w:rsid w:val="006D0B77"/>
    <w:rsid w:val="007539F7"/>
    <w:rsid w:val="00753C77"/>
    <w:rsid w:val="00754E68"/>
    <w:rsid w:val="007A61D3"/>
    <w:rsid w:val="007A6929"/>
    <w:rsid w:val="007B01D9"/>
    <w:rsid w:val="00812541"/>
    <w:rsid w:val="008934C4"/>
    <w:rsid w:val="008A71DC"/>
    <w:rsid w:val="009361CE"/>
    <w:rsid w:val="009F1443"/>
    <w:rsid w:val="00AB61C6"/>
    <w:rsid w:val="00B66B9E"/>
    <w:rsid w:val="00B82C37"/>
    <w:rsid w:val="00C23374"/>
    <w:rsid w:val="00CC703C"/>
    <w:rsid w:val="00FB0A4A"/>
    <w:rsid w:val="03F40ED9"/>
    <w:rsid w:val="054D0309"/>
    <w:rsid w:val="08867CE3"/>
    <w:rsid w:val="098863B9"/>
    <w:rsid w:val="09A40B6E"/>
    <w:rsid w:val="09EE02E8"/>
    <w:rsid w:val="10577B5E"/>
    <w:rsid w:val="107A599E"/>
    <w:rsid w:val="1182036D"/>
    <w:rsid w:val="14621791"/>
    <w:rsid w:val="18B13044"/>
    <w:rsid w:val="1A21131F"/>
    <w:rsid w:val="211D2991"/>
    <w:rsid w:val="22034521"/>
    <w:rsid w:val="22B85889"/>
    <w:rsid w:val="243F4EDD"/>
    <w:rsid w:val="26C7016F"/>
    <w:rsid w:val="281A302E"/>
    <w:rsid w:val="296F77A3"/>
    <w:rsid w:val="2A5941BB"/>
    <w:rsid w:val="2B322A91"/>
    <w:rsid w:val="2C704923"/>
    <w:rsid w:val="30603A0C"/>
    <w:rsid w:val="31C832ED"/>
    <w:rsid w:val="32AB00A3"/>
    <w:rsid w:val="343A514F"/>
    <w:rsid w:val="36F31241"/>
    <w:rsid w:val="379E73FF"/>
    <w:rsid w:val="3AE1237A"/>
    <w:rsid w:val="3B6374EE"/>
    <w:rsid w:val="3D2E4D81"/>
    <w:rsid w:val="40416B7A"/>
    <w:rsid w:val="41EC62E1"/>
    <w:rsid w:val="43E176CD"/>
    <w:rsid w:val="481954D5"/>
    <w:rsid w:val="4C9A56CB"/>
    <w:rsid w:val="4DA704B6"/>
    <w:rsid w:val="4EF86F9D"/>
    <w:rsid w:val="52DF026D"/>
    <w:rsid w:val="54DD4771"/>
    <w:rsid w:val="55363849"/>
    <w:rsid w:val="558130EE"/>
    <w:rsid w:val="56313593"/>
    <w:rsid w:val="58DD389F"/>
    <w:rsid w:val="58F16656"/>
    <w:rsid w:val="58F81877"/>
    <w:rsid w:val="5B4C3754"/>
    <w:rsid w:val="604C0F73"/>
    <w:rsid w:val="6133200A"/>
    <w:rsid w:val="61DD7759"/>
    <w:rsid w:val="65300296"/>
    <w:rsid w:val="66FA66E2"/>
    <w:rsid w:val="68DD5379"/>
    <w:rsid w:val="6D9B6614"/>
    <w:rsid w:val="6FC50CC6"/>
    <w:rsid w:val="72236F1C"/>
    <w:rsid w:val="74034659"/>
    <w:rsid w:val="750D2D5A"/>
    <w:rsid w:val="751E3441"/>
    <w:rsid w:val="784B6F86"/>
    <w:rsid w:val="786C6182"/>
    <w:rsid w:val="7BD13EB1"/>
    <w:rsid w:val="7DC31279"/>
    <w:rsid w:val="7EA64458"/>
    <w:rsid w:val="7F17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 w:val="32"/>
      <w:szCs w:val="3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semiHidden/>
    <w:unhideWhenUsed/>
    <w:qFormat/>
    <w:uiPriority w:val="99"/>
    <w:rPr>
      <w:color w:val="576B95"/>
      <w:u w:val="none"/>
    </w:rPr>
  </w:style>
  <w:style w:type="character" w:styleId="9">
    <w:name w:val="Hyperlink"/>
    <w:basedOn w:val="7"/>
    <w:semiHidden/>
    <w:unhideWhenUsed/>
    <w:qFormat/>
    <w:uiPriority w:val="99"/>
    <w:rPr>
      <w:color w:val="576B95"/>
      <w:u w:val="non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img_bg_cov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299</Words>
  <Characters>1709</Characters>
  <Lines>14</Lines>
  <Paragraphs>4</Paragraphs>
  <TotalTime>3</TotalTime>
  <ScaleCrop>false</ScaleCrop>
  <LinksUpToDate>false</LinksUpToDate>
  <CharactersWithSpaces>2004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2021-11-22T11:51:00Z</dcterms:created>
  <dc:creator>Administrator</dc:creator>
  <cp:lastModifiedBy>Administrator</cp:lastModifiedBy>
  <cp:lastPrinted>2021-12-17T07:48:00Z</cp:lastPrinted>
  <dcterms:modified xsi:type="dcterms:W3CDTF">2021-12-17T08:47:46Z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DC4E195AE0F14131A1D4700B9FC9BAAD</vt:lpwstr>
  </property>
</Properties>
</file>