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黑体" w:hAnsi="黑体" w:eastAsia="黑体"/>
        </w:rPr>
      </w:pPr>
      <w:bookmarkStart w:id="0" w:name="_GoBack"/>
      <w:bookmarkEnd w:id="0"/>
      <w:r>
        <w:rPr>
          <w:rFonts w:hint="eastAsia" w:ascii="黑体" w:hAnsi="黑体" w:eastAsia="黑体"/>
        </w:rPr>
        <w:t>高阳县交通运输局权责清单事项总表</w:t>
      </w:r>
    </w:p>
    <w:p>
      <w:pPr>
        <w:autoSpaceDE w:val="0"/>
        <w:autoSpaceDN w:val="0"/>
        <w:adjustRightInd w:val="0"/>
        <w:jc w:val="center"/>
        <w:rPr>
          <w:rFonts w:ascii="黑体" w:hAnsi="黑体" w:eastAsia="黑体"/>
        </w:rPr>
      </w:pPr>
      <w:r>
        <w:rPr>
          <w:rFonts w:hint="eastAsia" w:ascii="黑体" w:hAnsi="黑体" w:eastAsia="黑体"/>
        </w:rPr>
        <w:t>（共7类、125项）</w:t>
      </w:r>
    </w:p>
    <w:p>
      <w:pPr>
        <w:autoSpaceDE w:val="0"/>
        <w:autoSpaceDN w:val="0"/>
        <w:adjustRightInd w:val="0"/>
        <w:jc w:val="left"/>
        <w:rPr>
          <w:rFonts w:ascii="黑体" w:hAnsi="黑体" w:eastAsia="黑体"/>
        </w:rPr>
      </w:pPr>
      <w:r>
        <w:rPr>
          <w:rFonts w:hint="eastAsia" w:ascii="黑体" w:hAnsi="黑体" w:eastAsia="黑体"/>
        </w:rPr>
        <w:t xml:space="preserve">单位：  高阳县交通运输局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137"/>
        <w:gridCol w:w="6640"/>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autoSpaceDE w:val="0"/>
              <w:autoSpaceDN w:val="0"/>
              <w:adjustRightInd w:val="0"/>
              <w:jc w:val="center"/>
              <w:rPr>
                <w:rFonts w:ascii="黑体" w:hAnsi="黑体" w:eastAsia="黑体"/>
              </w:rPr>
            </w:pPr>
          </w:p>
        </w:tc>
        <w:tc>
          <w:tcPr>
            <w:tcW w:w="3137"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类别及序号</w:t>
            </w:r>
          </w:p>
        </w:tc>
        <w:tc>
          <w:tcPr>
            <w:tcW w:w="6640"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项目名称及数量</w:t>
            </w:r>
          </w:p>
        </w:tc>
        <w:tc>
          <w:tcPr>
            <w:tcW w:w="2637" w:type="dxa"/>
            <w:vAlign w:val="center"/>
          </w:tcPr>
          <w:p>
            <w:pPr>
              <w:spacing w:line="600" w:lineRule="exact"/>
              <w:jc w:val="center"/>
              <w:rPr>
                <w:rFonts w:ascii="黑体" w:hAnsi="黑体" w:eastAsia="黑体"/>
              </w:rPr>
            </w:pPr>
            <w:r>
              <w:rPr>
                <w:rFonts w:hint="eastAsia" w:ascii="黑体" w:hAnsi="黑体" w:eastAsia="黑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2" w:type="dxa"/>
            <w:vAlign w:val="center"/>
          </w:tcPr>
          <w:p>
            <w:pPr>
              <w:jc w:val="center"/>
              <w:rPr>
                <w:rFonts w:ascii="仿宋_GB2312"/>
              </w:rPr>
            </w:pPr>
          </w:p>
        </w:tc>
        <w:tc>
          <w:tcPr>
            <w:tcW w:w="3137" w:type="dxa"/>
            <w:vAlign w:val="center"/>
          </w:tcPr>
          <w:p>
            <w:pPr>
              <w:spacing w:line="600" w:lineRule="exact"/>
              <w:jc w:val="center"/>
              <w:rPr>
                <w:rFonts w:ascii="仿宋_GB2312"/>
              </w:rPr>
            </w:pPr>
            <w:r>
              <w:rPr>
                <w:rFonts w:hint="eastAsia" w:ascii="仿宋_GB2312"/>
              </w:rPr>
              <w:t>一、行政检查</w:t>
            </w:r>
          </w:p>
        </w:tc>
        <w:tc>
          <w:tcPr>
            <w:tcW w:w="6640" w:type="dxa"/>
            <w:vAlign w:val="center"/>
          </w:tcPr>
          <w:p>
            <w:pPr>
              <w:spacing w:line="600" w:lineRule="exact"/>
              <w:jc w:val="center"/>
              <w:rPr>
                <w:rFonts w:ascii="仿宋_GB2312"/>
              </w:rPr>
            </w:pPr>
            <w:r>
              <w:rPr>
                <w:rFonts w:hint="eastAsia" w:ascii="仿宋_GB2312"/>
              </w:rPr>
              <w:t>共14项</w:t>
            </w:r>
          </w:p>
        </w:tc>
        <w:tc>
          <w:tcPr>
            <w:tcW w:w="2637"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2" w:type="dxa"/>
            <w:vAlign w:val="center"/>
          </w:tcPr>
          <w:p>
            <w:pPr>
              <w:numPr>
                <w:ilvl w:val="0"/>
                <w:numId w:val="1"/>
              </w:numPr>
              <w:ind w:left="640" w:firstLine="0"/>
              <w:jc w:val="center"/>
              <w:rPr>
                <w:rFonts w:ascii="仿宋_GB2312"/>
              </w:rPr>
            </w:pPr>
          </w:p>
        </w:tc>
        <w:tc>
          <w:tcPr>
            <w:tcW w:w="3137" w:type="dxa"/>
            <w:vAlign w:val="center"/>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对各种侵占、损坏公路、公路用地、公路附属设施及其他违反路政管理的行为的监督检查</w:t>
            </w:r>
          </w:p>
        </w:tc>
        <w:tc>
          <w:tcPr>
            <w:tcW w:w="2637"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numPr>
                <w:ilvl w:val="0"/>
                <w:numId w:val="1"/>
              </w:numPr>
              <w:ind w:left="640" w:firstLine="0"/>
              <w:jc w:val="center"/>
              <w:rPr>
                <w:rFonts w:ascii="仿宋_GB2312"/>
              </w:rPr>
            </w:pPr>
          </w:p>
        </w:tc>
        <w:tc>
          <w:tcPr>
            <w:tcW w:w="3137" w:type="dxa"/>
            <w:vAlign w:val="center"/>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对道路客运、客运站经营活动实施监督检查</w:t>
            </w:r>
          </w:p>
        </w:tc>
        <w:tc>
          <w:tcPr>
            <w:tcW w:w="2637"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352" w:type="dxa"/>
            <w:vAlign w:val="center"/>
          </w:tcPr>
          <w:p>
            <w:pPr>
              <w:numPr>
                <w:ilvl w:val="0"/>
                <w:numId w:val="1"/>
              </w:numPr>
              <w:ind w:left="640" w:firstLine="0"/>
              <w:jc w:val="center"/>
              <w:rPr>
                <w:rFonts w:ascii="仿宋_GB2312"/>
              </w:rPr>
            </w:pPr>
          </w:p>
        </w:tc>
        <w:tc>
          <w:tcPr>
            <w:tcW w:w="3137" w:type="dxa"/>
            <w:vAlign w:val="center"/>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对道路货物运输经营和货运站经营活动的监督检查</w:t>
            </w:r>
          </w:p>
        </w:tc>
        <w:tc>
          <w:tcPr>
            <w:tcW w:w="2637"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对道路危险货物运输企业或者单位进行现场检查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对机动车维修经营活动的监督检查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对机动车驾驶员培训经营活动的监督检查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对道路运输企业动态监控工作的情况进行监督</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对道路运输车辆的技术管理进行监督检查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autoSpaceDN w:val="0"/>
              <w:spacing w:line="360" w:lineRule="exact"/>
              <w:jc w:val="center"/>
              <w:textAlignment w:val="center"/>
              <w:rPr>
                <w:rFonts w:ascii="仿宋_GB2312" w:hAnsi="仿宋_GB2312" w:cs="仿宋_GB2312"/>
                <w:color w:val="000000"/>
                <w:sz w:val="28"/>
                <w:szCs w:val="28"/>
              </w:rPr>
            </w:pPr>
            <w:r>
              <w:rPr>
                <w:rFonts w:hint="eastAsia" w:ascii="仿宋_GB2312" w:hAnsi="仿宋_GB2312" w:cs="仿宋_GB2312"/>
                <w:color w:val="000000"/>
                <w:sz w:val="28"/>
                <w:szCs w:val="28"/>
              </w:rPr>
              <w:t>对城市公共汽电车客运监督检查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对巡游出租汽车市场监督检查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网络预约出租汽车市场监督检查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汽车租赁行业监督检查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对公路工程质量监督</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numPr>
                <w:ilvl w:val="0"/>
                <w:numId w:val="2"/>
              </w:numPr>
              <w:spacing w:line="600" w:lineRule="exact"/>
              <w:jc w:val="center"/>
              <w:rPr>
                <w:rFonts w:ascii="仿宋_GB2312"/>
              </w:rPr>
            </w:pP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公路建设工程安全生产检查</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rPr>
                <w:rFonts w:ascii="仿宋_GB2312"/>
              </w:rPr>
            </w:pPr>
          </w:p>
        </w:tc>
        <w:tc>
          <w:tcPr>
            <w:tcW w:w="3137" w:type="dxa"/>
          </w:tcPr>
          <w:p>
            <w:pPr>
              <w:tabs>
                <w:tab w:val="left" w:pos="0"/>
              </w:tabs>
              <w:spacing w:line="600" w:lineRule="exact"/>
              <w:jc w:val="center"/>
              <w:rPr>
                <w:rFonts w:ascii="仿宋_GB2312"/>
              </w:rPr>
            </w:pPr>
            <w:r>
              <w:rPr>
                <w:rFonts w:hint="eastAsia" w:ascii="仿宋_GB2312"/>
              </w:rPr>
              <w:t>二、行政处罚</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共87项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擅自在公路上设卡、收费的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未经有关交通主管部门批准擅自施工的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从事危及公路安全的作业；损坏、擅自移动、涂改、遮挡公路附属设施或者损坏、挪动建筑控制区的标桩、界桩，可能危及公路安全的；利用公路附属设施架设管道、悬挂物品等可能危及公路安全的行为；涉路工程设施影响公路完好、安全和畅通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造成公路路面损坏、污染或者影响公路畅通的，或者将公路作为试车场地的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造成公路损坏，未报告的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未经批准在公路用地范围内设置公路标志以外的其他标志的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未经批准在公路上增设平面交叉道口的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在公路建筑控制区内修建建筑物、地面构筑物或者擅自埋设管线、电缆等设施的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在公路建筑控制区外修建的建筑物、地面构筑物以及其他设施遮挡公路标志或者妨碍安全视距的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利用公路桥梁进行牵拉、吊装等危及公路桥梁安全的施工作业；利用公路桥梁(含桥下空间)、公路隧道、涵洞堆放物品，搭建设施以及铺设高压电线和输送易燃、易爆或者其他有毒有害气体、液体管道的处罚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损坏、擅自移动、涂改、遮挡公路附属设施或者利用公路附属设施架设管道、悬挂物品，可能危及公路安全的；涉路工程设施影响公路完好、安全和畅通的。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未经批准更新采伐护路林的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未经许可进行涉路施工活动的处罚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在公路上行驶的车辆，车货总体的外廓尺寸、轴荷或者总质量超过公路、公路桥梁、公路隧道、汽车渡船限定标准的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对1年内违法超限运输超过3次的货运车辆；道路运输企业1年内违法超限运输的货运车辆超过本单位货运车辆总数10%的处罚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指使、强令车辆驾驶人超限运输货物的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车辆装载物触地拖行、掉落、遗洒或者飘散，造成公路路面损坏、污染的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未取得道路货物运输经营许可，擅自从事道路货物运输经营的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19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无从业资格证驾驶道路运输车辆的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未经许可擅自从事道路运输站（场）经营、机动车维修经营、机动车驾驶员培训的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非法转让、出租道路运输许可证件的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对客运经营者、危险货物运输经营者未按规定投保承运人责任险的处罚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客运经营者、货运经营者不按照规定携带车辆营运证的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不按批准的客运站点停靠或者不按规定的线路、公布的班次行驶的；强行招揽旅客、货物的；在旅客运输途中擅自变更运输车辆或者将旅客移交他人运输的；未报告原许可机关，擅自终止客运经营的；没有采取必要措施防止货物脱落、扬撒等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 xml:space="preserve">对公路养护作业单位未按照国务院交通运输主管部门规定的技术规范和操作规程进行公路养护作业的处罚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26</w:t>
            </w:r>
          </w:p>
        </w:tc>
        <w:tc>
          <w:tcPr>
            <w:tcW w:w="6640" w:type="dxa"/>
            <w:vAlign w:val="center"/>
          </w:tcPr>
          <w:p>
            <w:pPr>
              <w:spacing w:line="360" w:lineRule="exact"/>
              <w:jc w:val="center"/>
              <w:rPr>
                <w:rFonts w:ascii="仿宋_GB2312" w:hAnsi="仿宋_GB2312" w:cs="仿宋_GB2312"/>
                <w:sz w:val="28"/>
                <w:szCs w:val="28"/>
              </w:rPr>
            </w:pPr>
            <w:r>
              <w:rPr>
                <w:rFonts w:hint="eastAsia"/>
              </w:rPr>
              <w:t>对道路运输站（场）经营者允许无证经营的车辆进站从事经营活动以及超载车辆、未经安全检查的车辆出站或者无正当理由拒绝道路运输车辆进站从事经营活动的处罚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27</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对机动车维修经营者使用假冒伪劣配件维修机动车，承修已报废的机动车或者擅自改装机动车的处罚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28</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机动车维修经营者签发虚假的机动车维修合格证</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29</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驾驶员培训机构不按照规定培训或者在培训结业证书发放时弄虚作假的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30</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机动车驾驶员培训机构不严格按照规定进行培训或者在培训结业证书发放时弄虚作假的处罚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31</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对未取得巡游出租汽车经营许可，擅自从事巡游出租汽车经营活动的；起讫点均不在许可的经营区域从事巡游出租汽车经营活动的；使用未取得道路运输证的车辆，擅自从事巡游出租汽车经营活动的；使用失效、伪造、变造、被注销等无效道路运输证的车辆从事巡游出租汽车经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32</w:t>
            </w:r>
          </w:p>
        </w:tc>
        <w:tc>
          <w:tcPr>
            <w:tcW w:w="6640" w:type="dxa"/>
            <w:vAlign w:val="center"/>
          </w:tcPr>
          <w:p>
            <w:pPr>
              <w:spacing w:line="360" w:lineRule="exact"/>
              <w:jc w:val="center"/>
              <w:rPr>
                <w:rFonts w:ascii="仿宋_GB2312" w:hAnsi="仿宋_GB2312" w:cs="仿宋_GB2312"/>
                <w:sz w:val="28"/>
                <w:szCs w:val="28"/>
              </w:rPr>
            </w:pPr>
            <w:r>
              <w:rPr>
                <w:rFonts w:hint="eastAsia" w:ascii="仿宋_GB2312" w:hAnsi="仿宋_GB2312" w:cs="仿宋_GB2312"/>
                <w:sz w:val="28"/>
                <w:szCs w:val="28"/>
              </w:rPr>
              <w:t>巡游出租汽车经营者擅自暂停、终止全部或者部分巡游出租汽车经营的；出租或者擅自转让巡游出租汽车车辆经营权的；巡游出租汽车驾驶员转包经营未及时纠正的；不按照规定保证车辆技术状况良好的；不按照规定配置巡游出租汽车相关设备的；不按照规定建立并落实投诉举报制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巡游出租汽车驾驶员拒载、议价、途中甩客或者故意绕道行驶的；未经乘客同意搭载其他乘客的；不按照规定使用计程计价设备、违规收费的；不按照规定出具相应车费票据的；不按照规定携带道路运输证、从业资格证的；不按照规定使用巡游出租汽车相关设备的；接受巡游出租汽车电召任务后未履行约定的；不按照规定使用文明用语，车容车貌不符合要求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道路运输企业未使用符合标准的监控平台、监控平台未接入联网联控系统、未按规定上传道路运输车辆动态信息；未建立或者未有效执行交通违法动态信息处理制度、对驾驶员交通违法处理率低于90%；未按规定配备专职监控人员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35</w:t>
            </w:r>
          </w:p>
        </w:tc>
        <w:tc>
          <w:tcPr>
            <w:tcW w:w="6640" w:type="dxa"/>
            <w:vAlign w:val="center"/>
          </w:tcPr>
          <w:p>
            <w:pPr>
              <w:tabs>
                <w:tab w:val="left" w:pos="7937"/>
              </w:tabs>
              <w:spacing w:line="36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rPr>
              <w:t>对使用卫星定位装置出现故障不能保持在线的运输车辆从事经营活动</w:t>
            </w:r>
            <w:r>
              <w:rPr>
                <w:rFonts w:hint="eastAsia" w:ascii="仿宋_GB2312" w:hAnsi="仿宋_GB2312" w:cs="仿宋_GB2312"/>
                <w:sz w:val="28"/>
                <w:szCs w:val="28"/>
                <w:lang w:eastAsia="zh-CN"/>
              </w:rPr>
              <w:t>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对破坏卫星定位装置以及恶意人为干扰、屏蔽卫星定位装置信号的；伪造、篡改、删除车辆动态监控数据的处罚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生产经营单位未按照规定设置安全生产管理机构或者配备安全生产管理人员的；危险物品的生产、经营、储存单位以及矿山、金属冶炼、建筑施工、道路运输单位的主要负责人和安全生产管理人员未按照规定经考核合格的；未按照规定对从业人员、被派遣劳动者、实习学生进行安全生产教育和培训，或者未按照规定如实告知有关的安全生产事项的；未如实记录安全生产教育和培训情况的；未将事故隐患排查治理情况如实记录或者未向从业人员通报的；未按照规定制定生产安全事故应急救援预案或者未定期组织演练的；特种作业人员未按照规定经专门的安全作业培训并取得相应资格，上岗作业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生产经营单位生产、经营、运输、储存、使用危险物品或者处置废弃危险物品，未建立专门安全管理制度、未采取可靠的安全措施的；对重大危险源未登记建档，或者未进行评估、监控，或者未制定应急预案的；进行爆破、吊装以及国务院安全生产监督管理部门会同国务院有关部门规定的其他危险作业，未安排专门人员进行现场安全管理的；未建立事故隐患排查治理制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39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生产经营单位未采取措施消除事故隐患的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生产经营单位与从业人员订立协议，免除或者减轻其对从业人员因生产安全事故伤亡依法应承担的责任的，该协议无效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客运经营者或者其委托的售票单位、客运站经营者不按规定使用道路运输业专用票证或者转让、倒卖、伪造道路运输业专用票证的</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对使用无《道路运输证》的车辆参加客、货运经营的处罚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客运经营者或者其委托的售票单位、客运站经营者不按规定使用道路运输业专用票证或者转让、倒卖、伪造道路运输业专用票证的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对一类、二类客运班线经营者或者其委托的售票单位、客运站经营者未按规定对旅客身份进行查验，或者对身份不明、拒绝提供身份信息的旅客提供服务的处罚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加班车、顶班车、接驳车无正当理由不按规定的线路、站点运行的；客运包车未持有效的包车客运标志牌进行经营，不按照包车客运标志牌载明的事项运行的，线路两端均不在车籍所在地，招揽包车合同以外的旅客乘车的处罚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对经营者已不具备开业要求的有关安全条件、存在重大运输安全隐患的处罚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客运站经营者允许无经营证件的车辆进站从事经营活动的；允许超载车辆出站的；允许未经安全检查或者安全检查不合格的车辆发车的处罚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擅自改变客运站的用途和服务功能的；不公布运输线路、配客站点、班次、发车时间、票价的处罚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49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网络平台发布的提供服务班车客运经营者与实际提供服务班车客运经营者不一致的；发布的提供服务车辆与实际提供服务车辆不一致的；发布的提供服务驾驶员与实际提供服务驾驶员不一致的；超出班车客运经营者许可范围开展定制客运的处罚　</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从事道路危险货物运输的驾驶人员、装卸管理人员、押运人员未取得从业资格上岗作业的；托运人不向承运人说明所托运的危险化学品的种类、数量、危险特性以及发生危险情况的应急处置措施，或者未按照国家有关规定对所托运的危险化学品妥善包装并在外包装上设置相应标志的；未根据危险化学品的危险特性采取相应的安全防护措施，或者未配备必要的防护用品和应急救援器材的；运输危险化学品需要添加抑制剂或者稳定剂，托运人未添加或者未将有关情况告知承运人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道路危险货物运输企业或者单位未配备专职安全管理人员的处罚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道路危险化学品运输托运人委托未依法取得危险货物道路运输许可的企业承运危险化学品的；在托运的普通货物中夹带危险化学品，或者将危险化学品谎报或者匿报为普通货物托运的处罚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对未取得经营许可，擅自从事或者变相从事网约车经营活动的；伪造、变造或者使用伪造、变造、失效的《网络预约出租汽车运输证》《网络预约出租汽车驾驶员证》从事网约车经营活动的处罚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网约车平台公司提供服务车辆未取得《网络预约出租汽车运输证》,或者线上提供服务车辆与线下实际提供服务车辆不一致的；提供服务驾驶员未取得《网络预约出租汽车驾驶员证》，或者线上提供服务驾驶员与线下实际提供服务驾驶员不一致的；未按照规定保证车辆技术状况良好的；起讫点均不在许可的经营区域从事网约车经营活动的；未按照规定将提供服务的车辆、驾驶员相关信息向服务所在地出租汽车行政主管部门报备的；未按照规定制定服务质量标准、建立并落实投诉举报制度的；未按照规定提供共享信息，或者不配合出租汽车行政主管部门调取查阅相关数据信息的；未履行管理责任，出现甩客、故意绕道、违规收费等严重违反国家相关运营服务标准行为的；不再具备线上线下服务能力或者有严重违法行为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对未按照规定携带《网络预约出租汽车运输证》、《网络预约出租汽车驾驶员证》的；中甩客或者故意绕道行驶的；违规收费的；对举报、投诉其服务质量或者对其服务作出不满意评价的乘客实施报复行为的处罚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擅自转让或者以承包、出租等方式变相转让城市公共汽电车客运线路经营权的处罚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对不按照确定的线路、站点、班次和时间经营的；不按照核准收费标准收费的；拒绝享受减免票待遇的乘客乘车的处罚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numPr>
                <w:ilvl w:val="0"/>
                <w:numId w:val="1"/>
              </w:numPr>
              <w:ind w:left="640" w:firstLine="0"/>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58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对包车客运经营者按照班车模式定点定线运营，或者招揽包车合同外的旅客乘车的处罚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73</w:t>
            </w:r>
          </w:p>
        </w:tc>
        <w:tc>
          <w:tcPr>
            <w:tcW w:w="3137" w:type="dxa"/>
          </w:tcPr>
          <w:p>
            <w:pPr>
              <w:tabs>
                <w:tab w:val="left" w:pos="0"/>
              </w:tabs>
              <w:spacing w:line="600" w:lineRule="exact"/>
              <w:jc w:val="center"/>
              <w:rPr>
                <w:rFonts w:ascii="仿宋_GB2312"/>
              </w:rPr>
            </w:pPr>
            <w:r>
              <w:rPr>
                <w:rFonts w:hint="eastAsia" w:ascii="仿宋_GB2312"/>
              </w:rPr>
              <w:t>59</w:t>
            </w:r>
          </w:p>
        </w:tc>
        <w:tc>
          <w:tcPr>
            <w:tcW w:w="6640" w:type="dxa"/>
            <w:vAlign w:val="center"/>
          </w:tcPr>
          <w:p>
            <w:pPr>
              <w:tabs>
                <w:tab w:val="left" w:pos="2258"/>
                <w:tab w:val="left" w:pos="7937"/>
              </w:tabs>
              <w:spacing w:line="360" w:lineRule="exact"/>
              <w:jc w:val="left"/>
              <w:rPr>
                <w:rFonts w:ascii="仿宋_GB2312" w:hAnsi="仿宋_GB2312" w:cs="仿宋_GB2312"/>
                <w:sz w:val="28"/>
                <w:szCs w:val="28"/>
              </w:rPr>
            </w:pPr>
            <w:r>
              <w:rPr>
                <w:rFonts w:hint="eastAsia" w:ascii="仿宋_GB2312" w:hAnsi="仿宋_GB2312" w:cs="仿宋_GB2312"/>
                <w:sz w:val="28"/>
                <w:szCs w:val="28"/>
              </w:rPr>
              <w:t>对班车客运经营、包车客运经营和旅游客运经营中途将乘客交给他人运输、甩客或者在高速公路上下乘客、装卸行李和包裹的处罚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74</w:t>
            </w:r>
          </w:p>
        </w:tc>
        <w:tc>
          <w:tcPr>
            <w:tcW w:w="3137" w:type="dxa"/>
          </w:tcPr>
          <w:p>
            <w:pPr>
              <w:tabs>
                <w:tab w:val="left" w:pos="0"/>
              </w:tabs>
              <w:spacing w:line="600" w:lineRule="exact"/>
              <w:jc w:val="center"/>
              <w:rPr>
                <w:rFonts w:ascii="仿宋_GB2312"/>
              </w:rPr>
            </w:pPr>
            <w:r>
              <w:rPr>
                <w:rFonts w:hint="eastAsia" w:ascii="仿宋_GB2312"/>
              </w:rPr>
              <w:t>60</w:t>
            </w:r>
          </w:p>
        </w:tc>
        <w:tc>
          <w:tcPr>
            <w:tcW w:w="6640" w:type="dxa"/>
            <w:vAlign w:val="center"/>
          </w:tcPr>
          <w:p>
            <w:pPr>
              <w:tabs>
                <w:tab w:val="left" w:pos="1208"/>
                <w:tab w:val="left" w:pos="7937"/>
              </w:tabs>
              <w:spacing w:line="360" w:lineRule="exact"/>
              <w:jc w:val="left"/>
              <w:rPr>
                <w:rFonts w:ascii="仿宋_GB2312" w:hAnsi="仿宋_GB2312" w:cs="仿宋_GB2312"/>
                <w:sz w:val="28"/>
                <w:szCs w:val="28"/>
              </w:rPr>
            </w:pPr>
            <w:r>
              <w:rPr>
                <w:rFonts w:hint="eastAsia" w:ascii="仿宋_GB2312" w:hAnsi="仿宋_GB2312" w:cs="仿宋_GB2312"/>
                <w:sz w:val="28"/>
                <w:szCs w:val="28"/>
              </w:rPr>
              <w:t>在非巡游车上使用巡游车车体颜色、专用标志、计价器的处罚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1352" w:type="dxa"/>
          </w:tcPr>
          <w:p>
            <w:pPr>
              <w:tabs>
                <w:tab w:val="left" w:pos="282"/>
                <w:tab w:val="center" w:pos="628"/>
              </w:tabs>
              <w:ind w:left="640" w:hanging="640" w:hangingChars="200"/>
              <w:jc w:val="left"/>
              <w:rPr>
                <w:rFonts w:ascii="仿宋_GB2312"/>
              </w:rPr>
            </w:pPr>
            <w:r>
              <w:rPr>
                <w:rFonts w:hint="eastAsia" w:ascii="仿宋_GB2312"/>
              </w:rPr>
              <w:tab/>
            </w:r>
            <w:r>
              <w:rPr>
                <w:rFonts w:hint="eastAsia" w:ascii="仿宋_GB2312"/>
              </w:rPr>
              <w:t xml:space="preserve">  </w:t>
            </w:r>
            <w:r>
              <w:rPr>
                <w:rFonts w:hint="eastAsia" w:ascii="仿宋_GB2312"/>
              </w:rPr>
              <w:tab/>
            </w:r>
            <w:r>
              <w:rPr>
                <w:rFonts w:hint="eastAsia" w:ascii="仿宋_GB2312"/>
              </w:rPr>
              <w:t>75</w:t>
            </w:r>
          </w:p>
        </w:tc>
        <w:tc>
          <w:tcPr>
            <w:tcW w:w="3137" w:type="dxa"/>
          </w:tcPr>
          <w:p>
            <w:pPr>
              <w:tabs>
                <w:tab w:val="left" w:pos="0"/>
              </w:tabs>
              <w:spacing w:line="600" w:lineRule="exact"/>
              <w:jc w:val="center"/>
              <w:rPr>
                <w:rFonts w:ascii="仿宋_GB2312"/>
              </w:rPr>
            </w:pPr>
            <w:r>
              <w:rPr>
                <w:rFonts w:hint="eastAsia" w:ascii="仿宋_GB2312"/>
              </w:rPr>
              <w:t>61</w:t>
            </w:r>
          </w:p>
        </w:tc>
        <w:tc>
          <w:tcPr>
            <w:tcW w:w="6640" w:type="dxa"/>
            <w:vAlign w:val="center"/>
          </w:tcPr>
          <w:p>
            <w:pPr>
              <w:tabs>
                <w:tab w:val="left" w:pos="7937"/>
              </w:tabs>
              <w:spacing w:line="360" w:lineRule="exact"/>
              <w:jc w:val="left"/>
              <w:rPr>
                <w:rFonts w:ascii="仿宋_GB2312" w:hAnsi="仿宋_GB2312" w:cs="仿宋_GB2312"/>
                <w:sz w:val="28"/>
                <w:szCs w:val="28"/>
              </w:rPr>
            </w:pPr>
            <w:r>
              <w:rPr>
                <w:rFonts w:hint="eastAsia" w:ascii="仿宋_GB2312" w:hAnsi="仿宋_GB2312" w:cs="仿宋_GB2312"/>
                <w:sz w:val="28"/>
                <w:szCs w:val="28"/>
              </w:rPr>
              <w:t>对出租汽车客运经营者在巡游车车窗上贴有色膜、使用有色玻璃或者巡游车拒绝载客、网约车巡游揽客的；出租、出借、转让、涂改道路运输许可证件以及巡游车服务监督卡的处罚</w:t>
            </w:r>
          </w:p>
          <w:p>
            <w:pPr>
              <w:tabs>
                <w:tab w:val="left" w:pos="2213"/>
              </w:tabs>
            </w:pPr>
            <w:r>
              <w:rPr>
                <w:rFonts w:hint="eastAsia"/>
              </w:rPr>
              <w:tab/>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tabs>
                <w:tab w:val="left" w:pos="357"/>
                <w:tab w:val="center" w:pos="628"/>
              </w:tabs>
              <w:ind w:left="640" w:hanging="640" w:hangingChars="200"/>
              <w:jc w:val="left"/>
              <w:rPr>
                <w:rFonts w:ascii="仿宋_GB2312"/>
              </w:rPr>
            </w:pPr>
            <w:r>
              <w:rPr>
                <w:rFonts w:hint="eastAsia" w:ascii="仿宋_GB2312"/>
              </w:rPr>
              <w:tab/>
            </w:r>
            <w:r>
              <w:rPr>
                <w:rFonts w:hint="eastAsia" w:ascii="仿宋_GB2312"/>
              </w:rPr>
              <w:t xml:space="preserve"> </w:t>
            </w:r>
            <w:r>
              <w:rPr>
                <w:rFonts w:hint="eastAsia" w:ascii="仿宋_GB2312"/>
              </w:rPr>
              <w:tab/>
            </w:r>
            <w:r>
              <w:rPr>
                <w:rFonts w:hint="eastAsia" w:ascii="仿宋_GB2312"/>
              </w:rPr>
              <w:t>76</w:t>
            </w:r>
          </w:p>
        </w:tc>
        <w:tc>
          <w:tcPr>
            <w:tcW w:w="3137" w:type="dxa"/>
          </w:tcPr>
          <w:p>
            <w:pPr>
              <w:tabs>
                <w:tab w:val="left" w:pos="0"/>
              </w:tabs>
              <w:spacing w:line="600" w:lineRule="exact"/>
              <w:jc w:val="center"/>
              <w:rPr>
                <w:rFonts w:ascii="仿宋_GB2312"/>
              </w:rPr>
            </w:pPr>
            <w:r>
              <w:rPr>
                <w:rFonts w:hint="eastAsia" w:ascii="仿宋_GB2312"/>
              </w:rPr>
              <w:t>62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rPr>
              <w:t>机动车驾驶员培训机构未建立学员档案、培训记录或者伪造、篡改培训记录的；使用不符合规定的车辆以及设施、设备或者改装培训车辆车载计时终端进行培训活动的；采取异地培训、恶意压价、欺骗学员等不正当手段进行培训，或者委托其他不具备资质的机构培训，或者以报名点、招生处、分校等形式开展培训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77</w:t>
            </w:r>
          </w:p>
        </w:tc>
        <w:tc>
          <w:tcPr>
            <w:tcW w:w="3137" w:type="dxa"/>
          </w:tcPr>
          <w:p>
            <w:pPr>
              <w:tabs>
                <w:tab w:val="left" w:pos="0"/>
              </w:tabs>
              <w:spacing w:line="600" w:lineRule="exact"/>
              <w:jc w:val="center"/>
              <w:rPr>
                <w:rFonts w:ascii="仿宋_GB2312"/>
              </w:rPr>
            </w:pPr>
            <w:r>
              <w:rPr>
                <w:rFonts w:hint="eastAsia" w:ascii="仿宋_GB2312"/>
              </w:rPr>
              <w:t>63</w:t>
            </w:r>
          </w:p>
        </w:tc>
        <w:tc>
          <w:tcPr>
            <w:tcW w:w="6640" w:type="dxa"/>
            <w:vAlign w:val="center"/>
          </w:tcPr>
          <w:p>
            <w:pPr>
              <w:tabs>
                <w:tab w:val="left" w:pos="7937"/>
              </w:tabs>
              <w:spacing w:line="360" w:lineRule="exact"/>
              <w:jc w:val="center"/>
            </w:pPr>
            <w:r>
              <w:rPr>
                <w:rFonts w:hint="eastAsia"/>
              </w:rPr>
              <w:t>未取得道路运输经营许可擅自从事汽车租赁经营的处罚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78</w:t>
            </w:r>
          </w:p>
        </w:tc>
        <w:tc>
          <w:tcPr>
            <w:tcW w:w="3137" w:type="dxa"/>
          </w:tcPr>
          <w:p>
            <w:pPr>
              <w:tabs>
                <w:tab w:val="left" w:pos="0"/>
              </w:tabs>
              <w:spacing w:line="600" w:lineRule="exact"/>
              <w:jc w:val="center"/>
              <w:rPr>
                <w:rFonts w:ascii="仿宋_GB2312"/>
              </w:rPr>
            </w:pPr>
            <w:r>
              <w:rPr>
                <w:rFonts w:hint="eastAsia" w:ascii="仿宋_GB2312"/>
              </w:rPr>
              <w:t>64</w:t>
            </w:r>
          </w:p>
        </w:tc>
        <w:tc>
          <w:tcPr>
            <w:tcW w:w="6640" w:type="dxa"/>
            <w:vAlign w:val="center"/>
          </w:tcPr>
          <w:p>
            <w:pPr>
              <w:tabs>
                <w:tab w:val="left" w:pos="7937"/>
              </w:tabs>
              <w:spacing w:line="360" w:lineRule="exact"/>
              <w:jc w:val="center"/>
            </w:pPr>
            <w:r>
              <w:rPr>
                <w:rFonts w:hint="eastAsia"/>
              </w:rPr>
              <w:t>使用未办理租赁车辆备案、未领取车辆备案证明文件的车辆从事汽车租赁经营的处罚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79</w:t>
            </w:r>
          </w:p>
        </w:tc>
        <w:tc>
          <w:tcPr>
            <w:tcW w:w="3137" w:type="dxa"/>
          </w:tcPr>
          <w:p>
            <w:pPr>
              <w:tabs>
                <w:tab w:val="left" w:pos="0"/>
              </w:tabs>
              <w:spacing w:line="600" w:lineRule="exact"/>
              <w:jc w:val="center"/>
              <w:rPr>
                <w:rFonts w:ascii="仿宋_GB2312"/>
              </w:rPr>
            </w:pPr>
            <w:r>
              <w:rPr>
                <w:rFonts w:hint="eastAsia" w:ascii="仿宋_GB2312"/>
              </w:rPr>
              <w:t>65</w:t>
            </w:r>
          </w:p>
        </w:tc>
        <w:tc>
          <w:tcPr>
            <w:tcW w:w="6640" w:type="dxa"/>
            <w:vAlign w:val="center"/>
          </w:tcPr>
          <w:p>
            <w:pPr>
              <w:tabs>
                <w:tab w:val="left" w:pos="7937"/>
              </w:tabs>
              <w:spacing w:line="360" w:lineRule="exact"/>
              <w:jc w:val="center"/>
            </w:pPr>
            <w:r>
              <w:rPr>
                <w:rFonts w:hint="eastAsia"/>
              </w:rPr>
              <w:t>使用未办理租赁车辆备案、未领取车辆备案证明文件的车辆从事汽车租赁经营的处罚汽车租赁经营者和承租人使用租赁车辆从事或者变相从事其他客运经营活动的处罚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80</w:t>
            </w:r>
          </w:p>
        </w:tc>
        <w:tc>
          <w:tcPr>
            <w:tcW w:w="3137" w:type="dxa"/>
          </w:tcPr>
          <w:p>
            <w:pPr>
              <w:tabs>
                <w:tab w:val="left" w:pos="0"/>
              </w:tabs>
              <w:spacing w:line="600" w:lineRule="exact"/>
              <w:jc w:val="center"/>
              <w:rPr>
                <w:rFonts w:ascii="仿宋_GB2312"/>
              </w:rPr>
            </w:pPr>
            <w:r>
              <w:rPr>
                <w:rFonts w:hint="eastAsia" w:ascii="仿宋_GB2312"/>
              </w:rPr>
              <w:t>66</w:t>
            </w:r>
          </w:p>
        </w:tc>
        <w:tc>
          <w:tcPr>
            <w:tcW w:w="6640" w:type="dxa"/>
            <w:vAlign w:val="center"/>
          </w:tcPr>
          <w:p>
            <w:pPr>
              <w:tabs>
                <w:tab w:val="left" w:pos="1448"/>
                <w:tab w:val="left" w:pos="7937"/>
              </w:tabs>
              <w:spacing w:line="360" w:lineRule="exact"/>
              <w:jc w:val="left"/>
              <w:rPr>
                <w:rFonts w:ascii="仿宋_GB2312" w:hAnsi="仿宋_GB2312" w:cs="仿宋_GB2312"/>
                <w:sz w:val="28"/>
                <w:szCs w:val="28"/>
              </w:rPr>
            </w:pPr>
            <w:r>
              <w:rPr>
                <w:rFonts w:hint="eastAsia" w:ascii="仿宋_GB2312" w:hAnsi="仿宋_GB2312" w:cs="仿宋_GB2312"/>
                <w:sz w:val="28"/>
                <w:szCs w:val="28"/>
              </w:rPr>
              <w:t>对未明确本单位有关从业人员治超工作职责，建立并落实责任追究制度；未对货物装载、开票、计重等从业人员进行培训；未按道路运输管理机构的规定，登记货运车辆、驾驶员和货物的信息，并及时报送登记结果；未配备装载、配载计重设施、设备；拒绝接受治超执法人员的监督检查，或未如实提供有关情况和资料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81</w:t>
            </w:r>
          </w:p>
        </w:tc>
        <w:tc>
          <w:tcPr>
            <w:tcW w:w="3137" w:type="dxa"/>
          </w:tcPr>
          <w:p>
            <w:pPr>
              <w:tabs>
                <w:tab w:val="left" w:pos="0"/>
              </w:tabs>
              <w:spacing w:line="600" w:lineRule="exact"/>
              <w:jc w:val="center"/>
              <w:rPr>
                <w:rFonts w:ascii="仿宋_GB2312"/>
              </w:rPr>
            </w:pPr>
            <w:r>
              <w:rPr>
                <w:rFonts w:hint="eastAsia" w:ascii="仿宋_GB2312"/>
              </w:rPr>
              <w:t>67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按规定装载、配载货物，放行超限超载车辆；为没有号牌或者行驶证、道路运输证的货运车辆装载、配载货物；为擅自改变已登记的结构、构造或者特征的货运车辆装载、配载货物；为未出示驾驶证、从业资格证人员驾驶的货运车辆装载、配载货物；为超限超载货运车辆提供虚假证明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82</w:t>
            </w:r>
          </w:p>
        </w:tc>
        <w:tc>
          <w:tcPr>
            <w:tcW w:w="3137" w:type="dxa"/>
          </w:tcPr>
          <w:p>
            <w:pPr>
              <w:tabs>
                <w:tab w:val="left" w:pos="0"/>
              </w:tabs>
              <w:spacing w:line="600" w:lineRule="exact"/>
              <w:jc w:val="center"/>
              <w:rPr>
                <w:rFonts w:ascii="仿宋_GB2312"/>
              </w:rPr>
            </w:pPr>
            <w:r>
              <w:rPr>
                <w:rFonts w:hint="eastAsia" w:ascii="仿宋_GB2312"/>
              </w:rPr>
              <w:t>68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对货运经营者聘用无从业资格证的货运车辆驾驶员的处罚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83</w:t>
            </w:r>
          </w:p>
        </w:tc>
        <w:tc>
          <w:tcPr>
            <w:tcW w:w="3137" w:type="dxa"/>
          </w:tcPr>
          <w:p>
            <w:pPr>
              <w:tabs>
                <w:tab w:val="left" w:pos="0"/>
              </w:tabs>
              <w:spacing w:line="600" w:lineRule="exact"/>
              <w:jc w:val="center"/>
              <w:rPr>
                <w:rFonts w:ascii="仿宋_GB2312"/>
              </w:rPr>
            </w:pPr>
            <w:r>
              <w:rPr>
                <w:rFonts w:hint="eastAsia" w:ascii="仿宋_GB2312"/>
              </w:rPr>
              <w:t>69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对未取得相应的从业资格证件，从事道路危险货物运输活动的；使用失效、伪造、变造的从业资格证件，从事道路危险货物运输活动的；超越从业资格证件核定范围，从事道路危险货物运输活动的处罚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84</w:t>
            </w:r>
          </w:p>
        </w:tc>
        <w:tc>
          <w:tcPr>
            <w:tcW w:w="3137" w:type="dxa"/>
          </w:tcPr>
          <w:p>
            <w:pPr>
              <w:tabs>
                <w:tab w:val="left" w:pos="0"/>
              </w:tabs>
              <w:spacing w:line="600" w:lineRule="exact"/>
              <w:jc w:val="center"/>
              <w:rPr>
                <w:rFonts w:ascii="仿宋_GB2312"/>
              </w:rPr>
            </w:pPr>
            <w:r>
              <w:rPr>
                <w:rFonts w:hint="eastAsia" w:ascii="仿宋_GB2312"/>
              </w:rPr>
              <w:t>70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对危险货物承运人未对从业人员进行安全教育和培训的处罚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85</w:t>
            </w:r>
          </w:p>
        </w:tc>
        <w:tc>
          <w:tcPr>
            <w:tcW w:w="3137" w:type="dxa"/>
          </w:tcPr>
          <w:p>
            <w:pPr>
              <w:tabs>
                <w:tab w:val="left" w:pos="0"/>
              </w:tabs>
              <w:spacing w:line="600" w:lineRule="exact"/>
              <w:jc w:val="center"/>
              <w:rPr>
                <w:rFonts w:ascii="仿宋_GB2312"/>
              </w:rPr>
            </w:pPr>
            <w:r>
              <w:rPr>
                <w:rFonts w:hint="eastAsia" w:ascii="仿宋_GB2312"/>
              </w:rPr>
              <w:t>71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对危险化学品托运人委托未依法取得道路运输资质的企业承运危险化学品的；在托运的普通货物中违规夹带危险化学品，或者将化学品匿报或者谎报为普通货物托运的处罚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86</w:t>
            </w:r>
          </w:p>
        </w:tc>
        <w:tc>
          <w:tcPr>
            <w:tcW w:w="3137" w:type="dxa"/>
          </w:tcPr>
          <w:p>
            <w:pPr>
              <w:tabs>
                <w:tab w:val="left" w:pos="0"/>
              </w:tabs>
              <w:spacing w:line="600" w:lineRule="exact"/>
              <w:jc w:val="center"/>
              <w:rPr>
                <w:rFonts w:ascii="仿宋_GB2312"/>
              </w:rPr>
            </w:pPr>
            <w:r>
              <w:rPr>
                <w:rFonts w:hint="eastAsia" w:ascii="仿宋_GB2312"/>
              </w:rPr>
              <w:t>72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对危险货物托运人托运不符合危险货物的类别、项别、品名、编号不符合相关标准要求的处罚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87</w:t>
            </w:r>
          </w:p>
        </w:tc>
        <w:tc>
          <w:tcPr>
            <w:tcW w:w="3137" w:type="dxa"/>
          </w:tcPr>
          <w:p>
            <w:pPr>
              <w:tabs>
                <w:tab w:val="left" w:pos="0"/>
              </w:tabs>
              <w:spacing w:line="600" w:lineRule="exact"/>
              <w:jc w:val="center"/>
              <w:rPr>
                <w:rFonts w:ascii="仿宋_GB2312"/>
              </w:rPr>
            </w:pPr>
            <w:r>
              <w:rPr>
                <w:rFonts w:hint="eastAsia" w:ascii="仿宋_GB2312"/>
              </w:rPr>
              <w:t>73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对危险化学品托运人运输危险化学品需要添加抑制剂或者稳定剂，托运人未添加或者未将有关情况告知承运人的；未按照要求对所托运的危险化学品妥善包装并在外包装设置相应标志的处罚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88</w:t>
            </w:r>
          </w:p>
        </w:tc>
        <w:tc>
          <w:tcPr>
            <w:tcW w:w="3137" w:type="dxa"/>
          </w:tcPr>
          <w:p>
            <w:pPr>
              <w:tabs>
                <w:tab w:val="left" w:pos="0"/>
              </w:tabs>
              <w:spacing w:line="600" w:lineRule="exact"/>
              <w:jc w:val="center"/>
              <w:rPr>
                <w:rFonts w:ascii="仿宋_GB2312"/>
              </w:rPr>
            </w:pPr>
            <w:r>
              <w:rPr>
                <w:rFonts w:hint="eastAsia" w:ascii="仿宋_GB2312"/>
              </w:rPr>
              <w:t>74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承运人未在罐式车辆罐体的适装介质列表范围内或者移动式压力容器使用登记证上限定的介质承运危险货物的；未按照规定制作危险货物运单或者保存期限不符合要求的；未按照要求对运输车辆、罐式车辆罐体、可移动罐柜、罐箱及设备进行检查和记录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89</w:t>
            </w:r>
          </w:p>
        </w:tc>
        <w:tc>
          <w:tcPr>
            <w:tcW w:w="3137" w:type="dxa"/>
          </w:tcPr>
          <w:p>
            <w:pPr>
              <w:tabs>
                <w:tab w:val="left" w:pos="0"/>
              </w:tabs>
              <w:spacing w:line="600" w:lineRule="exact"/>
              <w:jc w:val="center"/>
              <w:rPr>
                <w:rFonts w:ascii="仿宋_GB2312"/>
              </w:rPr>
            </w:pPr>
            <w:r>
              <w:rPr>
                <w:rFonts w:hint="eastAsia" w:ascii="仿宋_GB2312"/>
              </w:rPr>
              <w:t>75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对危险货物道路运输车辆驾驶人未按照规定随车携带危险货物运单、安全卡的；罐式车辆罐体、可移动罐柜、罐箱的关闭装置在运输过程中未处于关闭状态的处罚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90</w:t>
            </w:r>
          </w:p>
        </w:tc>
        <w:tc>
          <w:tcPr>
            <w:tcW w:w="3137" w:type="dxa"/>
          </w:tcPr>
          <w:p>
            <w:pPr>
              <w:tabs>
                <w:tab w:val="left" w:pos="0"/>
              </w:tabs>
              <w:spacing w:line="600" w:lineRule="exact"/>
              <w:jc w:val="center"/>
              <w:rPr>
                <w:rFonts w:ascii="仿宋_GB2312"/>
              </w:rPr>
            </w:pPr>
            <w:r>
              <w:rPr>
                <w:rFonts w:hint="eastAsia" w:ascii="仿宋_GB2312"/>
              </w:rPr>
              <w:t>76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对危险货物承运人使用未经检验合格或者超出检验有效期的罐式车辆罐体、移动罐柜、罐箱从事危险货物运输的处罚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91</w:t>
            </w:r>
          </w:p>
        </w:tc>
        <w:tc>
          <w:tcPr>
            <w:tcW w:w="3137" w:type="dxa"/>
          </w:tcPr>
          <w:p>
            <w:pPr>
              <w:tabs>
                <w:tab w:val="left" w:pos="0"/>
              </w:tabs>
              <w:spacing w:line="600" w:lineRule="exact"/>
              <w:jc w:val="center"/>
              <w:rPr>
                <w:rFonts w:ascii="仿宋_GB2312"/>
              </w:rPr>
            </w:pPr>
            <w:r>
              <w:rPr>
                <w:rFonts w:hint="eastAsia" w:ascii="仿宋_GB2312"/>
              </w:rPr>
              <w:t>77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对危险货物承运人未按照要求对运营中的危险化学品、民用爆炸物品、核与放射性物品的运输车辆通过定位系统实行监控的处罚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92</w:t>
            </w:r>
          </w:p>
        </w:tc>
        <w:tc>
          <w:tcPr>
            <w:tcW w:w="3137" w:type="dxa"/>
          </w:tcPr>
          <w:p>
            <w:pPr>
              <w:tabs>
                <w:tab w:val="left" w:pos="0"/>
              </w:tabs>
              <w:spacing w:line="600" w:lineRule="exact"/>
              <w:jc w:val="center"/>
              <w:rPr>
                <w:rFonts w:ascii="仿宋_GB2312"/>
              </w:rPr>
            </w:pPr>
            <w:r>
              <w:rPr>
                <w:rFonts w:hint="eastAsia" w:ascii="仿宋_GB2312"/>
              </w:rPr>
              <w:t>78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对危险化学品生产、储存、运输、使用和经营企业未建立健全并严格执行充装或者装载查验、记录制度的处罚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93</w:t>
            </w:r>
          </w:p>
        </w:tc>
        <w:tc>
          <w:tcPr>
            <w:tcW w:w="3137" w:type="dxa"/>
          </w:tcPr>
          <w:p>
            <w:pPr>
              <w:tabs>
                <w:tab w:val="left" w:pos="0"/>
              </w:tabs>
              <w:spacing w:line="600" w:lineRule="exact"/>
              <w:jc w:val="center"/>
              <w:rPr>
                <w:rFonts w:ascii="仿宋_GB2312"/>
              </w:rPr>
            </w:pPr>
            <w:r>
              <w:rPr>
                <w:rFonts w:hint="eastAsia" w:ascii="仿宋_GB2312"/>
              </w:rPr>
              <w:t>79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对未取得线路经营权、未与城市公共交通主管部门签订城市公共汽电车线路特许经营协议，擅自从事城市公共汽电车客运线路经营的处罚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94</w:t>
            </w:r>
          </w:p>
        </w:tc>
        <w:tc>
          <w:tcPr>
            <w:tcW w:w="3137" w:type="dxa"/>
          </w:tcPr>
          <w:p>
            <w:pPr>
              <w:tabs>
                <w:tab w:val="left" w:pos="0"/>
              </w:tabs>
              <w:spacing w:line="600" w:lineRule="exact"/>
              <w:jc w:val="center"/>
              <w:rPr>
                <w:rFonts w:ascii="仿宋_GB2312"/>
              </w:rPr>
            </w:pPr>
            <w:r>
              <w:rPr>
                <w:rFonts w:hint="eastAsia" w:ascii="仿宋_GB2312"/>
              </w:rPr>
              <w:t>80</w:t>
            </w:r>
          </w:p>
        </w:tc>
        <w:tc>
          <w:tcPr>
            <w:tcW w:w="6640" w:type="dxa"/>
            <w:vAlign w:val="center"/>
          </w:tcPr>
          <w:p>
            <w:pPr>
              <w:tabs>
                <w:tab w:val="left" w:pos="7937"/>
              </w:tabs>
              <w:spacing w:line="360" w:lineRule="exact"/>
              <w:jc w:val="center"/>
              <w:rPr>
                <w:rFonts w:hint="eastAsia" w:ascii="仿宋_GB2312" w:hAnsi="仿宋_GB2312" w:eastAsia="仿宋_GB2312" w:cs="仿宋_GB2312"/>
                <w:sz w:val="28"/>
                <w:szCs w:val="28"/>
                <w:lang w:eastAsia="zh-CN"/>
              </w:rPr>
            </w:pPr>
            <w:r>
              <w:rPr>
                <w:rFonts w:hint="eastAsia" w:ascii="仿宋_GB2312" w:hAnsi="仿宋_GB2312" w:cs="仿宋_GB2312"/>
                <w:sz w:val="28"/>
                <w:szCs w:val="28"/>
              </w:rPr>
              <w:t>对未配置符合要求的服务设施和运营标识</w:t>
            </w:r>
            <w:r>
              <w:rPr>
                <w:rFonts w:hint="eastAsia" w:ascii="仿宋_GB2312" w:hAnsi="仿宋_GB2312" w:cs="仿宋_GB2312"/>
                <w:sz w:val="28"/>
                <w:szCs w:val="28"/>
                <w:lang w:eastAsia="zh-CN"/>
              </w:rPr>
              <w:t>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95</w:t>
            </w:r>
          </w:p>
        </w:tc>
        <w:tc>
          <w:tcPr>
            <w:tcW w:w="3137" w:type="dxa"/>
          </w:tcPr>
          <w:p>
            <w:pPr>
              <w:tabs>
                <w:tab w:val="left" w:pos="0"/>
              </w:tabs>
              <w:spacing w:line="600" w:lineRule="exact"/>
              <w:jc w:val="center"/>
              <w:rPr>
                <w:rFonts w:ascii="仿宋_GB2312"/>
              </w:rPr>
            </w:pPr>
            <w:r>
              <w:rPr>
                <w:rFonts w:hint="eastAsia" w:ascii="仿宋_GB2312"/>
              </w:rPr>
              <w:t>81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定期对城市公共汽电车车辆及其安全设施设备进行检测、维护、更新的；未在城市公共汽电车车辆和场站醒目位置设置安全警示标志、安全疏散示意图和安全应急设备的；使用不具备规定条件的人员担任驾驶员、乘务员的；未对拟担任驾驶员、乘务员的人员进行培训、考核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96</w:t>
            </w:r>
          </w:p>
        </w:tc>
        <w:tc>
          <w:tcPr>
            <w:tcW w:w="3137" w:type="dxa"/>
          </w:tcPr>
          <w:p>
            <w:pPr>
              <w:tabs>
                <w:tab w:val="left" w:pos="0"/>
              </w:tabs>
              <w:spacing w:line="600" w:lineRule="exact"/>
              <w:jc w:val="center"/>
              <w:rPr>
                <w:rFonts w:ascii="仿宋_GB2312"/>
              </w:rPr>
            </w:pPr>
            <w:r>
              <w:rPr>
                <w:rFonts w:hint="eastAsia" w:ascii="仿宋_GB2312"/>
              </w:rPr>
              <w:t>82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对运营企业未制定应急预案并组织演练的；发生影响运营安全的突发事件时，运营企业未按照应急预案的规定采取应急处置措施，造成严重后果的处罚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97</w:t>
            </w:r>
          </w:p>
        </w:tc>
        <w:tc>
          <w:tcPr>
            <w:tcW w:w="3137" w:type="dxa"/>
          </w:tcPr>
          <w:p>
            <w:pPr>
              <w:tabs>
                <w:tab w:val="left" w:pos="0"/>
              </w:tabs>
              <w:spacing w:line="600" w:lineRule="exact"/>
              <w:jc w:val="center"/>
              <w:rPr>
                <w:rFonts w:ascii="仿宋_GB2312"/>
              </w:rPr>
            </w:pPr>
            <w:r>
              <w:rPr>
                <w:rFonts w:hint="eastAsia" w:ascii="仿宋_GB2312"/>
              </w:rPr>
              <w:t>83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未按照规定对有关场站设施进行管理和维护的处罚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98</w:t>
            </w:r>
          </w:p>
        </w:tc>
        <w:tc>
          <w:tcPr>
            <w:tcW w:w="3137" w:type="dxa"/>
          </w:tcPr>
          <w:p>
            <w:pPr>
              <w:tabs>
                <w:tab w:val="left" w:pos="0"/>
              </w:tabs>
              <w:spacing w:line="600" w:lineRule="exact"/>
              <w:jc w:val="center"/>
              <w:rPr>
                <w:rFonts w:ascii="仿宋_GB2312"/>
              </w:rPr>
            </w:pPr>
            <w:r>
              <w:rPr>
                <w:rFonts w:hint="eastAsia" w:ascii="仿宋_GB2312"/>
              </w:rPr>
              <w:t>84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对有危害城市公共汽电车客运服务设施，对损坏设施依法赔偿的处罚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99</w:t>
            </w:r>
          </w:p>
        </w:tc>
        <w:tc>
          <w:tcPr>
            <w:tcW w:w="3137" w:type="dxa"/>
          </w:tcPr>
          <w:p>
            <w:pPr>
              <w:tabs>
                <w:tab w:val="left" w:pos="0"/>
              </w:tabs>
              <w:spacing w:line="600" w:lineRule="exact"/>
              <w:jc w:val="center"/>
              <w:rPr>
                <w:rFonts w:ascii="仿宋_GB2312"/>
              </w:rPr>
            </w:pPr>
            <w:r>
              <w:rPr>
                <w:rFonts w:hint="eastAsia" w:ascii="仿宋_GB2312"/>
              </w:rPr>
              <w:t>85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对未取得从业资格证或者超越从业资格证核定范围，驾驶出租汽车从事经营活动的；使用失效、伪造、变造的从业资格证，驾驶出租汽车从事经营活动的； 转借、出租、涂改从业资格证的处罚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100</w:t>
            </w:r>
          </w:p>
        </w:tc>
        <w:tc>
          <w:tcPr>
            <w:tcW w:w="3137" w:type="dxa"/>
          </w:tcPr>
          <w:p>
            <w:pPr>
              <w:tabs>
                <w:tab w:val="left" w:pos="0"/>
              </w:tabs>
              <w:spacing w:line="600" w:lineRule="exact"/>
              <w:jc w:val="center"/>
              <w:rPr>
                <w:rFonts w:ascii="仿宋_GB2312"/>
              </w:rPr>
            </w:pPr>
            <w:r>
              <w:rPr>
                <w:rFonts w:hint="eastAsia" w:ascii="仿宋_GB2312"/>
              </w:rPr>
              <w:t>86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对聘用未取得从业资格证的人员，驾驶出租汽车从事经营活动的处罚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101</w:t>
            </w:r>
          </w:p>
        </w:tc>
        <w:tc>
          <w:tcPr>
            <w:tcW w:w="3137" w:type="dxa"/>
          </w:tcPr>
          <w:p>
            <w:pPr>
              <w:tabs>
                <w:tab w:val="left" w:pos="0"/>
              </w:tabs>
              <w:spacing w:line="600" w:lineRule="exact"/>
              <w:jc w:val="center"/>
              <w:rPr>
                <w:rFonts w:ascii="仿宋_GB2312"/>
              </w:rPr>
            </w:pPr>
            <w:r>
              <w:rPr>
                <w:rFonts w:hint="eastAsia" w:ascii="仿宋_GB2312"/>
              </w:rPr>
              <w:t>87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对聘用未按规定办理注册手续的人员，驾驶出租汽车从事经营活动</w:t>
            </w:r>
            <w:r>
              <w:rPr>
                <w:rFonts w:hint="eastAsia" w:ascii="仿宋_GB2312" w:hAnsi="仿宋_GB2312" w:cs="仿宋_GB2312"/>
                <w:sz w:val="28"/>
                <w:szCs w:val="28"/>
                <w:lang w:eastAsia="zh-CN"/>
              </w:rPr>
              <w:t>的</w:t>
            </w:r>
            <w:r>
              <w:rPr>
                <w:rFonts w:hint="eastAsia" w:ascii="仿宋_GB2312" w:hAnsi="仿宋_GB2312" w:cs="仿宋_GB2312"/>
                <w:sz w:val="28"/>
                <w:szCs w:val="28"/>
              </w:rPr>
              <w:t>；不按照规定组织实施继续教育的处罚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 xml:space="preserve">  </w:t>
            </w:r>
          </w:p>
        </w:tc>
        <w:tc>
          <w:tcPr>
            <w:tcW w:w="3137" w:type="dxa"/>
          </w:tcPr>
          <w:p>
            <w:pPr>
              <w:tabs>
                <w:tab w:val="left" w:pos="0"/>
              </w:tabs>
              <w:spacing w:line="600" w:lineRule="exact"/>
              <w:rPr>
                <w:rFonts w:ascii="仿宋_GB2312"/>
              </w:rPr>
            </w:pPr>
            <w:r>
              <w:rPr>
                <w:rFonts w:hint="eastAsia" w:ascii="仿宋_GB2312"/>
              </w:rPr>
              <w:t>三、行政强制</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共9项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102</w:t>
            </w:r>
          </w:p>
        </w:tc>
        <w:tc>
          <w:tcPr>
            <w:tcW w:w="3137" w:type="dxa"/>
          </w:tcPr>
          <w:p>
            <w:pPr>
              <w:tabs>
                <w:tab w:val="left" w:pos="0"/>
              </w:tabs>
              <w:spacing w:line="600" w:lineRule="exact"/>
              <w:jc w:val="center"/>
              <w:rPr>
                <w:rFonts w:ascii="仿宋_GB2312"/>
              </w:rPr>
            </w:pPr>
            <w:r>
              <w:rPr>
                <w:rFonts w:hint="eastAsia" w:ascii="仿宋_GB2312"/>
              </w:rPr>
              <w:t>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暂扣没有车辆营运证又无法当场提供其他有效证明的车辆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103</w:t>
            </w:r>
          </w:p>
        </w:tc>
        <w:tc>
          <w:tcPr>
            <w:tcW w:w="3137" w:type="dxa"/>
          </w:tcPr>
          <w:p>
            <w:pPr>
              <w:tabs>
                <w:tab w:val="left" w:pos="0"/>
              </w:tabs>
              <w:spacing w:line="600" w:lineRule="exact"/>
              <w:jc w:val="center"/>
              <w:rPr>
                <w:rFonts w:ascii="仿宋_GB2312"/>
              </w:rPr>
            </w:pPr>
            <w:r>
              <w:rPr>
                <w:rFonts w:hint="eastAsia" w:ascii="仿宋_GB2312"/>
              </w:rPr>
              <w:t>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强制拆除违法在公路用地范围内设置公路标志以外的其他标志</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104</w:t>
            </w:r>
          </w:p>
        </w:tc>
        <w:tc>
          <w:tcPr>
            <w:tcW w:w="3137" w:type="dxa"/>
          </w:tcPr>
          <w:p>
            <w:pPr>
              <w:tabs>
                <w:tab w:val="left" w:pos="0"/>
              </w:tabs>
              <w:spacing w:line="600" w:lineRule="exact"/>
              <w:jc w:val="center"/>
              <w:rPr>
                <w:rFonts w:ascii="仿宋_GB2312"/>
              </w:rPr>
            </w:pPr>
            <w:r>
              <w:rPr>
                <w:rFonts w:hint="eastAsia" w:ascii="仿宋_GB2312"/>
              </w:rPr>
              <w:t>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强制拆除公路建筑控制区内修建、扩建建筑物、地面构筑物或者未经许可埋设管道、电缆等设施；强制拆除遮挡公路标志或者妨碍安全视距的公路建筑控制区外修建的建筑物、地面构筑物以及其他设施</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105</w:t>
            </w:r>
          </w:p>
        </w:tc>
        <w:tc>
          <w:tcPr>
            <w:tcW w:w="3137" w:type="dxa"/>
          </w:tcPr>
          <w:p>
            <w:pPr>
              <w:tabs>
                <w:tab w:val="left" w:pos="0"/>
              </w:tabs>
              <w:spacing w:line="600" w:lineRule="exact"/>
              <w:jc w:val="center"/>
              <w:rPr>
                <w:rFonts w:ascii="仿宋_GB2312"/>
              </w:rPr>
            </w:pPr>
            <w:r>
              <w:rPr>
                <w:rFonts w:hint="eastAsia" w:ascii="仿宋_GB2312"/>
              </w:rPr>
              <w:t>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对造成公路、公路附属设施损坏，拒不接受公路管理机构现场调查处理的，扣留车辆、工具</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106</w:t>
            </w:r>
          </w:p>
        </w:tc>
        <w:tc>
          <w:tcPr>
            <w:tcW w:w="3137" w:type="dxa"/>
          </w:tcPr>
          <w:p>
            <w:pPr>
              <w:tabs>
                <w:tab w:val="left" w:pos="0"/>
              </w:tabs>
              <w:spacing w:line="600" w:lineRule="exact"/>
              <w:jc w:val="center"/>
              <w:rPr>
                <w:rFonts w:ascii="仿宋_GB2312"/>
              </w:rPr>
            </w:pPr>
            <w:r>
              <w:rPr>
                <w:rFonts w:hint="eastAsia" w:ascii="仿宋_GB2312"/>
              </w:rPr>
              <w:t>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强制清除遗洒物、污染物或者路面障碍、恢复原状</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107</w:t>
            </w:r>
          </w:p>
        </w:tc>
        <w:tc>
          <w:tcPr>
            <w:tcW w:w="3137" w:type="dxa"/>
          </w:tcPr>
          <w:p>
            <w:pPr>
              <w:tabs>
                <w:tab w:val="left" w:pos="0"/>
              </w:tabs>
              <w:spacing w:line="600" w:lineRule="exact"/>
              <w:jc w:val="center"/>
              <w:rPr>
                <w:rFonts w:ascii="仿宋_GB2312"/>
              </w:rPr>
            </w:pPr>
            <w:r>
              <w:rPr>
                <w:rFonts w:hint="eastAsia" w:ascii="仿宋_GB2312"/>
              </w:rPr>
              <w:t>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生产经营单位拒不执行停产停业、停止施工、停止使用相关设施或者设备的决定，有发生生产安全事故的现实危险的，采取停止供电措施</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108</w:t>
            </w:r>
          </w:p>
        </w:tc>
        <w:tc>
          <w:tcPr>
            <w:tcW w:w="3137" w:type="dxa"/>
          </w:tcPr>
          <w:p>
            <w:pPr>
              <w:tabs>
                <w:tab w:val="left" w:pos="0"/>
              </w:tabs>
              <w:spacing w:line="600" w:lineRule="exact"/>
              <w:jc w:val="center"/>
              <w:rPr>
                <w:rFonts w:ascii="仿宋_GB2312"/>
              </w:rPr>
            </w:pPr>
            <w:r>
              <w:rPr>
                <w:rFonts w:hint="eastAsia" w:ascii="仿宋_GB2312"/>
              </w:rPr>
              <w:t>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营运货车超载的强制卸货</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109</w:t>
            </w:r>
          </w:p>
        </w:tc>
        <w:tc>
          <w:tcPr>
            <w:tcW w:w="3137" w:type="dxa"/>
          </w:tcPr>
          <w:p>
            <w:pPr>
              <w:tabs>
                <w:tab w:val="left" w:pos="0"/>
              </w:tabs>
              <w:spacing w:line="600" w:lineRule="exact"/>
              <w:jc w:val="center"/>
              <w:rPr>
                <w:rFonts w:ascii="仿宋_GB2312"/>
              </w:rPr>
            </w:pPr>
            <w:r>
              <w:rPr>
                <w:rFonts w:hint="eastAsia" w:ascii="仿宋_GB2312"/>
              </w:rPr>
              <w:t>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对经批准进行超限运输的车辆，未按照指定时间、路线和速度行驶拒不改正的扣留车辆、工具；未随车携带超限运输车辆通行证的，扣留车辆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110</w:t>
            </w:r>
          </w:p>
        </w:tc>
        <w:tc>
          <w:tcPr>
            <w:tcW w:w="3137" w:type="dxa"/>
          </w:tcPr>
          <w:p>
            <w:pPr>
              <w:tabs>
                <w:tab w:val="left" w:pos="0"/>
              </w:tabs>
              <w:spacing w:line="600" w:lineRule="exact"/>
              <w:jc w:val="center"/>
              <w:rPr>
                <w:rFonts w:ascii="仿宋_GB2312"/>
              </w:rPr>
            </w:pPr>
            <w:r>
              <w:rPr>
                <w:rFonts w:hint="eastAsia" w:ascii="仿宋_GB2312"/>
              </w:rPr>
              <w:t>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强制拖离或者扣留（1、采取故意堵塞固定超限检测站点通行车道、强行通过固定超限检测站点等方式扰乱超限检测秩序的车辆；2、取短途驳载等方式逃避超限检、测的车辆）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四、行政裁决</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共1项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111</w:t>
            </w:r>
          </w:p>
        </w:tc>
        <w:tc>
          <w:tcPr>
            <w:tcW w:w="3137" w:type="dxa"/>
          </w:tcPr>
          <w:p>
            <w:pPr>
              <w:tabs>
                <w:tab w:val="left" w:pos="0"/>
              </w:tabs>
              <w:spacing w:line="600" w:lineRule="exact"/>
              <w:jc w:val="center"/>
              <w:rPr>
                <w:rFonts w:ascii="仿宋_GB2312"/>
              </w:rPr>
            </w:pPr>
            <w:r>
              <w:rPr>
                <w:rFonts w:hint="eastAsia" w:ascii="仿宋_GB2312"/>
              </w:rPr>
              <w:t>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客运班车发生纠纷裁决</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五、行政确认</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共3项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112</w:t>
            </w:r>
          </w:p>
        </w:tc>
        <w:tc>
          <w:tcPr>
            <w:tcW w:w="3137" w:type="dxa"/>
          </w:tcPr>
          <w:p>
            <w:pPr>
              <w:tabs>
                <w:tab w:val="left" w:pos="0"/>
              </w:tabs>
              <w:spacing w:line="600" w:lineRule="exact"/>
              <w:jc w:val="center"/>
              <w:rPr>
                <w:rFonts w:ascii="仿宋_GB2312"/>
              </w:rPr>
            </w:pPr>
            <w:r>
              <w:rPr>
                <w:rFonts w:hint="eastAsia" w:ascii="仿宋_GB2312"/>
              </w:rPr>
              <w:t>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道路客运站站级核定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113</w:t>
            </w:r>
          </w:p>
        </w:tc>
        <w:tc>
          <w:tcPr>
            <w:tcW w:w="3137" w:type="dxa"/>
          </w:tcPr>
          <w:p>
            <w:pPr>
              <w:tabs>
                <w:tab w:val="left" w:pos="0"/>
              </w:tabs>
              <w:spacing w:line="600" w:lineRule="exact"/>
              <w:jc w:val="center"/>
              <w:rPr>
                <w:rFonts w:ascii="仿宋_GB2312"/>
              </w:rPr>
            </w:pPr>
            <w:r>
              <w:rPr>
                <w:rFonts w:hint="eastAsia" w:ascii="仿宋_GB2312"/>
              </w:rPr>
              <w:t>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道路客运站站级核定</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114</w:t>
            </w:r>
          </w:p>
        </w:tc>
        <w:tc>
          <w:tcPr>
            <w:tcW w:w="3137" w:type="dxa"/>
          </w:tcPr>
          <w:p>
            <w:pPr>
              <w:tabs>
                <w:tab w:val="left" w:pos="0"/>
              </w:tabs>
              <w:spacing w:line="600" w:lineRule="exact"/>
              <w:jc w:val="center"/>
              <w:rPr>
                <w:rFonts w:ascii="仿宋_GB2312"/>
              </w:rPr>
            </w:pPr>
            <w:r>
              <w:rPr>
                <w:rFonts w:hint="eastAsia" w:ascii="仿宋_GB2312"/>
              </w:rPr>
              <w:t>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对在公路桥梁跨越的河道上下游各500米范围内疏浚作业符合公路桥梁安全要求的确认</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六、行政许可</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共0项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p>
        </w:tc>
        <w:tc>
          <w:tcPr>
            <w:tcW w:w="3137" w:type="dxa"/>
          </w:tcPr>
          <w:p>
            <w:pPr>
              <w:tabs>
                <w:tab w:val="left" w:pos="0"/>
              </w:tabs>
              <w:spacing w:line="600" w:lineRule="exact"/>
              <w:jc w:val="center"/>
              <w:rPr>
                <w:rFonts w:ascii="仿宋_GB2312"/>
              </w:rPr>
            </w:pPr>
            <w:r>
              <w:rPr>
                <w:rFonts w:hint="eastAsia" w:ascii="仿宋_GB2312"/>
              </w:rPr>
              <w:t>七、其他权力</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共11项</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115</w:t>
            </w:r>
          </w:p>
        </w:tc>
        <w:tc>
          <w:tcPr>
            <w:tcW w:w="3137" w:type="dxa"/>
          </w:tcPr>
          <w:p>
            <w:pPr>
              <w:tabs>
                <w:tab w:val="left" w:pos="0"/>
              </w:tabs>
              <w:spacing w:line="600" w:lineRule="exact"/>
              <w:jc w:val="center"/>
              <w:rPr>
                <w:rFonts w:ascii="仿宋_GB2312"/>
              </w:rPr>
            </w:pPr>
            <w:r>
              <w:rPr>
                <w:rFonts w:hint="eastAsia" w:ascii="仿宋_GB2312"/>
              </w:rPr>
              <w:t>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经营性道路客货运输车辆道路运输证办理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116</w:t>
            </w:r>
          </w:p>
        </w:tc>
        <w:tc>
          <w:tcPr>
            <w:tcW w:w="3137" w:type="dxa"/>
          </w:tcPr>
          <w:p>
            <w:pPr>
              <w:tabs>
                <w:tab w:val="left" w:pos="0"/>
              </w:tabs>
              <w:spacing w:line="600" w:lineRule="exact"/>
              <w:jc w:val="center"/>
              <w:rPr>
                <w:rFonts w:ascii="仿宋_GB2312"/>
              </w:rPr>
            </w:pPr>
            <w:r>
              <w:rPr>
                <w:rFonts w:hint="eastAsia" w:ascii="仿宋_GB2312"/>
              </w:rPr>
              <w:t>2</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经营性道路客货运输车辆道路运输证办理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117</w:t>
            </w:r>
          </w:p>
        </w:tc>
        <w:tc>
          <w:tcPr>
            <w:tcW w:w="3137" w:type="dxa"/>
          </w:tcPr>
          <w:p>
            <w:pPr>
              <w:tabs>
                <w:tab w:val="left" w:pos="0"/>
              </w:tabs>
              <w:spacing w:line="600" w:lineRule="exact"/>
              <w:jc w:val="center"/>
              <w:rPr>
                <w:rFonts w:ascii="仿宋_GB2312"/>
              </w:rPr>
            </w:pPr>
            <w:r>
              <w:rPr>
                <w:rFonts w:hint="eastAsia" w:ascii="仿宋_GB2312"/>
              </w:rPr>
              <w:t>3</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经营性道路客货运输车辆道路运输证办理</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118</w:t>
            </w:r>
          </w:p>
        </w:tc>
        <w:tc>
          <w:tcPr>
            <w:tcW w:w="3137" w:type="dxa"/>
          </w:tcPr>
          <w:p>
            <w:pPr>
              <w:tabs>
                <w:tab w:val="left" w:pos="0"/>
              </w:tabs>
              <w:spacing w:line="600" w:lineRule="exact"/>
              <w:jc w:val="center"/>
              <w:rPr>
                <w:rFonts w:ascii="仿宋_GB2312"/>
              </w:rPr>
            </w:pPr>
            <w:r>
              <w:rPr>
                <w:rFonts w:hint="eastAsia" w:ascii="仿宋_GB2312"/>
              </w:rPr>
              <w:t>4</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货物运输代理经营者备案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119</w:t>
            </w:r>
          </w:p>
        </w:tc>
        <w:tc>
          <w:tcPr>
            <w:tcW w:w="3137" w:type="dxa"/>
          </w:tcPr>
          <w:p>
            <w:pPr>
              <w:tabs>
                <w:tab w:val="left" w:pos="0"/>
              </w:tabs>
              <w:spacing w:line="600" w:lineRule="exact"/>
              <w:jc w:val="center"/>
              <w:rPr>
                <w:rFonts w:ascii="仿宋_GB2312"/>
              </w:rPr>
            </w:pPr>
            <w:r>
              <w:rPr>
                <w:rFonts w:hint="eastAsia" w:ascii="仿宋_GB2312"/>
              </w:rPr>
              <w:t>5</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道路货物运输和货运站经营者变更名称、地址等备案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120</w:t>
            </w:r>
          </w:p>
        </w:tc>
        <w:tc>
          <w:tcPr>
            <w:tcW w:w="3137" w:type="dxa"/>
          </w:tcPr>
          <w:p>
            <w:pPr>
              <w:tabs>
                <w:tab w:val="left" w:pos="0"/>
              </w:tabs>
              <w:spacing w:line="600" w:lineRule="exact"/>
              <w:jc w:val="center"/>
              <w:rPr>
                <w:rFonts w:ascii="仿宋_GB2312"/>
              </w:rPr>
            </w:pPr>
            <w:r>
              <w:rPr>
                <w:rFonts w:hint="eastAsia" w:ascii="仿宋_GB2312"/>
              </w:rPr>
              <w:t>6</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道路普货运输经营者设立分公司</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121</w:t>
            </w:r>
          </w:p>
        </w:tc>
        <w:tc>
          <w:tcPr>
            <w:tcW w:w="3137" w:type="dxa"/>
          </w:tcPr>
          <w:p>
            <w:pPr>
              <w:tabs>
                <w:tab w:val="left" w:pos="0"/>
              </w:tabs>
              <w:spacing w:line="600" w:lineRule="exact"/>
              <w:jc w:val="center"/>
              <w:rPr>
                <w:rFonts w:ascii="仿宋_GB2312"/>
              </w:rPr>
            </w:pPr>
            <w:r>
              <w:rPr>
                <w:rFonts w:hint="eastAsia" w:ascii="仿宋_GB2312"/>
              </w:rPr>
              <w:t>7</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机动车维修经营备案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122</w:t>
            </w:r>
          </w:p>
        </w:tc>
        <w:tc>
          <w:tcPr>
            <w:tcW w:w="3137" w:type="dxa"/>
          </w:tcPr>
          <w:p>
            <w:pPr>
              <w:tabs>
                <w:tab w:val="left" w:pos="0"/>
              </w:tabs>
              <w:spacing w:line="600" w:lineRule="exact"/>
              <w:jc w:val="center"/>
              <w:rPr>
                <w:rFonts w:ascii="仿宋_GB2312"/>
              </w:rPr>
            </w:pPr>
            <w:r>
              <w:rPr>
                <w:rFonts w:hint="eastAsia" w:ascii="仿宋_GB2312"/>
              </w:rPr>
              <w:t>8</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机动车维修经营者备案事项变更</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123</w:t>
            </w:r>
          </w:p>
        </w:tc>
        <w:tc>
          <w:tcPr>
            <w:tcW w:w="3137" w:type="dxa"/>
          </w:tcPr>
          <w:p>
            <w:pPr>
              <w:tabs>
                <w:tab w:val="left" w:pos="0"/>
              </w:tabs>
              <w:spacing w:line="600" w:lineRule="exact"/>
              <w:jc w:val="center"/>
              <w:rPr>
                <w:rFonts w:ascii="仿宋_GB2312"/>
              </w:rPr>
            </w:pPr>
            <w:r>
              <w:rPr>
                <w:rFonts w:hint="eastAsia" w:ascii="仿宋_GB2312"/>
              </w:rPr>
              <w:t>9</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公路建设项目资格预审文件、招标文件、补疑书、招标结果报告备案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124</w:t>
            </w:r>
          </w:p>
        </w:tc>
        <w:tc>
          <w:tcPr>
            <w:tcW w:w="3137" w:type="dxa"/>
          </w:tcPr>
          <w:p>
            <w:pPr>
              <w:tabs>
                <w:tab w:val="left" w:pos="0"/>
              </w:tabs>
              <w:spacing w:line="600" w:lineRule="exact"/>
              <w:jc w:val="center"/>
              <w:rPr>
                <w:rFonts w:ascii="仿宋_GB2312"/>
              </w:rPr>
            </w:pPr>
            <w:r>
              <w:rPr>
                <w:rFonts w:hint="eastAsia" w:ascii="仿宋_GB2312"/>
              </w:rPr>
              <w:t>10</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公路建设项目法人资格审核备案</w:t>
            </w:r>
          </w:p>
        </w:tc>
        <w:tc>
          <w:tcPr>
            <w:tcW w:w="2637" w:type="dxa"/>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tcPr>
          <w:p>
            <w:pPr>
              <w:jc w:val="center"/>
              <w:rPr>
                <w:rFonts w:ascii="仿宋_GB2312"/>
              </w:rPr>
            </w:pPr>
            <w:r>
              <w:rPr>
                <w:rFonts w:hint="eastAsia" w:ascii="仿宋_GB2312"/>
              </w:rPr>
              <w:t>125</w:t>
            </w:r>
          </w:p>
        </w:tc>
        <w:tc>
          <w:tcPr>
            <w:tcW w:w="3137" w:type="dxa"/>
          </w:tcPr>
          <w:p>
            <w:pPr>
              <w:tabs>
                <w:tab w:val="left" w:pos="0"/>
              </w:tabs>
              <w:spacing w:line="600" w:lineRule="exact"/>
              <w:jc w:val="center"/>
              <w:rPr>
                <w:rFonts w:ascii="仿宋_GB2312"/>
              </w:rPr>
            </w:pPr>
            <w:r>
              <w:rPr>
                <w:rFonts w:hint="eastAsia" w:ascii="仿宋_GB2312"/>
              </w:rPr>
              <w:t>11</w:t>
            </w:r>
          </w:p>
        </w:tc>
        <w:tc>
          <w:tcPr>
            <w:tcW w:w="6640" w:type="dxa"/>
            <w:vAlign w:val="center"/>
          </w:tcPr>
          <w:p>
            <w:pPr>
              <w:tabs>
                <w:tab w:val="left" w:pos="7937"/>
              </w:tabs>
              <w:spacing w:line="360" w:lineRule="exact"/>
              <w:jc w:val="center"/>
              <w:rPr>
                <w:rFonts w:ascii="仿宋_GB2312" w:hAnsi="仿宋_GB2312" w:cs="仿宋_GB2312"/>
                <w:sz w:val="28"/>
                <w:szCs w:val="28"/>
              </w:rPr>
            </w:pPr>
            <w:r>
              <w:rPr>
                <w:rFonts w:hint="eastAsia" w:ascii="仿宋_GB2312" w:hAnsi="仿宋_GB2312" w:cs="仿宋_GB2312"/>
                <w:sz w:val="28"/>
                <w:szCs w:val="28"/>
              </w:rPr>
              <w:t>公路建设项目交工验收备案</w:t>
            </w:r>
          </w:p>
        </w:tc>
        <w:tc>
          <w:tcPr>
            <w:tcW w:w="2637" w:type="dxa"/>
          </w:tcPr>
          <w:p>
            <w:pPr>
              <w:spacing w:line="600" w:lineRule="exact"/>
              <w:jc w:val="center"/>
              <w:rPr>
                <w:rFonts w:ascii="仿宋_GB2312"/>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72B730"/>
    <w:multiLevelType w:val="singleLevel"/>
    <w:tmpl w:val="E472B730"/>
    <w:lvl w:ilvl="0" w:tentative="0">
      <w:start w:val="1"/>
      <w:numFmt w:val="decimal"/>
      <w:isLgl/>
      <w:suff w:val="nothing"/>
      <w:lvlText w:val="%1"/>
      <w:lvlJc w:val="center"/>
      <w:pPr>
        <w:tabs>
          <w:tab w:val="left" w:pos="0"/>
        </w:tabs>
        <w:ind w:left="0" w:firstLine="0"/>
      </w:pPr>
      <w:rPr>
        <w:rFonts w:hint="default" w:ascii="宋体" w:hAnsi="宋体" w:eastAsia="宋体" w:cs="宋体"/>
        <w:szCs w:val="16"/>
      </w:rPr>
    </w:lvl>
  </w:abstractNum>
  <w:abstractNum w:abstractNumId="1">
    <w:nsid w:val="14510D5A"/>
    <w:multiLevelType w:val="singleLevel"/>
    <w:tmpl w:val="14510D5A"/>
    <w:lvl w:ilvl="0" w:tentative="0">
      <w:start w:val="1"/>
      <w:numFmt w:val="decimal"/>
      <w:lvlText w:val="%1"/>
      <w:lvlJc w:val="left"/>
      <w:pPr>
        <w:tabs>
          <w:tab w:val="left" w:pos="420"/>
        </w:tabs>
        <w:ind w:left="106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31362"/>
    <w:rsid w:val="00150DC1"/>
    <w:rsid w:val="002A1FF2"/>
    <w:rsid w:val="021A56CC"/>
    <w:rsid w:val="0A724AAB"/>
    <w:rsid w:val="11F06035"/>
    <w:rsid w:val="15357511"/>
    <w:rsid w:val="15F66E48"/>
    <w:rsid w:val="1B3F477E"/>
    <w:rsid w:val="20094192"/>
    <w:rsid w:val="26196048"/>
    <w:rsid w:val="28BB185F"/>
    <w:rsid w:val="2EBD3F2F"/>
    <w:rsid w:val="337D3021"/>
    <w:rsid w:val="340630C8"/>
    <w:rsid w:val="362B0E4B"/>
    <w:rsid w:val="395A7046"/>
    <w:rsid w:val="3B4977A2"/>
    <w:rsid w:val="3B531362"/>
    <w:rsid w:val="3E604987"/>
    <w:rsid w:val="3EBB1CD7"/>
    <w:rsid w:val="3F116139"/>
    <w:rsid w:val="42A51A26"/>
    <w:rsid w:val="469A014A"/>
    <w:rsid w:val="47210130"/>
    <w:rsid w:val="48D36B4A"/>
    <w:rsid w:val="4C08013B"/>
    <w:rsid w:val="4D886CA1"/>
    <w:rsid w:val="50C53A61"/>
    <w:rsid w:val="5F276AEE"/>
    <w:rsid w:val="616F5C02"/>
    <w:rsid w:val="64277287"/>
    <w:rsid w:val="6EBA03D6"/>
    <w:rsid w:val="6ED64E7A"/>
    <w:rsid w:val="705448F9"/>
    <w:rsid w:val="73E52576"/>
    <w:rsid w:val="753B5724"/>
    <w:rsid w:val="769B7406"/>
    <w:rsid w:val="78F7013F"/>
    <w:rsid w:val="7BD61FB2"/>
    <w:rsid w:val="7C8477A1"/>
    <w:rsid w:val="7EE83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1150</Words>
  <Characters>6556</Characters>
  <Lines>54</Lines>
  <Paragraphs>15</Paragraphs>
  <TotalTime>1</TotalTime>
  <ScaleCrop>false</ScaleCrop>
  <LinksUpToDate>false</LinksUpToDate>
  <CharactersWithSpaces>7691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2021-05-07T06:03:00Z</dcterms:created>
  <dc:creator>我</dc:creator>
  <cp:lastModifiedBy>Administratorgy0312</cp:lastModifiedBy>
  <dcterms:modified xsi:type="dcterms:W3CDTF">2025-01-26T08:59:38Z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9583A06229DA4D94B5F20CDFD04189B0</vt:lpwstr>
  </property>
</Properties>
</file>