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4680" w:firstLineChars="1300"/>
        <w:jc w:val="left"/>
        <w:rPr>
          <w:rFonts w:ascii="方正小标宋简体" w:hAnsi="方正小标宋简体" w:eastAsia="方正小标宋简体"/>
          <w:sz w:val="36"/>
        </w:rPr>
      </w:pPr>
      <w:r>
        <w:rPr>
          <w:rFonts w:hint="eastAsia" w:ascii="方正小标宋简体" w:hAnsi="方正小标宋简体" w:eastAsia="方正小标宋简体" w:cs="Arial"/>
          <w:sz w:val="36"/>
          <w:lang w:eastAsia="zh-CN"/>
        </w:rPr>
        <w:t>高阳县住房和城乡建设局</w:t>
      </w:r>
      <w:r>
        <w:rPr>
          <w:rFonts w:hint="eastAsia" w:ascii="方正小标宋简体" w:hAnsi="方正小标宋简体" w:eastAsia="方正小标宋简体" w:cs="Arial"/>
          <w:sz w:val="36"/>
        </w:rPr>
        <w:t>部门</w:t>
      </w:r>
      <w:r>
        <w:rPr>
          <w:rFonts w:hint="eastAsia" w:ascii="方正小标宋简体" w:hAnsi="方正小标宋简体" w:eastAsia="方正小标宋简体"/>
          <w:sz w:val="36"/>
        </w:rPr>
        <w:t>权责清单事项总表</w:t>
      </w:r>
    </w:p>
    <w:p>
      <w:pPr>
        <w:spacing w:line="600" w:lineRule="exact"/>
        <w:jc w:val="center"/>
        <w:rPr>
          <w:rFonts w:ascii="楷体_GB2312" w:hAnsi="楷体_GB2312" w:eastAsia="楷体_GB2312"/>
          <w:sz w:val="36"/>
        </w:rPr>
      </w:pPr>
      <w:r>
        <w:rPr>
          <w:rFonts w:hint="eastAsia" w:ascii="楷体_GB2312" w:hAnsi="楷体_GB2312" w:eastAsia="楷体_GB2312"/>
        </w:rPr>
        <w:t>（共</w:t>
      </w:r>
      <w:r>
        <w:rPr>
          <w:rFonts w:hint="eastAsia" w:ascii="楷体_GB2312" w:hAnsi="楷体_GB2312" w:eastAsia="楷体_GB2312"/>
          <w:lang w:val="en-US" w:eastAsia="zh-CN"/>
        </w:rPr>
        <w:t>3</w:t>
      </w:r>
      <w:r>
        <w:rPr>
          <w:rFonts w:hint="eastAsia" w:ascii="楷体_GB2312" w:hAnsi="楷体_GB2312" w:eastAsia="楷体_GB2312"/>
        </w:rPr>
        <w:t>类、</w:t>
      </w:r>
      <w:r>
        <w:rPr>
          <w:rFonts w:hint="eastAsia" w:ascii="楷体_GB2312" w:hAnsi="楷体_GB2312" w:eastAsia="楷体_GB2312"/>
          <w:lang w:val="en-US" w:eastAsia="zh-CN"/>
        </w:rPr>
        <w:t>50</w:t>
      </w:r>
      <w:r>
        <w:rPr>
          <w:rFonts w:hint="eastAsia" w:ascii="楷体_GB2312" w:hAnsi="楷体_GB2312" w:eastAsia="楷体_GB2312"/>
        </w:rPr>
        <w:t>项）</w:t>
      </w:r>
    </w:p>
    <w:p>
      <w:pPr>
        <w:spacing w:line="600" w:lineRule="exact"/>
        <w:rPr>
          <w:rFonts w:ascii="仿宋_GB2312"/>
        </w:rPr>
      </w:pPr>
      <w:r>
        <w:rPr>
          <w:rFonts w:hint="eastAsia" w:ascii="楷体_GB2312" w:hAnsi="楷体_GB2312" w:eastAsia="楷体_GB2312"/>
          <w:sz w:val="28"/>
        </w:rPr>
        <w:t>单位</w:t>
      </w:r>
      <w:r>
        <w:rPr>
          <w:rFonts w:hint="eastAsia" w:ascii="楷体_GB2312" w:hAnsi="楷体_GB2312" w:eastAsia="楷体_GB2312"/>
          <w:sz w:val="28"/>
          <w:lang w:eastAsia="zh-CN"/>
        </w:rPr>
        <w:t>高阳县</w:t>
      </w:r>
      <w:r>
        <w:rPr>
          <w:rFonts w:hint="eastAsia" w:ascii="楷体_GB2312" w:hAnsi="楷体_GB2312" w:eastAsia="楷体_GB2312" w:cs="Arial"/>
          <w:sz w:val="28"/>
        </w:rPr>
        <w:t>（公章）</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200"/>
        <w:gridCol w:w="6563"/>
        <w:gridCol w:w="2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总序号</w:t>
            </w:r>
          </w:p>
        </w:tc>
        <w:tc>
          <w:tcPr>
            <w:tcW w:w="3200"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类别及序号</w:t>
            </w:r>
          </w:p>
        </w:tc>
        <w:tc>
          <w:tcPr>
            <w:tcW w:w="6563" w:type="dxa"/>
            <w:vAlign w:val="center"/>
          </w:tcPr>
          <w:p>
            <w:pPr>
              <w:autoSpaceDE w:val="0"/>
              <w:autoSpaceDN w:val="0"/>
              <w:adjustRightInd w:val="0"/>
              <w:jc w:val="center"/>
              <w:rPr>
                <w:rFonts w:ascii="黑体" w:hAnsi="黑体" w:eastAsia="黑体"/>
              </w:rPr>
            </w:pPr>
            <w:r>
              <w:rPr>
                <w:rFonts w:hint="eastAsia" w:ascii="黑体" w:hAnsi="黑体" w:eastAsia="黑体"/>
                <w:color w:val="000000"/>
                <w:szCs w:val="28"/>
                <w:lang w:val="zh-CN"/>
              </w:rPr>
              <w:t>项目名称及数量</w:t>
            </w:r>
          </w:p>
        </w:tc>
        <w:tc>
          <w:tcPr>
            <w:tcW w:w="2651" w:type="dxa"/>
            <w:vAlign w:val="center"/>
          </w:tcPr>
          <w:p>
            <w:pPr>
              <w:spacing w:line="600" w:lineRule="exact"/>
              <w:jc w:val="center"/>
              <w:rPr>
                <w:rFonts w:ascii="黑体" w:hAnsi="黑体" w:eastAsia="黑体"/>
              </w:rPr>
            </w:pPr>
            <w:r>
              <w:rPr>
                <w:rFonts w:hint="eastAsia" w:ascii="黑体" w:hAnsi="黑体" w:eastAsia="黑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ascii="仿宋_GB2312"/>
              </w:rPr>
            </w:pPr>
          </w:p>
        </w:tc>
        <w:tc>
          <w:tcPr>
            <w:tcW w:w="3200" w:type="dxa"/>
            <w:vAlign w:val="center"/>
          </w:tcPr>
          <w:p>
            <w:pPr>
              <w:spacing w:line="600" w:lineRule="exact"/>
              <w:jc w:val="center"/>
              <w:rPr>
                <w:rFonts w:ascii="仿宋_GB2312"/>
              </w:rPr>
            </w:pPr>
            <w:r>
              <w:rPr>
                <w:rFonts w:hint="eastAsia" w:ascii="仿宋_GB2312"/>
              </w:rPr>
              <w:t>一、行政处罚</w:t>
            </w:r>
          </w:p>
        </w:tc>
        <w:tc>
          <w:tcPr>
            <w:tcW w:w="6563" w:type="dxa"/>
            <w:vAlign w:val="center"/>
          </w:tcPr>
          <w:p>
            <w:pPr>
              <w:spacing w:line="600" w:lineRule="exact"/>
              <w:jc w:val="center"/>
              <w:rPr>
                <w:rFonts w:ascii="仿宋_GB2312"/>
              </w:rPr>
            </w:pPr>
            <w:r>
              <w:rPr>
                <w:rFonts w:hint="eastAsia" w:ascii="仿宋_GB2312"/>
              </w:rPr>
              <w:t>共4</w:t>
            </w:r>
            <w:r>
              <w:rPr>
                <w:rFonts w:ascii="仿宋_GB2312"/>
              </w:rPr>
              <w:t>4</w:t>
            </w:r>
            <w:r>
              <w:rPr>
                <w:rFonts w:hint="eastAsia" w:ascii="仿宋_GB2312"/>
              </w:rPr>
              <w:t>项</w:t>
            </w:r>
          </w:p>
        </w:tc>
        <w:tc>
          <w:tcPr>
            <w:tcW w:w="2651" w:type="dxa"/>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6563" w:type="dxa"/>
            <w:vAlign w:val="center"/>
          </w:tcPr>
          <w:p>
            <w:pPr>
              <w:widowControl/>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     出租单位、自购建筑起重机械的使用单位有以下行为的处罚：（一）未按照规定办理备案的；（二）未按照规定办理注销手续的；（三）未按照规定建立建筑起重机械</w:t>
            </w:r>
            <w:bookmarkStart w:id="0" w:name="_GoBack"/>
            <w:bookmarkEnd w:id="0"/>
            <w:r>
              <w:rPr>
                <w:rFonts w:hint="eastAsia" w:ascii="仿宋_GB2312" w:hAnsi="仿宋_GB2312" w:eastAsia="仿宋_GB2312" w:cs="仿宋_GB2312"/>
                <w:color w:val="000000"/>
                <w:sz w:val="21"/>
                <w:szCs w:val="21"/>
              </w:rPr>
              <w:t>安全技术档案的处罚</w:t>
            </w:r>
          </w:p>
          <w:p>
            <w:pPr>
              <w:widowControl/>
              <w:spacing w:line="300" w:lineRule="exact"/>
              <w:rPr>
                <w:rFonts w:hint="eastAsia" w:ascii="仿宋_GB2312" w:hAnsi="仿宋_GB2312" w:eastAsia="仿宋_GB2312" w:cs="仿宋_GB2312"/>
                <w:color w:val="000000"/>
                <w:sz w:val="21"/>
                <w:szCs w:val="21"/>
              </w:rPr>
            </w:pP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6563" w:type="dxa"/>
            <w:vAlign w:val="center"/>
          </w:tcPr>
          <w:p>
            <w:pPr>
              <w:widowControl/>
              <w:spacing w:line="300" w:lineRule="exact"/>
              <w:ind w:firstLine="42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建筑起重机械安装单位有以下行为的处罚：（一）未按照安全技术标准及安装使用说明书等检查建筑起重机械及现场施工条件；（二）未制定建筑起重机械安装、拆卸工程生产安全事故应急救援预案；（三）未将建筑起重机械安装、拆卸工程专项施工方案，安装、拆卸人员名单，安装、拆卸时间等材料报施工总承包单位和监理单位审核后，告知工程所在地县级以上地方人民政府建设主管部门（四）未按照规定建立建筑起重机械安装、拆卸工程档案的；（五）未按照建筑起重机械安装、拆卸工程专项施工方案及安全操作规程组织安装、拆卸作业的处罚</w:t>
            </w:r>
          </w:p>
          <w:p>
            <w:pPr>
              <w:widowControl/>
              <w:spacing w:line="300" w:lineRule="exact"/>
              <w:rPr>
                <w:rFonts w:hint="eastAsia" w:ascii="仿宋_GB2312" w:hAnsi="仿宋_GB2312" w:eastAsia="仿宋_GB2312" w:cs="仿宋_GB2312"/>
                <w:color w:val="000000"/>
                <w:sz w:val="21"/>
                <w:szCs w:val="21"/>
              </w:rPr>
            </w:pP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建筑起重机械使用单位有以下的处罚：（一）未根据不同施工阶段、周围环境以及季节、气候的变化，对建筑起重机械采取相应的安全防护措施；（二）未制定建筑起重机械生产安全事故应急救援预案（三）未设置相应的设备管理机构或者配备专职的设备管理人员（四）建筑起重机械出现故障或者发生异常情况的，未立即停止使用（五）未指定专职设备管理人员进行现场监督检查的；（六）擅自在建筑起重机械上安装非原制造厂制造的标准节和附着装置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施工总承包单位有以下行为的处罚：（一）未向安装单位提供拟安装设备位置的基础施工资料，确保建筑起重机械进场安装、拆卸所需的施工条件；（二）未审核安装单位、使用单位的资质证书、安全生产许可证和特种作业人员的特种作业操作资格证书（三）未审核安装单位制定的建筑起重机械安装、拆卸工程专项施工方案和生产安全事故应急救援预案；（四）未审核使用单位制定的建筑起重机械生产安全事故应急救援预案；（五）施工现场有多台塔式起重机作业时，未组织制定并实施防止塔式起重机相互碰撞的安全措施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监理单位有以下行为的处罚：（一）未审核建筑起重机械特种设备制造许可证、产品合格证、制造监督检验证明、备案证明等文件；（二）未审核建筑起重机械安装单位、使用单位的资质证书、安全生产许可证和特种作业人员的特种作业操作资格证书（三）未监督安装单位执行建筑起重机械安装、拆卸工程专项施工方案情况；（四）未监督检查建筑起重机械的使用情况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监理单位有以下行为的处罚：（一）未审核建筑起重机械特种设备制造许可证、产品合格证、制造监督检验证明、备案证明等文件；（二）未审核建筑起重机械安装单位、使用单位的资质证书、安全生产许可证和特种作业人员的特种作业操作资格证书（三）未监督安装单位执行建筑起重机械安装、拆卸工程专项施工方案情况；（四）未监督检查建筑起重机械的使用情况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7</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对施工单位未设立安全生产管理机构、配备专职安全生产管理人员或者分部分项工程施工时无专职安全生产管理人员现场监督的；施工单位的主要负责人、项目负责人、专职安全生产管理人员、作业人员或者特种作业人员，未经安全教育培训或者经考核不合格即从事相关工作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8</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施工单位有以下行为的行政处罚：(一)施工前未对有关安全施工的技术要求作出详细说明的；(二)未根据不同施工阶段和周围环境及季节、气候的变化，在施工现场采取相应的安全施工措施，或者在城市市区内的建设工程的施工现场未实行封闭围挡的；(三)在尚未竣工的建筑物内设置员工集体宿舍的；(四)施工现场临时搭建的建筑物不符合安全使用要求的；(五)未对因建设工程施工可能造成损害的毗邻建筑物、构筑物和地下管线等采取专项防护措施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9</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在城市市区进行建设施工或者从事其他产生扬尘污染的活动，未采取有效扬尘防治措施，致使大气环境受污染的处罚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建设单位未取得施工许可证或者开工报告未经批准，擅自施工的处罚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11</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物业服务企业未取得资质证书从事物业管理</w:t>
            </w:r>
            <w:r>
              <w:rPr>
                <w:rFonts w:hint="eastAsia" w:ascii="仿宋_GB2312" w:hAnsi="仿宋_GB2312" w:cs="仿宋_GB2312"/>
                <w:sz w:val="21"/>
                <w:szCs w:val="21"/>
                <w:lang w:eastAsia="zh-CN"/>
              </w:rPr>
              <w:t>的</w:t>
            </w:r>
            <w:r>
              <w:rPr>
                <w:rFonts w:hint="eastAsia" w:ascii="仿宋_GB2312" w:hAnsi="仿宋_GB2312" w:eastAsia="仿宋_GB2312" w:cs="仿宋_GB2312"/>
                <w:sz w:val="21"/>
                <w:szCs w:val="21"/>
              </w:rPr>
              <w:t>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12</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施工单位对于未取得施工许可证的项目擅自施工的处罚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工程监理单位有以下行为的处罚：(一)未对施工组织设计中的安全技术措施或者专项施工方案进行审查的；(二)发现安全事故隐患未及时要求施工单位整改或者暂时停止施工的；(三)施工单位拒不整改或者不停止施工，未及时向有关主管部门报告的；(四)未依照法律、法规和工程建设强制性标准实施监理的。</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对城镇排水与污水处理设施覆盖范围内的排水单位和个人，未按照国家有关规定将污水排入城镇排水设施，或在雨水、污水分流地区将污水排入雨水管网的处罚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对违反燃气经营者相关规定行为的处罚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16</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未取得安全生产许可证擅自进行生产的处罚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17</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对未取得燃气经营许可证从事燃气经营活动，燃气经营者不按照燃气经营许可证的规定从事燃气经营活动的处罚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18</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建设单位未组织竣工验收或者验收不合格擅自交付使用的处罚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19</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19</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进行消防设计审查的建设工程，未经依法审查或审查不合格擅自施工的处罚</w:t>
            </w:r>
          </w:p>
          <w:p>
            <w:pPr>
              <w:spacing w:line="600" w:lineRule="exact"/>
              <w:jc w:val="center"/>
              <w:rPr>
                <w:rFonts w:hint="eastAsia" w:ascii="仿宋_GB2312" w:hAnsi="仿宋_GB2312" w:eastAsia="仿宋_GB2312" w:cs="仿宋_GB2312"/>
                <w:sz w:val="21"/>
                <w:szCs w:val="21"/>
              </w:rPr>
            </w:pP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20</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进行消防验收的建设工程，未经消防验收不合格擅自投入使用的</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21</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建筑节能标准执行情况</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22</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对发包单位将工程发包给不具有相应资质条件的承包单位的，或者违反本法规定将建筑工程肢解发包的处罚。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23</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未取得资质证书承揽工程的处罚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24</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建设单位有以下行为的处罚：（一）迫使承包方以低于成本的价格竞标的；（二）任意压缩合理工期的；（三）施工图设计文件未经审查或者审查不合格，擅自施工的；（四）建设项目必须实行工程监理而未实行工程监理的；（五）未按照国家规定办理工程质量监督手续的；（六）未按照国家规定将竣工验收报告、有关认可文件或者准许使用文件报送备案的。</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25</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25</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未向建设行政主管部门或者其他有关部门移交建设项目档案的处罚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26</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26</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施工单位未对建筑材料、建筑构配件、设备和商品混凝土进行检验，或者未对涉及结构安全的试块、试件以及有关材料取样检测的处罚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27</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27</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必须进行招标的项目而不招标的，将必须进行招标的项目化整为零或者以其他任何方式规避招标的处罚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28</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28</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1、房地产开发企业有下列行为之一的处罚：一）销售商品房时，房地产开发企业未将建设工程设计方案及住宅小区各项公2、共服务设施建筑面积、用地面积和承诺事项，在项目所在地或者销售地点进行公示，对商品房的质量、面积、性能和周围环境等情况作引人误解的虚假宣传。（二）商品房交付使用时，房地产开发企业未向购买人提供住宅质量保证书和住宅使用说明书。</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29</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29</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超越本单位资质等级承揽工程的处罚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30</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30</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承包单位将承包的工程转包的，或者违反规定进行分包的处罚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31</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31</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涉及建筑主体或者承重结构变动的装修工程擅自施工的处罚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32</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32</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建筑施工企业在施工中偷工减料的，使用不合格的建筑材料、建筑构配件和设备的，或者有其他不按照工程设计图纸或者施工技术标准施工的处罚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33</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未依照规定委托监理的处罚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34</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发包方将建设工程勘察、设计业务发包给不具有相应资质等级的建设工程勘察、 设计单位的处罚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35</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35</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施工单位违反工程建设强制性标准的处罚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36</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36</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在城市市区进行建设施工或者从事其他产生扬尘污染的活动，未采取有效扬尘防治措施，致使大气环境受污染的处罚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37</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37</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中标人不按照与招标人订立的合同履行义务的处罚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38</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38</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未取得资质等级证书或者超越资质等级从事房地产开发经营的处罚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39</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39</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房地产开发企业涂改、出租、出借、转让、出卖资质证书的处罚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40</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40</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挪用专项维修资金的处罚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41</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41</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未取得注册证书和执业印章，担任大中型建设工程项目施工单位项目负责人，或者以注册建造师的名义从事相关活动的处罚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42</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42</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建设单位或者建设工程的产权人有下列行为的处罚：（一）要求设计单位或者施工单位不对建设工程采取抗震措施的；（二）要求设计单位或者施工单位降低抗震设防标准的；（三）抗震设计或者抗震加固设计未经审查同意，擅自开工的；（四）装饰装修建设工程破坏工程原有主体结构的；（五）改建、扩建建设工程擅自改变工程原有主体结构的；（六）对不符合抗震要求的建设工程进行改建、扩建没有同时采取抗震加固措施的（七）对不符合抗震要求的建设工程未完成抗震加固而进行其他新建非生产性建设工程的。</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43</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施工单位有下列行为的处罚：（一）未按批准的设计文件和国家规定的施工技术规范进行施工的；（二）因施工原因造成在建建设工程不符合抗震要求未予改正的；（三）在施工中偷工减料的；（四）擅自更改或者取消设计文件中规定的抗震设防措施的。</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44</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被许可人以欺骗、贿赂等不正当手段取得行政许可的处罚</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行政征收</w:t>
            </w:r>
          </w:p>
        </w:tc>
        <w:tc>
          <w:tcPr>
            <w:tcW w:w="6563" w:type="dxa"/>
            <w:vAlign w:val="center"/>
          </w:tcPr>
          <w:p>
            <w:pPr>
              <w:spacing w:line="6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1项</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4</w:t>
            </w:r>
            <w:r>
              <w:rPr>
                <w:rFonts w:hint="eastAsia" w:ascii="仿宋_GB2312" w:hAnsi="仿宋_GB2312" w:eastAsia="仿宋_GB2312" w:cs="仿宋_GB2312"/>
                <w:sz w:val="21"/>
                <w:szCs w:val="21"/>
                <w:lang w:val="en-US" w:eastAsia="zh-CN"/>
              </w:rPr>
              <w:t>5</w:t>
            </w:r>
          </w:p>
        </w:tc>
        <w:tc>
          <w:tcPr>
            <w:tcW w:w="3200"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城市基础设施配套费的征收</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rPr>
            </w:pPr>
          </w:p>
        </w:tc>
        <w:tc>
          <w:tcPr>
            <w:tcW w:w="3200" w:type="dxa"/>
            <w:vAlign w:val="center"/>
          </w:tcPr>
          <w:p>
            <w:pPr>
              <w:spacing w:line="6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其他类</w:t>
            </w:r>
          </w:p>
        </w:tc>
        <w:tc>
          <w:tcPr>
            <w:tcW w:w="6563"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共</w:t>
            </w:r>
            <w:r>
              <w:rPr>
                <w:rFonts w:hint="eastAsia" w:ascii="仿宋_GB2312" w:hAnsi="仿宋_GB2312" w:eastAsia="仿宋_GB2312" w:cs="仿宋_GB2312"/>
                <w:sz w:val="21"/>
                <w:szCs w:val="21"/>
                <w:lang w:val="en-US" w:eastAsia="zh-CN"/>
              </w:rPr>
              <w:t>5项</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46</w:t>
            </w:r>
          </w:p>
        </w:tc>
        <w:tc>
          <w:tcPr>
            <w:tcW w:w="3200"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6563" w:type="dxa"/>
            <w:vAlign w:val="center"/>
          </w:tcPr>
          <w:p>
            <w:pPr>
              <w:spacing w:line="6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建筑工程抗震设计审查（鉴定.加固）备案</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4</w:t>
            </w:r>
            <w:r>
              <w:rPr>
                <w:rFonts w:hint="eastAsia" w:ascii="仿宋_GB2312" w:hAnsi="仿宋_GB2312" w:eastAsia="仿宋_GB2312" w:cs="仿宋_GB2312"/>
                <w:sz w:val="21"/>
                <w:szCs w:val="21"/>
                <w:lang w:val="en-US" w:eastAsia="zh-CN"/>
              </w:rPr>
              <w:t>7</w:t>
            </w:r>
          </w:p>
        </w:tc>
        <w:tc>
          <w:tcPr>
            <w:tcW w:w="3200"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新建工程抗震设防质量竣工验收的监督</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48</w:t>
            </w:r>
          </w:p>
        </w:tc>
        <w:tc>
          <w:tcPr>
            <w:tcW w:w="3200"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招标文件备案</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49</w:t>
            </w:r>
          </w:p>
        </w:tc>
        <w:tc>
          <w:tcPr>
            <w:tcW w:w="3200" w:type="dxa"/>
            <w:vAlign w:val="center"/>
          </w:tcPr>
          <w:p>
            <w:pPr>
              <w:spacing w:line="6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4</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施工合同备案</w:t>
            </w:r>
          </w:p>
        </w:tc>
        <w:tc>
          <w:tcPr>
            <w:tcW w:w="2651" w:type="dxa"/>
            <w:vAlign w:val="center"/>
          </w:tcPr>
          <w:p>
            <w:pPr>
              <w:spacing w:line="60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2" w:type="dxa"/>
            <w:vAlign w:val="center"/>
          </w:tcPr>
          <w:p>
            <w:pPr>
              <w:spacing w:line="6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5</w:t>
            </w:r>
            <w:r>
              <w:rPr>
                <w:rFonts w:hint="eastAsia" w:ascii="仿宋_GB2312" w:hAnsi="仿宋_GB2312" w:eastAsia="仿宋_GB2312" w:cs="仿宋_GB2312"/>
                <w:sz w:val="21"/>
                <w:szCs w:val="21"/>
                <w:lang w:val="en-US" w:eastAsia="zh-CN"/>
              </w:rPr>
              <w:t>0</w:t>
            </w:r>
          </w:p>
        </w:tc>
        <w:tc>
          <w:tcPr>
            <w:tcW w:w="3200"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6563" w:type="dxa"/>
            <w:vAlign w:val="center"/>
          </w:tcPr>
          <w:p>
            <w:pPr>
              <w:spacing w:line="6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建设工程安全监督手续备案</w:t>
            </w:r>
          </w:p>
        </w:tc>
        <w:tc>
          <w:tcPr>
            <w:tcW w:w="2651" w:type="dxa"/>
            <w:vAlign w:val="center"/>
          </w:tcPr>
          <w:p>
            <w:pPr>
              <w:spacing w:line="600" w:lineRule="exact"/>
              <w:jc w:val="center"/>
              <w:rPr>
                <w:rFonts w:hint="eastAsia" w:ascii="仿宋_GB2312" w:hAnsi="仿宋_GB2312" w:eastAsia="仿宋_GB2312" w:cs="仿宋_GB2312"/>
                <w:sz w:val="21"/>
                <w:szCs w:val="21"/>
              </w:rPr>
            </w:pPr>
          </w:p>
        </w:tc>
      </w:tr>
    </w:tbl>
    <w:p>
      <w:pPr>
        <w:spacing w:line="600" w:lineRule="exact"/>
        <w:jc w:val="center"/>
        <w:rPr>
          <w:rFonts w:hint="eastAsia" w:ascii="仿宋_GB2312" w:hAnsi="仿宋_GB2312" w:eastAsia="仿宋_GB2312" w:cs="仿宋_GB2312"/>
          <w:sz w:val="21"/>
          <w:szCs w:val="21"/>
        </w:rPr>
      </w:pPr>
    </w:p>
    <w:sectPr>
      <w:pgSz w:w="16838" w:h="11906" w:orient="landscape"/>
      <w:pgMar w:top="1800" w:right="1440" w:bottom="1800"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EDC"/>
    <w:rsid w:val="000F66C3"/>
    <w:rsid w:val="00117EDC"/>
    <w:rsid w:val="004E6EDC"/>
    <w:rsid w:val="0066363B"/>
    <w:rsid w:val="006835A6"/>
    <w:rsid w:val="007113F9"/>
    <w:rsid w:val="00CA3579"/>
    <w:rsid w:val="00EF4BED"/>
    <w:rsid w:val="00F849DC"/>
    <w:rsid w:val="033A4CC8"/>
    <w:rsid w:val="03D440E8"/>
    <w:rsid w:val="04043377"/>
    <w:rsid w:val="0A1E1944"/>
    <w:rsid w:val="0E6614B2"/>
    <w:rsid w:val="0E793A61"/>
    <w:rsid w:val="140F2AB4"/>
    <w:rsid w:val="17AE59A7"/>
    <w:rsid w:val="216D2066"/>
    <w:rsid w:val="222B5911"/>
    <w:rsid w:val="3F932375"/>
    <w:rsid w:val="417018E6"/>
    <w:rsid w:val="480960E7"/>
    <w:rsid w:val="4978185D"/>
    <w:rsid w:val="4CB61135"/>
    <w:rsid w:val="589B5444"/>
    <w:rsid w:val="5FE61E28"/>
    <w:rsid w:val="63C77433"/>
    <w:rsid w:val="6F8B251D"/>
    <w:rsid w:val="712155B9"/>
    <w:rsid w:val="77162B16"/>
    <w:rsid w:val="7F845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Char"/>
    <w:basedOn w:val="1"/>
    <w:qFormat/>
    <w:uiPriority w:val="0"/>
    <w:pPr>
      <w:snapToGrid w:val="0"/>
      <w:spacing w:after="156" w:afterLines="50" w:line="360" w:lineRule="auto"/>
      <w:ind w:firstLine="48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584</Words>
  <Characters>3335</Characters>
  <Lines>27</Lines>
  <Paragraphs>7</Paragraphs>
  <TotalTime>2</TotalTime>
  <ScaleCrop>false</ScaleCrop>
  <LinksUpToDate>false</LinksUpToDate>
  <CharactersWithSpaces>3912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2020-10-20T08:17:00Z</dcterms:created>
  <dc:creator>dell</dc:creator>
  <cp:lastModifiedBy>Administratorgy0312</cp:lastModifiedBy>
  <dcterms:modified xsi:type="dcterms:W3CDTF">2025-01-26T09:19:49Z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048F0A666C7343AFAD5CFB5318651DA2</vt:lpwstr>
  </property>
</Properties>
</file>