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方正小标宋简体" w:hAnsi="方正小标宋简体" w:eastAsia="方正小标宋简体"/>
          <w:sz w:val="36"/>
          <w:lang w:val="en-US" w:eastAsia="zh-CN"/>
        </w:rPr>
      </w:pPr>
      <w:r>
        <w:rPr>
          <w:rFonts w:hint="eastAsia" w:ascii="方正小标宋简体" w:hAnsi="方正小标宋简体" w:eastAsia="方正小标宋简体"/>
          <w:sz w:val="36"/>
          <w:lang w:val="en-US" w:eastAsia="zh-CN"/>
        </w:rPr>
        <w:t>高阳县发展和改革局权责清单事项分表</w:t>
      </w:r>
    </w:p>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楷体_GB2312" w:hAnsi="楷体_GB2312" w:eastAsia="楷体_GB2312"/>
          <w:sz w:val="36"/>
          <w:lang w:val="en-US" w:eastAsia="zh-CN"/>
        </w:rPr>
      </w:pPr>
      <w:r>
        <w:rPr>
          <w:rFonts w:hint="eastAsia" w:ascii="楷体_GB2312" w:hAnsi="楷体_GB2312" w:eastAsia="楷体_GB2312"/>
          <w:lang w:val="en-US" w:eastAsia="zh-CN"/>
        </w:rPr>
        <w:t>（共6类、64</w:t>
      </w:r>
      <w:bookmarkStart w:id="0" w:name="_GoBack"/>
      <w:bookmarkEnd w:id="0"/>
      <w:r>
        <w:rPr>
          <w:rFonts w:hint="eastAsia" w:ascii="楷体_GB2312" w:hAnsi="楷体_GB2312" w:eastAsia="楷体_GB2312"/>
          <w:lang w:val="en-US" w:eastAsia="zh-CN"/>
        </w:rPr>
        <w:t>项）</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r>
        <w:rPr>
          <w:rFonts w:hint="eastAsia" w:ascii="楷体_GB2312" w:hAnsi="楷体_GB2312" w:eastAsia="楷体_GB2312"/>
          <w:sz w:val="28"/>
          <w:lang w:val="en-US" w:eastAsia="zh-CN"/>
        </w:rPr>
        <w:t>单位：高阳县发展和改革局</w:t>
      </w:r>
      <w:r>
        <w:rPr>
          <w:rFonts w:hint="eastAsia" w:ascii="楷体_GB2312" w:hAnsi="楷体_GB2312" w:eastAsia="楷体_GB2312" w:cs="Arial"/>
          <w:sz w:val="28"/>
          <w:lang w:val="en-US" w:eastAsia="zh-CN"/>
        </w:rPr>
        <w:t>（公章）</w:t>
      </w:r>
    </w:p>
    <w:tbl>
      <w:tblPr>
        <w:tblStyle w:val="5"/>
        <w:tblW w:w="13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960"/>
        <w:gridCol w:w="1381"/>
        <w:gridCol w:w="720"/>
        <w:gridCol w:w="3509"/>
        <w:gridCol w:w="3420"/>
        <w:gridCol w:w="2655"/>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1"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序号</w:t>
            </w:r>
          </w:p>
        </w:tc>
        <w:tc>
          <w:tcPr>
            <w:tcW w:w="96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权力类型</w:t>
            </w:r>
          </w:p>
        </w:tc>
        <w:tc>
          <w:tcPr>
            <w:tcW w:w="1381"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权力事项</w:t>
            </w:r>
          </w:p>
        </w:tc>
        <w:tc>
          <w:tcPr>
            <w:tcW w:w="72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行政主体</w:t>
            </w:r>
          </w:p>
        </w:tc>
        <w:tc>
          <w:tcPr>
            <w:tcW w:w="3509"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实施依据</w:t>
            </w:r>
          </w:p>
        </w:tc>
        <w:tc>
          <w:tcPr>
            <w:tcW w:w="3420"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责任事项</w:t>
            </w:r>
          </w:p>
        </w:tc>
        <w:tc>
          <w:tcPr>
            <w:tcW w:w="2655"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追责情形</w:t>
            </w:r>
          </w:p>
        </w:tc>
        <w:tc>
          <w:tcPr>
            <w:tcW w:w="659"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center"/>
              <w:textAlignment w:val="center"/>
              <w:outlineLvl w:val="9"/>
              <w:rPr>
                <w:rFonts w:hint="eastAsia" w:ascii="仿宋_GB2312"/>
                <w:vertAlign w:val="baseline"/>
                <w:lang w:val="en-US" w:eastAsia="zh-CN"/>
              </w:rPr>
            </w:pPr>
            <w:r>
              <w:rPr>
                <w:rFonts w:hint="default" w:ascii="黑体" w:hAnsi="黑体" w:eastAsia="黑体"/>
                <w:b w:val="0"/>
                <w:i w:val="0"/>
                <w:snapToGrid/>
                <w:color w:val="000000"/>
                <w:sz w:val="24"/>
                <w:u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11" w:type="dxa"/>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default"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1</w:t>
            </w:r>
          </w:p>
        </w:tc>
        <w:tc>
          <w:tcPr>
            <w:tcW w:w="960" w:type="dxa"/>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both"/>
              <w:textAlignment w:val="auto"/>
              <w:outlineLvl w:val="9"/>
              <w:rPr>
                <w:rFonts w:hint="default"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行政许可</w:t>
            </w:r>
          </w:p>
        </w:tc>
        <w:tc>
          <w:tcPr>
            <w:tcW w:w="1381" w:type="dxa"/>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default"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企业投资项目核准（内资）</w:t>
            </w:r>
          </w:p>
        </w:tc>
        <w:tc>
          <w:tcPr>
            <w:tcW w:w="720" w:type="dxa"/>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textAlignment w:val="auto"/>
              <w:outlineLvl w:val="9"/>
              <w:rPr>
                <w:rFonts w:hint="default"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left"/>
              <w:textAlignment w:val="center"/>
              <w:rPr>
                <w:rFonts w:hint="default" w:ascii="宋体" w:hAnsi="宋体" w:eastAsia="宋体" w:cs="宋体"/>
                <w:i w:val="0"/>
                <w:color w:val="FF0000"/>
                <w:kern w:val="2"/>
                <w:sz w:val="18"/>
                <w:szCs w:val="18"/>
                <w:u w:val="none"/>
                <w:lang w:val="en-US" w:eastAsia="zh-CN" w:bidi="ar-SA"/>
              </w:rPr>
            </w:pPr>
            <w:r>
              <w:rPr>
                <w:rFonts w:hint="eastAsia" w:ascii="Times New Roman" w:hAnsi="Times New Roman" w:eastAsia="方正书宋_GBK" w:cs="Times New Roman"/>
                <w:sz w:val="18"/>
                <w:szCs w:val="18"/>
                <w:lang w:val="en-US" w:eastAsia="zh-CN"/>
              </w:rPr>
              <w:t>1</w:t>
            </w:r>
            <w:r>
              <w:rPr>
                <w:rFonts w:hint="eastAsia" w:ascii="Times New Roman" w:hAnsi="Times New Roman" w:eastAsia="方正书宋_GBK" w:cs="Times New Roman"/>
                <w:color w:val="auto"/>
                <w:sz w:val="18"/>
                <w:szCs w:val="18"/>
                <w:lang w:val="en-US" w:eastAsia="zh-CN"/>
              </w:rPr>
              <w:t>.法律法规名称:《企业投资项目核准和备案管理办法》;依据文号:国家发展改革委 2017年第2号令;条款号:第四条;2.法律法规名称:《外商投资准入特别管理措施（负面清单）（2018年版）》;依据文号:国家发展改革委、商务部令2018年第18号;条款号:全文;3.法律法规名称:《河北省人民政府关于印发河北省企业投资项目核准和备案实施办法的通知》;依据文号:冀政发[2018]4号;条款号:第四条、第七条;4.法律法规名称:《国务院关于发布政府核准的投资项目目录（2016年本）的通知》;依据文号:国发(2016)72号;条款号:第一条;5.法律法规名称:《国家发展改革委关于做好扩大对外开放和积极利用外资政策措施贯彻落实工作的通知》;依据文号:发改外资〔2018〕1065号;条款号:全文;6.法律法规名称:《外商投资项目核准和备案管理办法》;依据文号:国家发展改革委2014年12号令;条款号:第四条;7.法律法规名称:《河北省人民政府关于发布河北省政府核准的</w:t>
            </w:r>
            <w:r>
              <w:rPr>
                <w:rFonts w:hint="eastAsia" w:ascii="宋体" w:hAnsi="宋体" w:eastAsia="宋体" w:cs="宋体"/>
                <w:i w:val="0"/>
                <w:color w:val="auto"/>
                <w:kern w:val="0"/>
                <w:sz w:val="18"/>
                <w:szCs w:val="18"/>
                <w:u w:val="none"/>
                <w:lang w:val="en-US" w:eastAsia="zh-CN" w:bidi="ar"/>
              </w:rPr>
              <w:t>投资项目目录（2017年本）的通知》;依据文号:冀政发[2017]8号;条款号:附件;8.法律法规名称:《中共中央、国务院关于深化投融资体制改革的意见》;依据文号:中发(2016)18号;条款号:第二条第（二）项;9.法律法规名称:《外商投资产业指导目录（2017年修订）》;依据文号:国家发展改革委、商务部2017年第4号令;条款号:全文;10.法律法规名称:《国务院关于投资体制改革的决定》;依据文号:国发[2004]20号;条款号:第二部分第（一）款;11.法律法规名称:《企业投资项目核准和备案管理条例》;依据文号:国务院令第673号;条款号:第三条;</w:t>
            </w:r>
          </w:p>
        </w:tc>
        <w:tc>
          <w:tcPr>
            <w:tcW w:w="3420" w:type="dxa"/>
            <w:noWrap w:val="0"/>
            <w:vAlign w:val="center"/>
          </w:tcPr>
          <w:p>
            <w:pPr>
              <w:keepNext w:val="0"/>
              <w:keepLines w:val="0"/>
              <w:widowControl/>
              <w:suppressLineNumbers w:val="0"/>
              <w:jc w:val="left"/>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1.受理责任：公开项目核准的办理流程、办理时限等，并为企业提供相关的咨询服务。</w:t>
            </w:r>
          </w:p>
          <w:p>
            <w:pPr>
              <w:keepNext w:val="0"/>
              <w:keepLines w:val="0"/>
              <w:widowControl/>
              <w:suppressLineNumbers w:val="0"/>
              <w:jc w:val="left"/>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2.审查责任：核准机关应在是否危害经济、社会安全、生态安全等国家安全，是否符合先关发展规划建设、技术标准和产业政策，是否合理开发并有效利用资源、是否对重大公共利益产生影响等方面对项目进行核查。</w:t>
            </w:r>
          </w:p>
          <w:p>
            <w:pPr>
              <w:keepNext w:val="0"/>
              <w:keepLines w:val="0"/>
              <w:widowControl/>
              <w:suppressLineNumbers w:val="0"/>
              <w:jc w:val="left"/>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3.决定责任：核准机关应当自受理申请之日20个工作日之内，作出是否予以核准的决定。</w:t>
            </w:r>
          </w:p>
          <w:p>
            <w:pPr>
              <w:keepNext w:val="0"/>
              <w:keepLines w:val="0"/>
              <w:widowControl/>
              <w:suppressLineNumbers w:val="0"/>
              <w:jc w:val="left"/>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4.事后监管责任：核准机关、备案机关以及依法对项目负有监督管理责任的其他有关部门应当建立项目信息共享机制，通过在线平台实现信息共享。</w:t>
            </w:r>
          </w:p>
          <w:p>
            <w:pPr>
              <w:keepNext w:val="0"/>
              <w:keepLines w:val="0"/>
              <w:widowControl/>
              <w:suppressLineNumbers w:val="0"/>
              <w:jc w:val="left"/>
              <w:textAlignment w:val="center"/>
              <w:rPr>
                <w:rFonts w:hint="default" w:ascii="黑体" w:hAnsi="黑体" w:eastAsia="黑体"/>
                <w:b w:val="0"/>
                <w:i w:val="0"/>
                <w:snapToGrid/>
                <w:color w:val="000000"/>
                <w:sz w:val="24"/>
                <w:u w:val="none"/>
                <w:lang w:val="en-US" w:eastAsia="zh-CN"/>
              </w:rPr>
            </w:pPr>
            <w:r>
              <w:rPr>
                <w:rFonts w:hint="eastAsia" w:ascii="Times New Roman" w:hAnsi="Times New Roman" w:eastAsia="方正书宋_GBK" w:cs="Times New Roman"/>
                <w:sz w:val="18"/>
                <w:szCs w:val="18"/>
                <w:lang w:val="en-US" w:eastAsia="zh-CN"/>
              </w:rPr>
              <w:t>6.其他法律法规规章文件规定应履行的责任。</w:t>
            </w:r>
          </w:p>
        </w:tc>
        <w:tc>
          <w:tcPr>
            <w:tcW w:w="2655" w:type="dxa"/>
            <w:noWrap w:val="0"/>
            <w:vAlign w:val="center"/>
          </w:tcPr>
          <w:p>
            <w:pPr>
              <w:keepNext w:val="0"/>
              <w:keepLines w:val="0"/>
              <w:widowControl/>
              <w:suppressLineNumbers w:val="0"/>
              <w:jc w:val="left"/>
              <w:textAlignment w:val="center"/>
              <w:rPr>
                <w:rFonts w:hint="default" w:ascii="Times New Roman" w:hAnsi="Times New Roman" w:eastAsia="方正书宋_GBK" w:cs="Times New Roman"/>
                <w:sz w:val="18"/>
                <w:szCs w:val="18"/>
                <w:lang w:val="en-US" w:eastAsia="zh-CN"/>
              </w:rPr>
            </w:pPr>
            <w:r>
              <w:rPr>
                <w:rFonts w:hint="eastAsia" w:eastAsia="方正书宋_GBK" w:cs="Times New Roman"/>
                <w:sz w:val="18"/>
                <w:szCs w:val="18"/>
                <w:lang w:val="en-US" w:eastAsia="zh-CN"/>
              </w:rPr>
              <w:t>根据《企业投资项目核准和备案管理条例》第二十一条：核准机关、备案机关及其工作人员在项目核准、备案工作中玩忽职守、滥用职权、徇私舞弊的，对负有责任的领导人员和直接责任人员依法给予处分；构成犯罪的，依法追究刑事责任。</w:t>
            </w:r>
          </w:p>
        </w:tc>
        <w:tc>
          <w:tcPr>
            <w:tcW w:w="659" w:type="dxa"/>
            <w:noWrap w:val="0"/>
            <w:vAlign w:val="center"/>
          </w:tcPr>
          <w:p>
            <w:pPr>
              <w:keepNext w:val="0"/>
              <w:keepLines w:val="0"/>
              <w:widowControl/>
              <w:suppressLineNumbers w:val="0"/>
              <w:jc w:val="left"/>
              <w:textAlignment w:val="center"/>
              <w:rPr>
                <w:rFonts w:hint="default" w:ascii="Times New Roman" w:hAnsi="Times New Roman" w:eastAsia="方正书宋_GBK" w:cs="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2"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w:t>
            </w:r>
          </w:p>
        </w:tc>
        <w:tc>
          <w:tcPr>
            <w:tcW w:w="960"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Times New Roman" w:hAnsi="Times New Roman" w:eastAsia="方正书宋_GBK" w:cs="Times New Roman"/>
                <w:sz w:val="18"/>
                <w:szCs w:val="18"/>
                <w:lang w:val="en-US" w:eastAsia="zh-CN"/>
              </w:rPr>
              <w:t>行政许可</w:t>
            </w:r>
          </w:p>
        </w:tc>
        <w:tc>
          <w:tcPr>
            <w:tcW w:w="138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Times New Roman" w:hAnsi="Times New Roman" w:eastAsia="方正书宋_GBK" w:cs="Times New Roman"/>
                <w:sz w:val="18"/>
                <w:szCs w:val="18"/>
                <w:lang w:val="en-US" w:eastAsia="zh-CN"/>
              </w:rPr>
              <w:t>石油天然气管道保护范围内特定施工作业许可</w:t>
            </w:r>
          </w:p>
        </w:tc>
        <w:tc>
          <w:tcPr>
            <w:tcW w:w="720"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法律法规名称:《中华人民共和国石油天然气管道保护法》;依据文号:主席令11届第30号;条款号:第三十五条;</w:t>
            </w:r>
          </w:p>
        </w:tc>
        <w:tc>
          <w:tcPr>
            <w:tcW w:w="3420"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《中华人民共和国石油天然气管道保护法》</w:t>
            </w:r>
            <w:r>
              <w:rPr>
                <w:rFonts w:hint="default" w:ascii="宋体" w:hAnsi="宋体" w:eastAsia="宋体" w:cs="宋体"/>
                <w:i w:val="0"/>
                <w:color w:val="auto"/>
                <w:kern w:val="0"/>
                <w:sz w:val="18"/>
                <w:szCs w:val="18"/>
                <w:u w:val="none"/>
                <w:lang w:val="en-US" w:eastAsia="zh-CN" w:bidi="ar"/>
              </w:rPr>
              <w:t>（2010年6月通过）第五十六条 县级以上地方人民政府及其主管管道保护工作的部门或者其他有关部门，违反本法规定，对应当组织排除的管道外部安全隐患不及时组织排除，发现危害管道安全的行为或者接到对危害管道安全行为的举报后不依法予以查处，或者有其他不依照本法规定履行职责的行为的，由其上级机关责令改正，对直接负责的主管人员和其他直接责任人员依法给予处分。</w:t>
            </w:r>
          </w:p>
        </w:tc>
        <w:tc>
          <w:tcPr>
            <w:tcW w:w="2655"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中华人民共和国行政处罚法》</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第五十五条 行政机关实施行政处罚，有下列情形之一的，由上级行政机关或者有关部门责令改正，可以对直接负责的主管人员和其他直接责任人员依法给予行政处分:</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（一）没有法定的行政处罚依据的；</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（二）擅自改变行政处罚种类、幅度的；</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（三）违反法定的行政处罚程序的；</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（四）违反本法第十八条关于委托处罚的规定的。</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default" w:ascii="宋体" w:hAnsi="宋体" w:eastAsia="宋体" w:cs="宋体"/>
                <w:i w:val="0"/>
                <w:color w:val="auto"/>
                <w:kern w:val="0"/>
                <w:sz w:val="18"/>
                <w:szCs w:val="18"/>
                <w:u w:val="none"/>
                <w:lang w:val="en-US" w:eastAsia="zh-CN" w:bidi="ar"/>
              </w:rPr>
              <w:t>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7" w:hRule="exact"/>
          <w:jc w:val="center"/>
        </w:trPr>
        <w:tc>
          <w:tcPr>
            <w:tcW w:w="511" w:type="dxa"/>
            <w:noWrap w:val="0"/>
            <w:vAlign w:val="center"/>
          </w:tcPr>
          <w:p>
            <w:pPr>
              <w:keepNext w:val="0"/>
              <w:keepLines w:val="0"/>
              <w:widowControl/>
              <w:suppressLineNumbers w:val="0"/>
              <w:jc w:val="both"/>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w:t>
            </w:r>
          </w:p>
        </w:tc>
        <w:tc>
          <w:tcPr>
            <w:tcW w:w="960" w:type="dxa"/>
            <w:noWrap w:val="0"/>
            <w:vAlign w:val="center"/>
          </w:tcPr>
          <w:p>
            <w:pPr>
              <w:keepNext w:val="0"/>
              <w:keepLines w:val="0"/>
              <w:widowControl/>
              <w:suppressLineNumbers w:val="0"/>
              <w:jc w:val="both"/>
              <w:textAlignment w:val="center"/>
              <w:rPr>
                <w:rFonts w:hint="eastAsia" w:ascii="Times New Roman" w:hAnsi="Times New Roman"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both"/>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实行核准管理的项目，企业未依照行政法规规定办理核准手续开工建设或者未按照核准的建设地点、建设规模、建设内容等进行建设的处罚；以欺骗、贿赂等不正当手段取得项目核准文件，尚未开工建设的或已经开工建设的处罚</w:t>
            </w:r>
          </w:p>
        </w:tc>
        <w:tc>
          <w:tcPr>
            <w:tcW w:w="720" w:type="dxa"/>
            <w:noWrap w:val="0"/>
            <w:vAlign w:val="center"/>
          </w:tcPr>
          <w:p>
            <w:pPr>
              <w:keepNext w:val="0"/>
              <w:keepLines w:val="0"/>
              <w:widowControl/>
              <w:suppressLineNumbers w:val="0"/>
              <w:jc w:val="both"/>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both"/>
              <w:textAlignment w:val="center"/>
              <w:rPr>
                <w:rFonts w:hint="default" w:ascii="宋体" w:hAnsi="宋体" w:eastAsia="宋体" w:cs="宋体"/>
                <w:i w:val="0"/>
                <w:color w:val="auto"/>
                <w:kern w:val="2"/>
                <w:sz w:val="18"/>
                <w:szCs w:val="18"/>
                <w:u w:val="none"/>
                <w:lang w:val="en-US" w:eastAsia="zh-CN" w:bidi="ar-SA"/>
              </w:rPr>
            </w:pPr>
            <w:r>
              <w:rPr>
                <w:rFonts w:hint="eastAsia" w:ascii="宋体" w:hAnsi="宋体" w:eastAsia="宋体" w:cs="宋体"/>
                <w:i w:val="0"/>
                <w:color w:val="auto"/>
                <w:kern w:val="0"/>
                <w:sz w:val="18"/>
                <w:szCs w:val="18"/>
                <w:u w:val="none"/>
                <w:lang w:val="en-US" w:eastAsia="zh-CN" w:bidi="ar"/>
              </w:rPr>
              <w:t>1、《企业投资项目核准和备案管理条例》（中华人民共和国国务院令第673号）第十八条、第二十条</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2、《企业投资项目核准和备案管理办法》（中华人民共和国国家发展和改革委员会令 第2号）第五十六条、第五十八条</w:t>
            </w:r>
          </w:p>
        </w:tc>
        <w:tc>
          <w:tcPr>
            <w:tcW w:w="3420" w:type="dxa"/>
            <w:noWrap w:val="0"/>
            <w:vAlign w:val="center"/>
          </w:tcPr>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1、立案责任：发现涉嫌违反</w:t>
            </w:r>
            <w:r>
              <w:rPr>
                <w:rFonts w:hint="eastAsia" w:ascii="宋体" w:hAnsi="宋体" w:eastAsia="宋体"/>
                <w:color w:val="auto"/>
                <w:sz w:val="18"/>
                <w:szCs w:val="18"/>
                <w:lang w:eastAsia="zh-CN"/>
              </w:rPr>
              <w:t>投资</w:t>
            </w:r>
            <w:r>
              <w:rPr>
                <w:rFonts w:hint="eastAsia" w:ascii="宋体" w:hAnsi="宋体" w:eastAsia="宋体"/>
                <w:color w:val="auto"/>
                <w:sz w:val="18"/>
                <w:szCs w:val="18"/>
              </w:rPr>
              <w:t>法律、法规相关的违法行为，予以审查，决定是否立案。</w:t>
            </w:r>
          </w:p>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2、调查责任：</w:t>
            </w:r>
            <w:r>
              <w:rPr>
                <w:rFonts w:hint="eastAsia" w:ascii="宋体" w:hAnsi="宋体" w:eastAsia="宋体"/>
                <w:color w:val="auto"/>
                <w:sz w:val="18"/>
                <w:szCs w:val="18"/>
                <w:lang w:eastAsia="zh-CN"/>
              </w:rPr>
              <w:t>投资</w:t>
            </w:r>
            <w:r>
              <w:rPr>
                <w:rFonts w:hint="eastAsia" w:ascii="宋体" w:hAnsi="宋体" w:eastAsia="宋体"/>
                <w:color w:val="auto"/>
                <w:sz w:val="18"/>
                <w:szCs w:val="18"/>
              </w:rPr>
              <w:t>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4、告知责任：作出行政处罚决定前，应制作《限期整改通知书》送达当事人，告知违法事实并在规定期限内完成整改。</w:t>
            </w:r>
          </w:p>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5、决定责任：制作行政处罚决定书，载明行政处罚告知、当事人陈述申辩或者听证情况等内容。</w:t>
            </w:r>
          </w:p>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6、送达责任：行政处罚决定书按法律规定的方式送达当事人。</w:t>
            </w:r>
          </w:p>
          <w:p>
            <w:pPr>
              <w:tabs>
                <w:tab w:val="left" w:pos="7937"/>
              </w:tabs>
              <w:spacing w:line="280" w:lineRule="exact"/>
              <w:jc w:val="both"/>
              <w:rPr>
                <w:rFonts w:hint="eastAsia" w:ascii="宋体" w:hAnsi="宋体" w:eastAsia="宋体"/>
                <w:color w:val="auto"/>
                <w:sz w:val="18"/>
                <w:szCs w:val="18"/>
              </w:rPr>
            </w:pPr>
            <w:r>
              <w:rPr>
                <w:rFonts w:hint="eastAsia" w:ascii="宋体" w:hAnsi="宋体" w:eastAsia="宋体"/>
                <w:color w:val="auto"/>
                <w:sz w:val="18"/>
                <w:szCs w:val="18"/>
              </w:rPr>
              <w:t>7、执行责任：依照生效的行政处罚决定进行处罚</w:t>
            </w:r>
          </w:p>
          <w:p>
            <w:pPr>
              <w:keepNext w:val="0"/>
              <w:keepLines w:val="0"/>
              <w:widowControl/>
              <w:suppressLineNumbers w:val="0"/>
              <w:jc w:val="both"/>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olor w:val="auto"/>
                <w:sz w:val="18"/>
                <w:szCs w:val="18"/>
              </w:rPr>
              <w:t>8、其他法律法规规章文件规定应履行的责任。</w:t>
            </w:r>
          </w:p>
        </w:tc>
        <w:tc>
          <w:tcPr>
            <w:tcW w:w="2655" w:type="dxa"/>
            <w:noWrap w:val="0"/>
            <w:vAlign w:val="center"/>
          </w:tcPr>
          <w:p>
            <w:pPr>
              <w:keepNext w:val="0"/>
              <w:keepLines w:val="0"/>
              <w:widowControl/>
              <w:suppressLineNumbers w:val="0"/>
              <w:jc w:val="both"/>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b w:val="0"/>
                <w:i w:val="0"/>
                <w:snapToGrid/>
                <w:color w:val="000000"/>
                <w:sz w:val="18"/>
                <w:szCs w:val="18"/>
                <w:u w:val="none"/>
                <w:lang w:eastAsia="zh-CN"/>
              </w:rPr>
              <w:t>根据《企业投资项目核准和备案管理条例》第二十一条：核准机关、备案机关及其工作人员在项目核准、备案工作中玩忽职守、滥用职权、徇私舞弊的，对负有责任的领导人员和直接责任人员依法给予处分；构成犯罪的，依法追究刑事责任。</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1"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w:t>
            </w:r>
          </w:p>
        </w:tc>
        <w:tc>
          <w:tcPr>
            <w:tcW w:w="960" w:type="dxa"/>
            <w:noWrap w:val="0"/>
            <w:vAlign w:val="center"/>
          </w:tcPr>
          <w:p>
            <w:pPr>
              <w:keepNext w:val="0"/>
              <w:keepLines w:val="0"/>
              <w:widowControl/>
              <w:suppressLineNumbers w:val="0"/>
              <w:jc w:val="both"/>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both"/>
              <w:textAlignment w:val="center"/>
              <w:rPr>
                <w:rFonts w:hint="eastAsia" w:ascii="Times New Roman" w:hAnsi="Times New Roman" w:eastAsia="方正书宋_GBK" w:cs="Times New Roman"/>
                <w:sz w:val="18"/>
                <w:szCs w:val="18"/>
                <w:lang w:val="en-US" w:eastAsia="zh-CN"/>
              </w:rPr>
            </w:pPr>
            <w:r>
              <w:rPr>
                <w:rFonts w:hint="eastAsia" w:ascii="宋体" w:hAnsi="宋体" w:eastAsia="宋体" w:cs="宋体"/>
                <w:b w:val="0"/>
                <w:i w:val="0"/>
                <w:snapToGrid/>
                <w:color w:val="000000"/>
                <w:sz w:val="18"/>
                <w:szCs w:val="18"/>
                <w:u w:val="none"/>
                <w:lang w:val="en-US" w:eastAsia="zh-CN"/>
              </w:rPr>
              <w:t>实行备案管理的项目，企业未依照行政法规规定将项目信息或者已备案项目的信息变更情况告知备案机关，或者向备案机关提供虚假信息的处罚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00" w:lineRule="exact"/>
              <w:ind w:left="0" w:leftChars="0" w:right="0" w:rightChars="0" w:firstLine="0" w:firstLineChars="0"/>
              <w:jc w:val="both"/>
              <w:textAlignment w:val="center"/>
              <w:outlineLvl w:val="9"/>
              <w:rPr>
                <w:rFonts w:hint="default"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eastAsia="zh-CN"/>
              </w:rPr>
              <w:t>1、《企业投资项目核准和备案管理条例》（中华人民共和国国务院令第673号）第十九条、第二十条：实行备案管理的项目，企业未按照本条例规定将项目信息或者已备案项目的信息备案情况告知备案机关，或者向备案机关提供虚假信息的，由备案机关责令限期改正；逾期不改正的，处</w:t>
            </w:r>
            <w:r>
              <w:rPr>
                <w:rFonts w:hint="eastAsia" w:ascii="宋体" w:hAnsi="宋体" w:eastAsia="宋体" w:cs="宋体"/>
                <w:b w:val="0"/>
                <w:i w:val="0"/>
                <w:snapToGrid/>
                <w:color w:val="000000"/>
                <w:sz w:val="18"/>
                <w:szCs w:val="18"/>
                <w:u w:val="none"/>
                <w:lang w:val="en-US" w:eastAsia="zh-CN"/>
              </w:rPr>
              <w:t>2万元以上5万元以下的罚款。企业投资建设产业政策禁止投资建设项目的，由县级以上人民政府投资主管部门责令停止建设或者责令停产并恢复原状，对企业处项目总投资5‰以上10‰以下的罚款；对直接负责的主管人员和其他直接责任人员处5万元以上10万元以下的罚款，属于国家工作人员的，依法给予处分。法律、行政法规另有规定的，依照其规定。</w:t>
            </w:r>
          </w:p>
          <w:p>
            <w:pPr>
              <w:keepNext w:val="0"/>
              <w:keepLines w:val="0"/>
              <w:widowControl/>
              <w:suppressLineNumbers w:val="0"/>
              <w:jc w:val="both"/>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b w:val="0"/>
                <w:i w:val="0"/>
                <w:snapToGrid/>
                <w:color w:val="000000"/>
                <w:sz w:val="18"/>
                <w:szCs w:val="18"/>
                <w:u w:val="none"/>
                <w:lang w:eastAsia="zh-CN"/>
              </w:rPr>
              <w:t>2、《企业投资项目核准和备案管理办法》（中华人民共和国国家发展和改革委员会令 第2号）第五十七条、第五十八条：实行备案管理的项目，企业未依法将项目信息或者已备案项目信息变更情况告知备案机关，或者向备案机关提供虚假信息的，由备案机关责令限期改正；逾期不改正的，处</w:t>
            </w:r>
            <w:r>
              <w:rPr>
                <w:rFonts w:hint="eastAsia" w:ascii="宋体" w:hAnsi="宋体" w:eastAsia="宋体" w:cs="宋体"/>
                <w:b w:val="0"/>
                <w:i w:val="0"/>
                <w:snapToGrid/>
                <w:color w:val="000000"/>
                <w:sz w:val="18"/>
                <w:szCs w:val="18"/>
                <w:u w:val="none"/>
                <w:lang w:val="en-US" w:eastAsia="zh-CN"/>
              </w:rPr>
              <w:t>2万元以上，5万元以下的罚款。企业投资建设产业政策禁止投资建设项目的，由县级以上人民政府投资主管部门责令停止建设或者责令停产并恢复原状，对企业处项目总投资5‰以上10‰以下的罚款；直接负责的主管人员和其他直接责任人员处5万元以上10万元以下的罚款，属于国家工作人员的，依法给予处分。法律、行政法规另有规定的，依照其规定。</w:t>
            </w:r>
          </w:p>
        </w:tc>
        <w:tc>
          <w:tcPr>
            <w:tcW w:w="3420" w:type="dxa"/>
            <w:noWrap w:val="0"/>
            <w:vAlign w:val="center"/>
          </w:tcPr>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1、立案责任：发现涉嫌违反投资法律、法规相关的违法行为，予以审查，决定是否立案。</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2、调查责任：投资监察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4、告知责任：作出行政处罚决定前，应制作《限期整改通知书》送达当事人，告知违法事实并在规定期限内完成整改。</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5、决定责任：制作行政处罚决定书，载明行政处罚告知、当事人陈述申辩或者听证情况等内容。</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6、送达责任：行政处罚决定书按法律规定的方式送达当事人。</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7、执行责任：依照生效的行政处罚决定进行处罚</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8、其他法律法规规章文件规定应履行的责任。</w:t>
            </w:r>
          </w:p>
        </w:tc>
        <w:tc>
          <w:tcPr>
            <w:tcW w:w="2655" w:type="dxa"/>
            <w:noWrap w:val="0"/>
            <w:vAlign w:val="center"/>
          </w:tcPr>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根据《企业投资项目核准和备案管理条例》第二十一条：核准机关、备案机关及其工作人员在项目核准、备案工作中玩忽职守、滥用职权、徇私舞弊的，对负有责任的领导人员和直接责任人员依法给予处分；构成犯罪的，依法追究刑事责任。</w:t>
            </w:r>
          </w:p>
        </w:tc>
        <w:tc>
          <w:tcPr>
            <w:tcW w:w="659" w:type="dxa"/>
            <w:noWrap w:val="0"/>
            <w:vAlign w:val="center"/>
          </w:tcPr>
          <w:p>
            <w:pPr>
              <w:keepNext w:val="0"/>
              <w:keepLines w:val="0"/>
              <w:widowControl/>
              <w:suppressLineNumbers w:val="0"/>
              <w:jc w:val="both"/>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val="en-US" w:eastAsia="zh-CN"/>
              </w:rPr>
              <w:t>节能服务机构提供虚假信息、无偿向本单位职工提供能源或者对能源消费实行包费制，重点用能单位未按规定报送能源利用状况报告或者报告内容不实、无正当理由拒不落实整改要求、未按规定设立能源管理岗位，聘任能源管理负责人并备案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《中华人民共和国节约能源法》 第七十七条　违反本法规定，无偿向本单位职工提供能源或者对能源消费实行包费制的，由管理节能工作的部门责令限期改正；逾期不改正的，处五万元以上二十万元以下罚款。</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第八十二条　重点用能单位未按照本法规定报送能源利用状况报告或者报告内容不实的，由管理节能工作的部门责令限期改正；逾期不改正的，处一万元以上五万元以下罚款。第八十三条　重点用能单位无正当理由拒不落实本法第五十四条规定的整改要求或者整改没有达到要求的，由管理节能工作的部门处十万元以上三十万元以下罚款。</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第八十四条　重点用能单位未按照本法规定设立能源管理岗位，聘任能源管理负责人，并报管理节能工作的部门和有关部门备案的，由管理节能工作的部门责令改正；拒不改正的，处一万元以上三万元以下罚款。</w:t>
            </w:r>
          </w:p>
        </w:tc>
        <w:tc>
          <w:tcPr>
            <w:tcW w:w="3420" w:type="dxa"/>
            <w:noWrap w:val="0"/>
            <w:vAlign w:val="center"/>
          </w:tcPr>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1、立案责任：发现涉嫌违反节能法律、法规相关的违法行为，予以审查，决定是否立案。</w:t>
            </w:r>
          </w:p>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4、告知责任：作出行政处罚决定前，应制作《限期整改通知书》送达当事人，告知违法事实并在规定期限内完成整改。</w:t>
            </w:r>
          </w:p>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5、决定责任：制作行政处罚决定书，载明行政处罚告知、当事人陈述申辩或者听证情况等内容。</w:t>
            </w:r>
          </w:p>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6、送达责任：行政处罚决定书按法律规定的方式送达当事人。</w:t>
            </w:r>
          </w:p>
          <w:p>
            <w:pPr>
              <w:tabs>
                <w:tab w:val="left" w:pos="7937"/>
              </w:tabs>
              <w:spacing w:line="280" w:lineRule="exact"/>
              <w:jc w:val="left"/>
              <w:rPr>
                <w:rFonts w:hint="eastAsia" w:ascii="宋体" w:hAnsi="宋体" w:eastAsia="宋体"/>
                <w:color w:val="auto"/>
                <w:sz w:val="18"/>
                <w:szCs w:val="18"/>
              </w:rPr>
            </w:pPr>
            <w:r>
              <w:rPr>
                <w:rFonts w:hint="eastAsia" w:ascii="宋体" w:hAnsi="宋体" w:eastAsia="宋体"/>
                <w:color w:val="auto"/>
                <w:sz w:val="18"/>
                <w:szCs w:val="18"/>
              </w:rPr>
              <w:t>7、执行责任：依照生效的行政处罚决定进行处罚</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color w:val="auto"/>
                <w:sz w:val="18"/>
                <w:szCs w:val="18"/>
              </w:rPr>
              <w:t>8、其他法律法规规章文件规定应履行的责任。</w:t>
            </w:r>
          </w:p>
        </w:tc>
        <w:tc>
          <w:tcPr>
            <w:tcW w:w="2655" w:type="dxa"/>
            <w:noWrap w:val="0"/>
            <w:vAlign w:val="center"/>
          </w:tcPr>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《中华人民共和国行政处罚法》</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第五十五条 行政机关实施行政处罚，有下列情形之一的，由上级行政机关或者有关部门责令改正，可以对直接负责的主管人员和其他直接责任人员依法给予行政处分:</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（一）没有法定的行政处罚依据的；</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（二）擅自改变行政处罚种类、幅度的；</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（三）违反法定的行政处罚程序的；</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（四）违反本法第十八条关于委托处罚的规定的。</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cs="宋体"/>
                <w:b w:val="0"/>
                <w:i w:val="0"/>
                <w:snapToGrid/>
                <w:color w:val="000000"/>
                <w:sz w:val="18"/>
                <w:szCs w:val="18"/>
                <w:u w:val="none"/>
                <w:lang w:eastAsia="zh-CN"/>
              </w:rPr>
              <w:t>以及其他法律法规有关规定的</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p>
        </w:tc>
        <w:tc>
          <w:tcPr>
            <w:tcW w:w="659" w:type="dxa"/>
            <w:noWrap w:val="0"/>
            <w:vAlign w:val="center"/>
          </w:tcPr>
          <w:p>
            <w:pPr>
              <w:keepNext w:val="0"/>
              <w:keepLines w:val="0"/>
              <w:widowControl/>
              <w:suppressLineNumbers w:val="0"/>
              <w:jc w:val="both"/>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6</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val="en-US" w:eastAsia="zh-CN"/>
              </w:rPr>
            </w:pPr>
            <w:r>
              <w:rPr>
                <w:rFonts w:hint="eastAsia" w:ascii="宋体" w:hAnsi="宋体" w:eastAsia="宋体" w:cs="宋体"/>
                <w:b w:val="0"/>
                <w:i w:val="0"/>
                <w:snapToGrid/>
                <w:color w:val="000000"/>
                <w:sz w:val="18"/>
                <w:szCs w:val="18"/>
                <w:u w:val="none"/>
                <w:lang w:val="en-US" w:eastAsia="zh-CN"/>
              </w:rPr>
              <w:t>用能单位无正当理由拒绝节能监测，电网经营单位不允许符合并网调度条件的资源综合利用电厂并网的处罚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tabs>
                <w:tab w:val="left" w:pos="7937"/>
              </w:tabs>
              <w:spacing w:line="240" w:lineRule="exact"/>
              <w:jc w:val="left"/>
              <w:rPr>
                <w:rFonts w:hint="eastAsia" w:ascii="宋体" w:hAnsi="宋体" w:eastAsia="宋体"/>
                <w:sz w:val="18"/>
                <w:szCs w:val="18"/>
              </w:rPr>
            </w:pPr>
            <w:r>
              <w:rPr>
                <w:rFonts w:hint="eastAsia" w:ascii="宋体" w:hAnsi="宋体" w:eastAsia="宋体"/>
                <w:sz w:val="18"/>
                <w:szCs w:val="18"/>
              </w:rPr>
              <w:t>《中华人民共和国节约能源法》第六章第七十八条　电网企业未按照本法规定安排符合规定的热电联产和利用余热余压发电的机组与电网并网运行，或者未执行国家有关上网电价规定的，由国家电力监管机构责令改正；造成发电企业经济损失的，依法承担赔偿责任。</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p>
        </w:tc>
        <w:tc>
          <w:tcPr>
            <w:tcW w:w="3420" w:type="dxa"/>
            <w:noWrap w:val="0"/>
            <w:vAlign w:val="center"/>
          </w:tcPr>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1、立案责任：发现涉嫌违反节能法律、法规相关的违法行为，予以审查，决定是否立案。</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4、告知责任：作出行政处罚决定前，应制作《限期整改通知书》送达当事人，告知违法事实并在规定期限内完成整改。</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5、决定责任：制作行政处罚决定书，载明行政处罚告知、当事人陈述申辩或者听证情况等内容。</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6、送达责任：行政处罚决定书按法律规定的方式送达当事人。</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7、执行责任：依照生效的行政处罚决定进行处罚</w:t>
            </w:r>
          </w:p>
          <w:p>
            <w:pPr>
              <w:keepNext w:val="0"/>
              <w:keepLines w:val="0"/>
              <w:widowControl/>
              <w:suppressLineNumbers w:val="0"/>
              <w:jc w:val="both"/>
              <w:textAlignment w:val="center"/>
              <w:rPr>
                <w:rFonts w:hint="eastAsia" w:ascii="宋体" w:hAnsi="宋体" w:eastAsia="宋体"/>
                <w:color w:val="auto"/>
                <w:sz w:val="18"/>
                <w:szCs w:val="18"/>
              </w:rPr>
            </w:pPr>
            <w:r>
              <w:rPr>
                <w:rFonts w:hint="eastAsia" w:ascii="宋体" w:hAnsi="宋体" w:eastAsia="宋体"/>
                <w:sz w:val="18"/>
                <w:szCs w:val="18"/>
              </w:rPr>
              <w:t>8、其他法律法规规章文件规定应履行的责任。</w:t>
            </w:r>
          </w:p>
        </w:tc>
        <w:tc>
          <w:tcPr>
            <w:tcW w:w="2655" w:type="dxa"/>
            <w:noWrap w:val="0"/>
            <w:vAlign w:val="center"/>
          </w:tcPr>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1、没有法律和事实依据实施行政处罚的；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2、行政处罚显失公正的；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3、执法人员玩忽职守，对应当予以制止和处罚的违法行为不予制止、处罚4、不具备行政执法资格实施行政处罚的；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5、在制止以及查处违法案件中受阻，依照有关规定应当向本级人民政府或者上级主管部门报告而未报告的；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7、擅自改变行政处罚种类、幅度的；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8、违反法定的行政处罚程序的；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cs="宋体"/>
                <w:b w:val="0"/>
                <w:i w:val="0"/>
                <w:snapToGrid/>
                <w:color w:val="000000"/>
                <w:sz w:val="18"/>
                <w:szCs w:val="18"/>
                <w:u w:val="none"/>
                <w:lang w:eastAsia="zh-CN"/>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both"/>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7</w:t>
            </w:r>
          </w:p>
        </w:tc>
        <w:tc>
          <w:tcPr>
            <w:tcW w:w="96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拒绝节能监察，不如实提供有关资料和样品或者伪造、篡改、隐匿、销毁有关资料和样品的处罚</w:t>
            </w:r>
          </w:p>
        </w:tc>
        <w:tc>
          <w:tcPr>
            <w:tcW w:w="72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tabs>
                <w:tab w:val="left" w:pos="7937"/>
              </w:tabs>
              <w:spacing w:line="280" w:lineRule="exact"/>
              <w:jc w:val="left"/>
              <w:rPr>
                <w:rFonts w:hint="eastAsia" w:ascii="宋体" w:hAnsi="宋体" w:eastAsia="宋体"/>
                <w:sz w:val="18"/>
                <w:szCs w:val="18"/>
                <w:lang w:val="en-US" w:eastAsia="zh-CN"/>
              </w:rPr>
            </w:pPr>
            <w:r>
              <w:rPr>
                <w:rFonts w:hint="eastAsia" w:ascii="宋体" w:hAnsi="宋体" w:eastAsia="宋体"/>
                <w:sz w:val="18"/>
                <w:szCs w:val="18"/>
                <w:lang w:val="en-US" w:eastAsia="zh-CN"/>
              </w:rPr>
              <w:t>《河北省节能监察办法》第二十一条被监察单位拒绝依法实施的节能监察，不如实提供有关资料和样品或者伪造、篡改、隐匿、销毁有关资料和样品的，由节能行政主管部门责令限期改正，逾期不改正的，处以三千元以上一万元以下的罚款。阻碍节能监察工作，应当予以治安管理处罚的，由公安机关依照《中华人民共和国治安管理处罚法》予以处罚；构成犯罪的，依法追究刑事责任。</w:t>
            </w:r>
          </w:p>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p>
        </w:tc>
        <w:tc>
          <w:tcPr>
            <w:tcW w:w="3420" w:type="dxa"/>
            <w:noWrap w:val="0"/>
            <w:vAlign w:val="center"/>
          </w:tcPr>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1、立案责任：发现涉嫌违反节能法律、法规相关的违法行为，予以审查，决定是否立案。</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4、告知责任：作出行政处罚决定前，应制作《限期整改通知书》送达当事人，告知违法事实并在规定期限内完成整改。</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5、决定责任：制作行政处罚决定书，载明行政处罚告知、当事人陈述申辩或者听证情况等内容。</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6、送达责任：行政处罚决定书按法律规定的方式送达当事人。</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7、执行责任：依照生效的行政处罚决定进行处罚</w:t>
            </w:r>
          </w:p>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sz w:val="18"/>
                <w:szCs w:val="18"/>
              </w:rPr>
              <w:t>8、其他法律法规规章文件规定应履行的责任</w:t>
            </w:r>
          </w:p>
        </w:tc>
        <w:tc>
          <w:tcPr>
            <w:tcW w:w="2655" w:type="dxa"/>
            <w:noWrap w:val="0"/>
            <w:vAlign w:val="center"/>
          </w:tcPr>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1、没有法律和事实依据实施行政处罚的；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2、行政处罚显失公正的；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3、执法人员玩忽职守，对应当予以制止和处罚的违法行为不予制止、处罚4、不具备行政执法资格实施行政处罚的；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5、在制止以及查处违法案件中受阻，依照有关规定应当向本级人民政府或者上级主管部门报告而未报告的；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7、擅自改变行政处罚种类、幅度的；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8、违反法定的行政处罚程序的；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8</w:t>
            </w:r>
          </w:p>
        </w:tc>
        <w:tc>
          <w:tcPr>
            <w:tcW w:w="96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sz w:val="18"/>
                <w:szCs w:val="18"/>
              </w:rPr>
              <w:t>禁止生产、进口、销售列入淘汰名录的设备、材料和产品，禁止使用列入淘汰名录的技术、工艺、设备和材料的处罚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tabs>
                <w:tab w:val="left" w:pos="7937"/>
              </w:tabs>
              <w:spacing w:line="280" w:lineRule="exact"/>
              <w:jc w:val="left"/>
              <w:rPr>
                <w:rFonts w:hint="eastAsia" w:ascii="宋体" w:hAnsi="宋体" w:eastAsia="宋体"/>
                <w:sz w:val="18"/>
                <w:szCs w:val="18"/>
                <w:lang w:val="en-US" w:eastAsia="zh-CN"/>
              </w:rPr>
            </w:pPr>
            <w:r>
              <w:rPr>
                <w:rFonts w:hint="eastAsia" w:ascii="宋体" w:hAnsi="宋体" w:eastAsia="宋体"/>
                <w:sz w:val="18"/>
                <w:szCs w:val="18"/>
                <w:lang w:val="en-US" w:eastAsia="zh-CN"/>
              </w:rPr>
              <w:t>《中华人民共和国循环经济促进法》第五十条生产、销售列入淘汰名录的产品、设备的，依照《中华人民共和国产品质量法》的规定处罚。</w:t>
            </w:r>
          </w:p>
          <w:p>
            <w:pPr>
              <w:tabs>
                <w:tab w:val="left" w:pos="7937"/>
              </w:tabs>
              <w:spacing w:line="280" w:lineRule="exact"/>
              <w:jc w:val="left"/>
              <w:rPr>
                <w:rFonts w:hint="eastAsia" w:ascii="宋体" w:hAnsi="宋体" w:eastAsia="宋体"/>
                <w:sz w:val="18"/>
                <w:szCs w:val="18"/>
                <w:lang w:val="en-US" w:eastAsia="zh-CN"/>
              </w:rPr>
            </w:pPr>
            <w:r>
              <w:rPr>
                <w:rFonts w:hint="eastAsia" w:ascii="宋体" w:hAnsi="宋体" w:eastAsia="宋体"/>
                <w:sz w:val="18"/>
                <w:szCs w:val="18"/>
                <w:lang w:val="en-US" w:eastAsia="zh-CN"/>
              </w:rPr>
              <w:t>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w:t>
            </w:r>
          </w:p>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sz w:val="18"/>
                <w:szCs w:val="18"/>
                <w:lang w:val="en-US" w:eastAsia="zh-CN"/>
              </w:rPr>
              <w:t>违反本法规定，进口列入淘汰名录的设备、材料或者产品的，由海关责令退运，可以处十万元以上一百万元以下的罚款。进口者不明的，由承运人承担退运责任，或者承担有关处置费用。</w:t>
            </w:r>
          </w:p>
        </w:tc>
        <w:tc>
          <w:tcPr>
            <w:tcW w:w="3420" w:type="dxa"/>
            <w:noWrap w:val="0"/>
            <w:vAlign w:val="center"/>
          </w:tcPr>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1、立案责任：发现涉嫌违反节能法律、法规相关的违法行为，予以审查，决定是否立案。</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4、告知责任：作出行政处罚决定前，应制作《限期整改通知书》送达当事人，告知违法事实并在规定期限内完成整改。</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5、决定责任：制作行政处罚决定书，载明行政处罚告知、当事人陈述申辩或者听证情况等内容。</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6、送达责任：行政处罚决定书按法律规定的方式送达当事人。</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7、执行责任：依照生效的行政处罚决定进行处罚</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8、其他法律法规规章文件规定应履行的责任。</w:t>
            </w:r>
          </w:p>
        </w:tc>
        <w:tc>
          <w:tcPr>
            <w:tcW w:w="2655" w:type="dxa"/>
            <w:noWrap w:val="0"/>
            <w:vAlign w:val="center"/>
          </w:tcPr>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1、没有法律和事实依据实施行政处罚的；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2、行政处罚显失公正的；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3、执法人员玩忽职守，对应当予以制止和处罚的违法行为不予制止、处罚4、不具备行政执法资格实施行政处罚的；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5、在制止以及查处违法案件中受阻，依照有关规定应当向本级人民政府或者上级主管部门报告而未报告的；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7、擅自改变行政处罚种类、幅度的；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8、违反法定的行政处罚程序的；</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9</w:t>
            </w:r>
          </w:p>
        </w:tc>
        <w:tc>
          <w:tcPr>
            <w:tcW w:w="96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对未经节能审查或者节能审查未通过擅自开工建设的固定资产投资项目的处罚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sz w:val="18"/>
                <w:szCs w:val="18"/>
                <w:lang w:val="en-US" w:eastAsia="zh-CN"/>
              </w:rPr>
            </w:pPr>
            <w:r>
              <w:rPr>
                <w:rFonts w:hint="eastAsia" w:ascii="宋体" w:hAnsi="宋体" w:eastAsia="宋体"/>
                <w:kern w:val="2"/>
                <w:sz w:val="18"/>
                <w:szCs w:val="18"/>
                <w:lang w:val="en-US" w:eastAsia="zh-CN" w:bidi="ar-SA"/>
              </w:rPr>
              <w:t>《河北省固定资产投资项目节能审查办法》第十五条对未按本办法规定进行节能审查，或节能审查未获通过，擅自开工建设或擅自投入生产、使用的固定资产投资项目，由发展改革部门责令停止建设或停止生产、使用，限期改造；未落实节能审查意见要求的固定资产投资项目，由发展改革部门责令建设单位限期整改。不能改造或逾期不改造的生产性项目，由发展改革部门报请本级人民政府按照《中华人民共和国节约能源法》有关规定责令关闭；并依法追究有关责任人的责任。</w:t>
            </w:r>
          </w:p>
        </w:tc>
        <w:tc>
          <w:tcPr>
            <w:tcW w:w="3420" w:type="dxa"/>
            <w:noWrap w:val="0"/>
            <w:vAlign w:val="center"/>
          </w:tcPr>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1、立案责任：发现涉嫌违反节能法律、法规相关的违法行为，予以审查，决定是否立案。</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2、调查责任：节能监察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4、告知责任：作出行政处罚决定前，应制作《限期整改通知书》送达当事人，告知违法事实并在规定期限内完成整改。</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5、决定责任：制作行政处罚决定书，载明行政处罚告知、当事人陈述申辩或者听证情况等内容。</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6、送达责任：行政处罚决定书按法律规定的方式送达当事人。</w:t>
            </w:r>
          </w:p>
          <w:p>
            <w:pPr>
              <w:tabs>
                <w:tab w:val="left" w:pos="7937"/>
              </w:tabs>
              <w:spacing w:line="280" w:lineRule="exact"/>
              <w:jc w:val="left"/>
              <w:rPr>
                <w:rFonts w:hint="eastAsia" w:ascii="宋体" w:hAnsi="宋体" w:eastAsia="宋体"/>
                <w:sz w:val="18"/>
                <w:szCs w:val="18"/>
              </w:rPr>
            </w:pPr>
            <w:r>
              <w:rPr>
                <w:rFonts w:hint="eastAsia" w:ascii="宋体" w:hAnsi="宋体" w:eastAsia="宋体"/>
                <w:sz w:val="18"/>
                <w:szCs w:val="18"/>
              </w:rPr>
              <w:t>7、执行责任：依照生效的行政处罚决定进行处罚</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8、其他法律法规规章文件规定应履行的责任。</w:t>
            </w:r>
          </w:p>
        </w:tc>
        <w:tc>
          <w:tcPr>
            <w:tcW w:w="2655" w:type="dxa"/>
            <w:noWrap w:val="0"/>
            <w:vAlign w:val="center"/>
          </w:tcPr>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1、没有法律和事实依据实施行政处罚的；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2、行政处罚显失公正的；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3、执法人员玩忽职守，对应当予以制止和处罚的违法行为不予制止、处罚4、不具备行政执法资格实施行政处罚的；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5、在制止以及查处违法案件中受阻，依照有关规定应当向本级人民政府或者上级主管部门报告而未报告的；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7、擅自改变行政处罚种类、幅度的；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8、违反法定的行政处罚程序的；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tabs>
                <w:tab w:val="left" w:pos="7937"/>
              </w:tabs>
              <w:spacing w:line="280" w:lineRule="exact"/>
              <w:jc w:val="both"/>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10</w:t>
            </w:r>
          </w:p>
        </w:tc>
        <w:tc>
          <w:tcPr>
            <w:tcW w:w="96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cs="宋体"/>
                <w:i w:val="0"/>
                <w:color w:val="000000"/>
                <w:kern w:val="0"/>
                <w:sz w:val="18"/>
                <w:szCs w:val="18"/>
                <w:u w:val="none"/>
                <w:lang w:val="en-US" w:eastAsia="zh-CN" w:bidi="ar"/>
              </w:rPr>
              <w:t>未经许可擅自从事粮食收购活动的处罚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粮食流通管理条例》（2004年5月国务院令第407号，2016年2月修订）第九条：“依照《中华人民共和国公司登记管理条例》等规定办理登记的经营者，取得粮食收购资格后，方可从事粮食收购活动”。第四十条：“未经粮食行政管理部门许可擅自从事粮食收购活动的，由粮食行政管理部门没收非法收购的粮食；情节严重的，并处非法收购粮食价值1倍以上5倍以下的罚款；构成犯罪的，依法追究刑事责任。”</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w:t>
            </w:r>
            <w:r>
              <w:rPr>
                <w:rFonts w:hint="eastAsia" w:ascii="宋体" w:hAnsi="宋体" w:eastAsia="宋体"/>
                <w:sz w:val="18"/>
                <w:szCs w:val="18"/>
                <w:lang w:eastAsia="zh-CN"/>
              </w:rPr>
              <w:t>粮食企业</w:t>
            </w:r>
            <w:r>
              <w:rPr>
                <w:rFonts w:hint="eastAsia" w:ascii="宋体" w:hAnsi="宋体" w:eastAsia="宋体"/>
                <w:sz w:val="18"/>
                <w:szCs w:val="18"/>
              </w:rPr>
              <w:t>的合法权益</w:t>
            </w:r>
            <w:r>
              <w:rPr>
                <w:rFonts w:hint="eastAsia" w:ascii="宋体" w:hAnsi="宋体" w:eastAsia="宋体"/>
                <w:sz w:val="18"/>
                <w:szCs w:val="18"/>
                <w:lang w:eastAsia="zh-CN"/>
              </w:rPr>
              <w:t>遭受损害的</w:t>
            </w:r>
            <w:r>
              <w:rPr>
                <w:rFonts w:hint="eastAsia" w:ascii="宋体" w:hAnsi="宋体" w:eastAsia="宋体"/>
                <w:sz w:val="18"/>
                <w:szCs w:val="18"/>
              </w:rPr>
              <w:t>；</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w:t>
            </w:r>
            <w:r>
              <w:rPr>
                <w:rFonts w:hint="eastAsia" w:ascii="宋体" w:hAnsi="宋体" w:eastAsia="宋体"/>
                <w:sz w:val="18"/>
                <w:szCs w:val="18"/>
                <w:lang w:eastAsia="zh-CN"/>
              </w:rPr>
              <w:t>粮食</w:t>
            </w:r>
            <w:r>
              <w:rPr>
                <w:rFonts w:hint="eastAsia" w:ascii="宋体" w:hAnsi="宋体" w:eastAsia="宋体"/>
                <w:sz w:val="18"/>
                <w:szCs w:val="18"/>
              </w:rPr>
              <w:t>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11</w:t>
            </w:r>
          </w:p>
        </w:tc>
        <w:tc>
          <w:tcPr>
            <w:tcW w:w="96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以欺骗、贿赂等不正当手段取得粮食收购资格的处罚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《粮食流通管理条例》（2016年国务院令第666号第二次修正）第四十一条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w:t>
            </w:r>
            <w:r>
              <w:rPr>
                <w:rFonts w:hint="eastAsia" w:ascii="宋体" w:hAnsi="宋体" w:eastAsia="宋体"/>
                <w:sz w:val="18"/>
                <w:szCs w:val="18"/>
                <w:lang w:eastAsia="zh-CN"/>
              </w:rPr>
              <w:t>粮食企业</w:t>
            </w:r>
            <w:r>
              <w:rPr>
                <w:rFonts w:hint="eastAsia" w:ascii="宋体" w:hAnsi="宋体" w:eastAsia="宋体"/>
                <w:sz w:val="18"/>
                <w:szCs w:val="18"/>
              </w:rPr>
              <w:t>的合法权益</w:t>
            </w:r>
            <w:r>
              <w:rPr>
                <w:rFonts w:hint="eastAsia" w:ascii="宋体" w:hAnsi="宋体" w:eastAsia="宋体"/>
                <w:sz w:val="18"/>
                <w:szCs w:val="18"/>
                <w:lang w:eastAsia="zh-CN"/>
              </w:rPr>
              <w:t>遭受损害的</w:t>
            </w:r>
            <w:r>
              <w:rPr>
                <w:rFonts w:hint="eastAsia" w:ascii="宋体" w:hAnsi="宋体" w:eastAsia="宋体"/>
                <w:sz w:val="18"/>
                <w:szCs w:val="18"/>
              </w:rPr>
              <w:t>；</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w:t>
            </w:r>
            <w:r>
              <w:rPr>
                <w:rFonts w:hint="eastAsia" w:ascii="宋体" w:hAnsi="宋体" w:eastAsia="宋体"/>
                <w:sz w:val="18"/>
                <w:szCs w:val="18"/>
                <w:lang w:eastAsia="zh-CN"/>
              </w:rPr>
              <w:t>粮食</w:t>
            </w:r>
            <w:r>
              <w:rPr>
                <w:rFonts w:hint="eastAsia" w:ascii="宋体" w:hAnsi="宋体" w:eastAsia="宋体"/>
                <w:sz w:val="18"/>
                <w:szCs w:val="18"/>
              </w:rPr>
              <w:t>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12</w:t>
            </w:r>
          </w:p>
        </w:tc>
        <w:tc>
          <w:tcPr>
            <w:tcW w:w="960"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伪造、涂改、转让、出租或出借粮食收购许可证的处罚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河北省粮食流通管理规定（省政府令〔2016〕第1号第二次修正）第三十六条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w:t>
            </w:r>
            <w:r>
              <w:rPr>
                <w:rFonts w:hint="eastAsia" w:ascii="宋体" w:hAnsi="宋体" w:eastAsia="宋体"/>
                <w:sz w:val="18"/>
                <w:szCs w:val="18"/>
                <w:lang w:eastAsia="zh-CN"/>
              </w:rPr>
              <w:t>粮食企业</w:t>
            </w:r>
            <w:r>
              <w:rPr>
                <w:rFonts w:hint="eastAsia" w:ascii="宋体" w:hAnsi="宋体" w:eastAsia="宋体"/>
                <w:sz w:val="18"/>
                <w:szCs w:val="18"/>
              </w:rPr>
              <w:t>的合法权益</w:t>
            </w:r>
            <w:r>
              <w:rPr>
                <w:rFonts w:hint="eastAsia" w:ascii="宋体" w:hAnsi="宋体" w:eastAsia="宋体"/>
                <w:sz w:val="18"/>
                <w:szCs w:val="18"/>
                <w:lang w:eastAsia="zh-CN"/>
              </w:rPr>
              <w:t>遭受损害的</w:t>
            </w:r>
            <w:r>
              <w:rPr>
                <w:rFonts w:hint="eastAsia" w:ascii="宋体" w:hAnsi="宋体" w:eastAsia="宋体"/>
                <w:sz w:val="18"/>
                <w:szCs w:val="18"/>
              </w:rPr>
              <w:t>；</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w:t>
            </w:r>
            <w:r>
              <w:rPr>
                <w:rFonts w:hint="eastAsia" w:ascii="宋体" w:hAnsi="宋体" w:eastAsia="宋体"/>
                <w:sz w:val="18"/>
                <w:szCs w:val="18"/>
                <w:lang w:eastAsia="zh-CN"/>
              </w:rPr>
              <w:t>粮食</w:t>
            </w:r>
            <w:r>
              <w:rPr>
                <w:rFonts w:hint="eastAsia" w:ascii="宋体" w:hAnsi="宋体" w:eastAsia="宋体"/>
                <w:sz w:val="18"/>
                <w:szCs w:val="18"/>
              </w:rPr>
              <w:t>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13</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粮食收购者未执行国家粮食质量标准的处罚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《粮食流通管理条例》（2016年国务院令第666号第二次修正）第四十三条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14</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粮食收购者未及时支付售粮款的处罚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2004年5月国务院令第407号，2016年2月修订）第十一条：“粮食收购者收购粮食，应当执行国家粮食质量标准，按质论价，不得损害农民和其他粮食生产者的利益；应当及时向售粮者支付售粮款，不得拖欠；不得接受任何组织或者个人的委托代扣、代缴任何税、费和其他款项。”第四十三条：“有下列情形之一的，由粮食行政管理部门责令改正，予以警告，可以处20万元以下的罚款；情节严重的，并由粮食行政管理部门暂停或者取消粮食收购资格：（二）粮食收购者被售粮者举报未及时支付售粮款的。”</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15</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粮食收购者代扣、代缴税、费和其他款项的处罚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2004年5月国务院令第407号，2016年2月修订）第十一条：“粮食收购者收购粮食，应当执行国家粮食质量标准，按质论价，不得损害农民和其他粮食生产者的利益；应当及时向售粮者支付售粮款，不得拖欠；不得接受任何组织或者个人的委托代扣、代缴任何税、费和其他款项。”第四十三条：“有下列情形之一的，由粮食行政管理部门责令改正，予以警告，可以处20万元以下的罚款；情节严重的，并由粮食行政管理部门暂停或者取消粮食收购资格：（三）粮食收购者违反本条例规定代扣、代缴税、费和其他款项的。”</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16</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粮食经营者违反粮食流通统计制度的处罚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《粮食流通管理条例》（2016年国务院令第666号第二次修正）第四十三条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17</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从事政策性用粮购销活动未执行国家有关政策的处罚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《粮食流通管理条例》（2016年国务院令第666号第二次修正）第四十三条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18</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陈粮出库未按规定进行质量鉴定的处罚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行政法规】《粮食流通管理条例》（2004年5月国务院令第407号，2016年2月修订）第十八条：“建立粮食销售出库质量检验制度。粮食储存企业对超过正常储存年限的陈粮，在出库前应当经过粮食质量检验机构进行质量鉴定，凡已陈化变质、不符合食用卫生标准的粮食，严禁流入口粮市场。陈化粮判定标准，由国家粮食行政管理部门会同有关部门制定，陈化粮销售、处理和监管的具体办法，依照国家有关规定执行。”第四十四条：“陈粮出库未按照本条例规定进行质量鉴定的，由粮食行政管理部门责令改正，给予警告；情节严重的，处出库粮食价值1倍以上5倍以下的罚款。”</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19</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违反粮食最低、最高库存量规定的处罚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行政法规】《粮食流通管理条例》（2004年5月国务院令第407号，2016年2月修订）第十九条：“从事粮食收购、加工、销售的经营者，必须保持必要的库存量。必要时，由省、自治区、直辖市人民政府规定最低和最高库存量的具体标准。”第四十五条：“从事粮食收购、加工、销售的经营者的粮食库存低于规定的最低库存量的，由粮食行政管理部门责令改正，给予警告；情节严重的，处不足部分粮食价值１倍以上５倍以下的罚款，并可以取消粮食收购资格。从事粮食收购、加工、销售的经营者的粮食库存超出规定的最高库存量的，由粮食行政管理部门责令改正，给予警告；情节严重的，处超出部分粮食价值１倍以上５倍以下的罚款，并可以取消粮食收购资格。”</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违反规定使用粮食仓储设施、运输工具的处罚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行政法规】《粮食流通管理条例》（2004年5月国务院令第407号，2016年2月修订）第十四条：“粮食经营者使用的粮食仓储设施，应当符合粮食储存有关标准和技术规范的要求。粮食不得与可能对粮食产生污染的有害物质混存，储存粮食不得使用国家禁止使用的化学药剂或者超量使用化学药剂。”第十五条：“运输粮食应当严格执行国家粮食运输的技术规范，不得使用被污染的运输工具或者包装材料运输粮食。”第四十六条：“粮食经营者未按照本条例规定使用粮食仓储设施、运输工具的，由粮食行政管理部门或者卫生部门责令改正，给予警告；被污染的粮食不得非法销售、加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21</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粮油仓储单位违反备案规定的处罚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部委规章】《粮油仓储管理办法》（2009年12月国家发展和改革委员会令第5号）第六条：“粮油仓储单位应当自设立或者开始从事粮油仓储活动之日起30个工作日内，向所在地粮食行政管理部门备案。备案应当包括单位名称、地址、法定代表人、主要仓储业务类型、仓（罐）容规模等内容。具体备案管理办法由省、自治区、直辖市人民政府粮食行政管理部门制定。”第二十八条：“粮油仓储单位违反本办法第六条规定，未在规定时间向粮食行政管理部门备案，或者备案内容弄虚作假的，由负责备案管理的粮食行政管理部门责令改正，给予警告；拒不改正的，处1万元以下罚款。”</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22</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粮油仓储单位违反仓储条件规定的处罚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部委规章】《粮油仓储管理办法》（2009年12月国家发展和改革委员会令第5号）第七条：“粮油仓储单位应当具备以下条件：（一）拥有固定经营场地，并符合本办法有关污染源、危险源安全距离的规定；（二）拥有与从事粮油仓储活动相适应的设备，并符合粮油储藏技术规范的要求；（三）拥有相应的专业技术管理人员。”第二十九条：“粮油仓储单位不具备本办法第七条规定条件的，由负责备案管理的粮食行政管理部门责令改正，给予警告；拒不改正的，处1万元以上3万元以下罚款。”</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23</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粮油仓储单位违反粮油储存管理规定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油仓储管理办法》（2009年12月国家发展和改革委员会令第5号）第三十一条：“粮油仓储单位违反本办法有关粮油出入库、储存等管理规定的，由所在地粮食行政管理部门责令改正，给予警告；情节严重的，可以并处3万元以下罚款；造成粮油储存事故或者安全生产事故的，按照有关法律法规和国家有关规定给予处罚。”</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24</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违规拆除、迁移、侵占、损坏</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粮油仓储物流设施或擅自改变其用途的处罚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国有粮油仓储物流设施保护办法》（2016年6月国家发展和改革委员会令第40号）？第二十一条：“任何公民、法人和其他组织违反本办法规定拆除、迁移粮油仓储物流设施，非法侵占、损坏粮油仓储物流设施或者擅自改变其用途，由粮油仓储物流设施所在地粮食行政管理部门责令其限期改正，并依法予以警告或者罚款；有违法所得的，没收违法所得；造成财产损失的，依法承担民事赔偿责任；构成犯罪的，依法追究刑事责任”。</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25</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粮食经营活动的场所、仓储设施、运输工具、质量安全项目检验能力和仪器设备不符合规定的处罚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粮油仓储管理办法（国家发展改革委令第5号）第三十一条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26</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销售不得作为口粮的粮食作为口粮的处罚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部委规章】《粮食质量安全监管办法》（2016年9月国家发展和改革委员会令第42号）第十二条：“禁止销售下列粮食作为口粮：（一）真菌毒素、农药残留、重金属以及其他危害人体健康的污染物质含量不符合食品安全标准的；（二）霉变、色泽气味异常的；（三）直接拌有农药、混有农药残渣或者含有国家禁止使用的化学物质的；（四）被包装材料、容器、运输工具等污染的；（五）其他法律、法规或规章以及政策明确规定不得作为口粮的。收购和销售污染粮食定向用作非食品原料的，必须单收、单储，并在收购码单、销售凭证中明确标识用途。”第四十五条：“违反本办法第十二条规定的，由县级以上粮食行政管理部门责令改正，予以警告；情节严重的，没收违法所得，可以并处30000元以下的罚款，没有违法所得的，可以处以10000元以下的罚款。”</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27</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违反粮食收购入库质量安全检验制度的处罚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粮食质量安全监管办法（国家发展改革委令第42号）第四十三条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28</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粮食经营者违反储粮药剂管理规定的处罚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部委规章】《粮食质量安全监管办法》（2016年9月国家发展和改革委员会令第42号）第十六条：“粮食经营者必须严格执行储粮药剂使用管理制度、相关标准和技术规范，严格储粮药剂的使用和残渣处理，详细记录施药情况。施用过化学药剂且药剂残效期大于15天的粮食，出库时必须检验药剂残留量。储存粮食不得使用国家禁止使用的化学药剂或者超量使用化学药剂”。《粮食质量安全监管办法》第四十六条：“违反本办法第十六条、第二十一条规定的，由县级以上粮食行政管理部门责令改正，予以警告；警告后仍不改正，可以处以10000元以下的罚款。”</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29</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粮食销售出库未按规定进行检验的处罚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粮食质量安全监管办法（国家发展改革委令第42号）第四十三条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30</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采购和供应粮食未按规定验收检验的处罚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粮食质量安全监管办法（国家发展改革委令第42号）第四十三条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31</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运输粮食过程中违反质量安全规定的处罚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粮食质量安全监管办法（国家发展改革委令第42号）第四十六条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32</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销售、加工的粮食不符合质量标准、食品安全标准以及包装</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粮食质量安全监管办法（国家发展改革委令第42号）第四十三条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33</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粮食经营者未建立粮食质量安全档案的处罚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粮食质量安全监管办法（国家发展改革委令第42号）第四十三条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34</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行政处罚</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粮食经营者未建立粮食质量安全档案的处罚</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销售的粮食有害成分含量超过食品安全标准限量，未按规定执行粮食召回制度的处罚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2004年5月国务院令第407号，2016年2月修订）第十二条：“粮食收购者应当向收购地的县级人民政府粮食行政管理部门定期报告粮食收购数量等有关情况。跨省收购粮食，应当向收购地和粮食收购者所在地的县级人民政府粮食行政管理部门定期报告粮食收购数量等有关情况。”第二十二条：“所有从事粮食收购、销售、储存、加工的粮食经营者以及饲料、工业用粮企业，应当建立粮食经营台账，并向所在地的县级人民政府粮食行政管理部门报送粮食购进、销售、储存等基本数据和有关情况。粮食经营者保留粮食经营台账的期限不得少于3年。粮食经营者报送的基本数据和有关情况涉及商业秘密的，粮食行政管理部门负有保密义务。”第四十三条：“有下列情形之一的，由粮食行政管理部门责令改正，予以警告，可以处20万元以下的罚款；情节严重的，并由粮食行政管理部门暂停或者取消粮食收购资格：（四）从事粮食收购、销售、储存、加工的粮食经营者以及饲料、工业用粮企业未建立粮食经营台账，或者未按照规定报送粮食基本数据和有关情况的。”《粮食质量安全监管办法》（2016年9月国家发展和改革委员会令第42号）第十六条：“粮食经营者必须严格执行储粮药剂使用管理制度、相关标准和技术规范，严格储粮药剂的使用和残渣处理，详细记录施药情况。施用过化学药剂且药剂残效期大于15天的粮食，出库时必须检验药剂残留量。储存粮食不得使用国家禁止使用的化学药剂或者超量使用化学药剂”。《粮食质量安全监管办法》第四十六条：“违反本办法第十六条、第二十一条规定的，由县级以上粮食行政管理部门责令改正，予以警告；警告后仍不改正，可以处以10000元以下的罚款。”</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1、没有法律和事实依据实施行政处罚的；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2、行政处罚显失公正的；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3、执法人员玩忽职守，对应当予以制止和处罚的违法行为不予制止、处罚，致使粮食企业的合法权益遭受损害的；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4、不具备行政执法资格实施行政处罚的；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5、在制止以及查处违法案件中受阻，依照有关规定应当向本级人民政府或者上级粮食主管部门报告而未报告的；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6、应当依法移送追究刑事责任，而未依法移送有权机关的；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7、擅自改变行政处罚种类、幅度的；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8、违反法定的行政处罚程序的；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9、符合听证条件、行政管理相对人要求听证，应予组织听证而不组织听证的；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10、在行政处罚过程中发生腐败行为的；</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11、其他违反法律法规规章文件规定的行为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35</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行政检查</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粮食库存检查</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粮食流通管理条例》（2004年5月国务院令第407号，2016年2月修订）第三十四条：“粮食行政管理部门依照本条例对粮食经营者从事粮食收购、储存、运输活动和政策性用粮的购销活动，以及执行国家粮食流通统计制度的情况进行监督检查。粮食行政管理部门应当根据国家要求对粮食收购资格进行核查。粮食行政管理部门在监督检查过程中，可以进入粮食经营者经营场所检查粮食的库存量和收购、储存活动中的粮食质量以及原粮卫生；检查粮食仓储设施、设备是否符合国家技术规范；查阅粮食经营者有关资料、凭证；向有关单位和人员调查了解相关情况。”                                   2.【部委规章】《粮油仓储管理办法》（2009年12月国家发展和改革委员会令第5号）《粮油仓储管理办法》第五条：“县级以上地方人民政府粮食行政管理部门负责本行政区域的粮油仓储监督管理工作。”</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部委规章】《国有粮油仓储物流设施保护办法》（2016年6月国家发展和改革委员会令第40号）第四条：“县级以上地方人民政府粮食行政管理部门负责本行政区域内粮油仓储物流设施保护的行业指导和监督管理，在上级粮食行政管理部门指导和本级人民政府领导下，根据本地区粮食收储供应安全保障需要，细化落实粮油仓储物流设施淘汰、更新及保护措施，会同有关部门组织开展粮油仓储物流设施保护的考核工作。”                                   4.【部委规章】《粮食质量安全监管办法》（2016年9月国家发展和改革委员会令第42号）第三条：“县级以上粮食行政管理部门在本级人民政府的统一组织协调下，负责本行政区域粮食收购、储存、运输、加工和销售等经营活动中粮食质量安全的监督管理工作。”</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行政法规】《粮食流通管理条例》（2004年5月国务院令第407号，2016年2月修订）第四十九条：“违反本条例规定，阻碍粮食自由流通的，依照《国务院关于禁止在市场经济活动中实行地区封锁的规定》予以处罚。”第五十条：“监督检查人员违反本条例规定，非法干预粮食经营者正常经营活动的，依法给予行政处分；构成犯罪的，依法追究刑事责任。”</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 xml:space="preserve">2.【部委规章】《国有粮油仓储物流设施保护办法》（2016年6月国家发展和改革委员会令第40号）第二十二条：“各级人民政府粮食行政管理部门及有关企事业单位工作人员违反本办法规定，滥用职权、营私舞弊或者玩忽职守，造成粮油仓储物流设施损失、损坏，视情节依纪依规予以警告、降级直至开除的行政处分。涉及违法的，移送司法机关处理；构成犯罪的，依法追究刑事责任。”                           3.【部委规章】《粮食质量安全监管办法》（2016年9月国家发展和改革委员会令第42号）第四十九条：“违反本办法规定，县级以上粮食等行政管理部门在粮食质量安全监督管理中不履行职责或者滥用职权、玩忽职守、徇私舞弊的，依照有关法律、行政法规对直接负责的主管人员和其他直接责任人员给予处罚。”     </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36</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行政检查</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县级储备粮轮换专项检查</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行政法规】《粮食流通管理条例》（2004年5月国务院令第407号，2016年2月修订）第三十四条：“粮食行政管理部门依照本条例对粮食经营者从事粮食收购、储存、运输活动和政策性用粮的购销活动，以及执行国家粮食流通统计制度的情况进行监督检查。粮食行政管理部门应当根据国家要求对粮食收购资格进行核查。粮食行政管理部门在监督检查过程中，可以进入粮食经营者经营场所检查粮食的库存量和收购、储存活动中的粮食质量以及原粮卫生；检查粮食仓储设施、设备是否符合国家技术规范；查阅粮食经营者有关资料、凭证；向有关单位和人员调查了解相关情况。”                                   2.【部委规章】《粮食质量安全监管办法》（2016年9月国家发展和改革委员会令第42号）第三条：“县级以上粮食行政管理部门在本级人民政府的统一组织协调下，负责本行政区域粮食收购、储存、运输、加工和销售等经营活动中粮食质量安全的监督管理工作。”</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lang w:eastAsia="zh-CN"/>
              </w:rPr>
              <w:t>《中华人民共和国监察法》《中华人民共和国国家赔偿法》《中华人民共和国公务员法》</w:t>
            </w:r>
            <w:r>
              <w:rPr>
                <w:rFonts w:hint="eastAsia" w:ascii="宋体" w:hAnsi="宋体" w:eastAsia="宋体"/>
                <w:sz w:val="18"/>
                <w:szCs w:val="18"/>
              </w:rPr>
              <w:t>《行政机关公务员处分条例》（或《事业单位工作人员处分暂行规定》）</w:t>
            </w:r>
            <w:r>
              <w:rPr>
                <w:rFonts w:hint="eastAsia" w:ascii="宋体" w:hAnsi="宋体" w:eastAsia="宋体"/>
                <w:sz w:val="18"/>
                <w:szCs w:val="18"/>
                <w:lang w:eastAsia="zh-CN"/>
              </w:rPr>
              <w:t>《中华人民共和国政府信息公开条例》</w:t>
            </w:r>
            <w:r>
              <w:rPr>
                <w:rFonts w:hint="eastAsia" w:ascii="宋体" w:hAnsi="宋体" w:eastAsia="宋体"/>
                <w:sz w:val="18"/>
                <w:szCs w:val="18"/>
              </w:rPr>
              <w:t>《</w:t>
            </w:r>
            <w:r>
              <w:rPr>
                <w:rFonts w:hint="eastAsia" w:ascii="宋体" w:hAnsi="宋体" w:eastAsia="宋体"/>
                <w:sz w:val="18"/>
                <w:szCs w:val="18"/>
                <w:lang w:eastAsia="zh-CN"/>
              </w:rPr>
              <w:t>河北</w:t>
            </w:r>
            <w:r>
              <w:rPr>
                <w:rFonts w:hint="eastAsia" w:ascii="宋体" w:hAnsi="宋体" w:eastAsia="宋体"/>
                <w:sz w:val="18"/>
                <w:szCs w:val="18"/>
              </w:rPr>
              <w:t>省行政执法监督条例》等规定的追责情形。</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37</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行政检查</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夏粮收购专项检查</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行政法规】《粮食流通管理条例》（2004年5月国务院令第407号，2016年2月修订）第三十四条：“粮食行政管理部门依照本条例对粮食经营者从事粮食收购、储存、运输活动和政策性用粮的购销活动，以及执行国家粮食流通统计制度的情况进行监督检查。粮食行政管理部门应当根据国家要求对粮食收购资格进行核查。粮食行政管理部门在监督检查过程中，可以进入粮食经营者经营场所检查粮食的库存量和收购、储存活动中的粮食质量以及原粮卫生；检查粮食仓储设施、设备是否符合国家技术规范；查阅粮食经营者有关资料、凭证；向有关单位和人员调查了解相关情况。”                                   2.【部委规章】《粮食质量安全监管办法》（2016年9月国家发展和改革委员会令第42号）第三条：“县级以上粮食行政管理部门在本级人民政府的统一组织协调下，负责本行政区域粮食收购、储存、运输、加工和销售等经营活动中粮食质量安全的监督管理工作。”</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lang w:eastAsia="zh-CN"/>
              </w:rPr>
              <w:t>《中华人民共和国监察法》《中华人民共和国国家赔偿法》《中华人民共和国公务员法》</w:t>
            </w:r>
            <w:r>
              <w:rPr>
                <w:rFonts w:hint="eastAsia" w:ascii="宋体" w:hAnsi="宋体" w:eastAsia="宋体"/>
                <w:sz w:val="18"/>
                <w:szCs w:val="18"/>
              </w:rPr>
              <w:t>《行政机关公务员处分条例》（或《事业单位工作人员处分暂行规定》）</w:t>
            </w:r>
            <w:r>
              <w:rPr>
                <w:rFonts w:hint="eastAsia" w:ascii="宋体" w:hAnsi="宋体" w:eastAsia="宋体"/>
                <w:sz w:val="18"/>
                <w:szCs w:val="18"/>
                <w:lang w:eastAsia="zh-CN"/>
              </w:rPr>
              <w:t>《中华人民共和国政府信息公开条例》</w:t>
            </w:r>
            <w:r>
              <w:rPr>
                <w:rFonts w:hint="eastAsia" w:ascii="宋体" w:hAnsi="宋体" w:eastAsia="宋体"/>
                <w:sz w:val="18"/>
                <w:szCs w:val="18"/>
              </w:rPr>
              <w:t>《河北省行政执法监督条例》等规定的追责情形。</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38</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行政检查</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秋粮收购专项检查</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行政法规】《粮食流通管理条例》（2004年5月国务院令第407号，2016年2月修订）第三十四条：“粮食行政管理部门依照本条例对粮食经营者从事粮食收购、储存、运输活动和政策性用粮的购销活动，以及执行国家粮食流通统计制度的情况进行监督检查。粮食行政管理部门应当根据国家要求对粮食收购资格进行核查。粮食行政管理部门在监督检查过程中，可以进入粮食经营者经营场所检查粮食的库存量和收购、储存活动中的粮食质量以及原粮卫生；检查粮食仓储设施、设备是否符合国家技术规范；查阅粮食经营者有关资料、凭证；向有关单位和人员调查了解相关情况。”                                   2.【部委规章】《粮食质量安全监管办法》（2016年9月国家发展和改革委员会令第42号）第三条：“县级以上粮食行政管理部门在本级人民政府的统一组织协调下，负责本行政区域粮食收购、储存、运输、加工和销售等经营活动中粮食质量安全的监督管理工作。”</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1.执行省市级制定的行政处罚标准规范，也可结合本地实际，细化、量化行政处罚裁量基准的具体标准。建立健全对行政处罚的监督制度。</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2.依法依规实施本级行政处罚事项，做出的行政处罚决定应当予以公开。</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lang w:eastAsia="zh-CN"/>
              </w:rPr>
              <w:t>《中华人民共和国监察法》《中华人民共和国国家赔偿法》《中华人民共和国公务员法》</w:t>
            </w:r>
            <w:r>
              <w:rPr>
                <w:rFonts w:hint="eastAsia" w:ascii="宋体" w:hAnsi="宋体" w:eastAsia="宋体"/>
                <w:sz w:val="18"/>
                <w:szCs w:val="18"/>
              </w:rPr>
              <w:t>《行政机关公务员处分条例》（或《事业单位工作人员处分暂行规定》）</w:t>
            </w:r>
            <w:r>
              <w:rPr>
                <w:rFonts w:hint="eastAsia" w:ascii="宋体" w:hAnsi="宋体" w:eastAsia="宋体"/>
                <w:sz w:val="18"/>
                <w:szCs w:val="18"/>
                <w:lang w:eastAsia="zh-CN"/>
              </w:rPr>
              <w:t>《中华人民共和国政府信息公开条例》</w:t>
            </w:r>
            <w:r>
              <w:rPr>
                <w:rFonts w:hint="eastAsia" w:ascii="宋体" w:hAnsi="宋体" w:eastAsia="宋体"/>
                <w:sz w:val="18"/>
                <w:szCs w:val="18"/>
              </w:rPr>
              <w:t>《河北省行政执法监督条例》等规定的追责情形。</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39</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行政确认</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纪检监察机关查办案件涉案财物价格认定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1、《纪检监察机关查办案件涉案财物价格认定工作暂行办法》（中纪发[2010]35号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2、《价格认定规定》（发改价格[2015]2251号）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3、《价格认定行为规范》（发改价证办[2016]84号）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4、河北省相关法律法规规章等。</w:t>
            </w:r>
          </w:p>
        </w:tc>
        <w:tc>
          <w:tcPr>
            <w:tcW w:w="3420"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1、审查责任：对“价格认定协助书”的内容完整性、规范性、合法性等进行审核。</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2、勘验调查责任：指定专人负责，认定人员不得少于两人,对标的进行查验和调查，取得相关价格素材,确保真实性、合法性。</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3、分析测算作出结论责任：客观公正的分析测算，形成测算说明，按照价格认定文书格式相关规定，撰写价格认定结论书。</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4、审核并签发责任：进行内部审核，形成集体审议意见由价格认定机</w:t>
            </w:r>
          </w:p>
          <w:p>
            <w:pPr>
              <w:keepNext w:val="0"/>
              <w:keepLines w:val="0"/>
              <w:widowControl/>
              <w:suppressLineNumbers w:val="0"/>
              <w:jc w:val="both"/>
              <w:textAlignment w:val="center"/>
              <w:rPr>
                <w:rFonts w:hint="eastAsia" w:ascii="宋体" w:hAnsi="宋体" w:eastAsia="宋体"/>
                <w:sz w:val="18"/>
                <w:szCs w:val="18"/>
              </w:rPr>
            </w:pP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构法定代表人签发。自签发之日起生效。</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5、送达归档责任：可采用直接送达、邮寄送达等方式送达提出机关。价格认定人员应当将反映价格认定全过程的各种资料和文书整理归档，统一保管，保证档案完整、真实和安全。</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6、其他法律法规规章文件规定应履行的责任。</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价格鉴定人员违反条例规定,有下列行为之一的,由价格主管部门根据情节轻重给予行政处分;造成严重后果的,由发证机关吊销其价格鉴证资格证书;构成犯罪的,依法追究刑事责任: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1、因工作不负责任，致使鉴证结论失实，或者随意拖延鉴证时间，严重影响委托机关办案的；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2、与委托机关工作人员或者当事人恶意串通，作出虚假鉴证结论的；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3、泄露与涉案价格鉴证有关的资料或者数据,影响公正鉴证或者给当事人造成损失的；</w:t>
            </w:r>
          </w:p>
          <w:p>
            <w:pPr>
              <w:keepNext w:val="0"/>
              <w:keepLines w:val="0"/>
              <w:widowControl/>
              <w:suppressLineNumbers w:val="0"/>
              <w:jc w:val="both"/>
              <w:textAlignment w:val="center"/>
              <w:rPr>
                <w:rFonts w:hint="eastAsia" w:ascii="宋体" w:hAnsi="宋体" w:eastAsia="宋体"/>
                <w:sz w:val="18"/>
                <w:szCs w:val="18"/>
              </w:rPr>
            </w:pPr>
          </w:p>
          <w:p>
            <w:pPr>
              <w:keepNext w:val="0"/>
              <w:keepLines w:val="0"/>
              <w:widowControl/>
              <w:suppressLineNumbers w:val="0"/>
              <w:jc w:val="both"/>
              <w:textAlignment w:val="center"/>
              <w:rPr>
                <w:rFonts w:hint="eastAsia" w:ascii="宋体" w:hAnsi="宋体" w:eastAsia="宋体"/>
                <w:sz w:val="18"/>
                <w:szCs w:val="18"/>
              </w:rPr>
            </w:pP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4、徇私舞弊、弄虚作假、玩忽职守致使鉴证结论失实的其他行为。</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40</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行政确认</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涉案财物价格鉴定（认定）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1、《河北省涉案资产价格鉴证管理条例》（河北省第九届人大常委会委员公告74号）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2、《价格认定规定》（发改价格[2015]2251号）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3、《扣押、追缴、没收物品估价管理办法》（计办</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[1997]808号）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4、国家发展改革委、最</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高人民法院、最高人民检察院、公安部、财政部关于扣押追缴没收及收缴财物价格鉴定管理的补充通知（发改价格）[2008]1392号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5、《价格认定行为规范》(发改价证办[2016]84号)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6、河北省相关法律法规规章等。</w:t>
            </w:r>
          </w:p>
        </w:tc>
        <w:tc>
          <w:tcPr>
            <w:tcW w:w="3420"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1、审查责任：对“价格认定协助书”的内容的完整性、规范性、合法性等进行审核登记。</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2、勘验调查责任：指定专人负责，认定人员不得少于两人,对标的进行查验和调查，取得相关价格素材,确保真实性、合法性。</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3、分析测算作出结论书责任：客观公正的分析测算，形成测算说明，按照价格认定文书格式相关规定，撰写价格认定结论书。</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4、审核并签发责任：进行内部审核，形成集体审议意见由价格认定机构法定代表人签发。</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5、送达归档责任：可采用直接送达、邮寄送达等方式送达提出机关。价格认定人员应当将反映价格认定全过程的各种资料和文书整理归档，统一保管，保证档</w:t>
            </w:r>
          </w:p>
          <w:p>
            <w:pPr>
              <w:keepNext w:val="0"/>
              <w:keepLines w:val="0"/>
              <w:widowControl/>
              <w:suppressLineNumbers w:val="0"/>
              <w:jc w:val="both"/>
              <w:textAlignment w:val="center"/>
              <w:rPr>
                <w:rFonts w:hint="eastAsia" w:ascii="宋体" w:hAnsi="宋体" w:eastAsia="宋体"/>
                <w:sz w:val="18"/>
                <w:szCs w:val="18"/>
              </w:rPr>
            </w:pP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案完整、真实和安全。</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6、其他法律法规规章文件规定应履行的责任。</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价格鉴定人员违反条例规定,有下列行为之一的,由价格主管部门根据情节轻重给予行政处分;造成严重后果的,由发证机关吊销其价格鉴证资格证书;构成犯罪的,依法追究刑事责任: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1、因工作不负责任，致使鉴证结论失实，或者随意拖延鉴证时间，严重影响委托机关办案的；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2、与委托机关工作人员或者当事人恶意串通，作出虚假鉴证结论的；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3、泄露与涉案价格鉴证有关的资料或者数据,影响公正鉴证或者给当事人造成损失的；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4、徇私舞弊、弄虚作假、玩忽职守致使鉴证结论失实的其他行为；</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5、其他违反法律法规规章文件规定的行为。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41</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行政确认</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应税物价格认定</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ascii="Times New Roman" w:hAnsi="Times New Roman"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1、《河北省涉案资产价格鉴证管理条例》（河北省第九届人大常委会委员公告74号）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2、《价格认定规定》（发改价格[2015]2251号）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3、《河北省应税物价格认定管理办法》（冀价认字）[2007]8号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4、《价格认定行为规范》(发改价证办[2016]84号)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5、河北省相关法律法规规章等。</w:t>
            </w:r>
          </w:p>
        </w:tc>
        <w:tc>
          <w:tcPr>
            <w:tcW w:w="3420"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1、审查责任：对“价格认定协助书”的内容的完整性、规范性、合法性等进行审核登记。</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2、勘验调查责任：指定专人负责，认定人员不得少于两人,对标的进行查验和调查，取得相关价格素材,确保真实性、合法性。</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3、分析测算作出结论书责任：客观公正的分析测算，形成测算说明，按照价格认定文书格式相关规定，撰写价格认定结论书。</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4、审核并签发责任：进行内部审核，形成集体审议意见由价格认定机构法定代表人签发。</w:t>
            </w:r>
          </w:p>
        </w:tc>
        <w:tc>
          <w:tcPr>
            <w:tcW w:w="2655"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价格鉴定人员违反条例规定,有下列行为之一的,由价格主管部门根据情节轻重给予行政处分;造成严重后果的,由发证机关吊销其价格鉴证资格证书;构成犯罪的,依法追究刑事责任:</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1、因工作不负责任，致使鉴证结论失实，或者随意拖延鉴证时间，严重影响委托机关办案的；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2、与委托机关工作人员或者当事人恶意串通，作出虚假鉴证结论的；</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3、泄露与涉案价格鉴证有关的资料或者数据,影响公正鉴证或者给当事人造成损失的；</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42</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行政裁决</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价格争议行政调解处理</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p>
        </w:tc>
        <w:tc>
          <w:tcPr>
            <w:tcW w:w="3509" w:type="dxa"/>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1、《河北省价格争议调解处理实施方案》冀价认字[2010]6号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2、《关于加强价格争议调解处理工作的若干意见》（冀价认字）[2011]4号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3、《关于进一步推进价格争议调处工作意见》（冀价认[2014]8号）</w:t>
            </w:r>
          </w:p>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4、河北省相关法律法规规章等</w:t>
            </w:r>
          </w:p>
        </w:tc>
        <w:tc>
          <w:tcPr>
            <w:tcW w:w="3420" w:type="dxa"/>
            <w:noWrap w:val="0"/>
            <w:vAlign w:val="center"/>
          </w:tcPr>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1、审查责任：严格价格争议调解处理申请的审查。</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2、调解处理责任：建立调解员联席会议制度，妥善处理各种价格争议</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3、档案管理责任：做好归档工作，确保档案完整。</w:t>
            </w:r>
          </w:p>
          <w:p>
            <w:pPr>
              <w:keepNext w:val="0"/>
              <w:keepLines w:val="0"/>
              <w:widowControl/>
              <w:suppressLineNumbers w:val="0"/>
              <w:jc w:val="both"/>
              <w:textAlignment w:val="center"/>
              <w:rPr>
                <w:rFonts w:hint="eastAsia" w:ascii="宋体" w:hAnsi="宋体" w:eastAsia="宋体"/>
                <w:sz w:val="18"/>
                <w:szCs w:val="18"/>
              </w:rPr>
            </w:pPr>
            <w:r>
              <w:rPr>
                <w:rFonts w:hint="eastAsia" w:ascii="宋体" w:hAnsi="宋体" w:eastAsia="宋体"/>
                <w:sz w:val="18"/>
                <w:szCs w:val="18"/>
              </w:rPr>
              <w:t>4、其他法律法规规章文件规定应履行的责任。</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lang w:eastAsia="zh-CN"/>
              </w:rPr>
            </w:pPr>
            <w:r>
              <w:rPr>
                <w:rFonts w:hint="eastAsia" w:ascii="宋体" w:hAnsi="宋体" w:eastAsia="宋体"/>
                <w:sz w:val="18"/>
                <w:szCs w:val="18"/>
                <w:lang w:eastAsia="zh-CN"/>
              </w:rPr>
              <w:t>因不履行或不正确履行行政职责，有下列情形的，行政机关及相关工作人员应承担相应责任。</w:t>
            </w:r>
          </w:p>
          <w:p>
            <w:pPr>
              <w:keepNext w:val="0"/>
              <w:keepLines w:val="0"/>
              <w:widowControl/>
              <w:numPr>
                <w:ilvl w:val="0"/>
                <w:numId w:val="1"/>
              </w:numPr>
              <w:suppressLineNumbers w:val="0"/>
              <w:jc w:val="center"/>
              <w:textAlignment w:val="center"/>
              <w:rPr>
                <w:rFonts w:hint="eastAsia" w:ascii="宋体" w:hAnsi="宋体" w:eastAsia="宋体"/>
                <w:sz w:val="18"/>
                <w:szCs w:val="18"/>
                <w:lang w:val="en-US" w:eastAsia="zh-CN"/>
              </w:rPr>
            </w:pPr>
            <w:r>
              <w:rPr>
                <w:rFonts w:hint="eastAsia" w:ascii="宋体" w:hAnsi="宋体" w:eastAsia="宋体"/>
                <w:sz w:val="18"/>
                <w:szCs w:val="18"/>
                <w:lang w:val="en-US" w:eastAsia="zh-CN"/>
              </w:rPr>
              <w:t>对符合条件的权属争议裁决申请不予受理、裁决的。</w:t>
            </w:r>
          </w:p>
          <w:p>
            <w:pPr>
              <w:keepNext w:val="0"/>
              <w:keepLines w:val="0"/>
              <w:widowControl/>
              <w:numPr>
                <w:ilvl w:val="0"/>
                <w:numId w:val="1"/>
              </w:numPr>
              <w:suppressLineNumbers w:val="0"/>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对不符合法定条件的权属争议裁决申请受理、裁决的。</w:t>
            </w:r>
          </w:p>
          <w:p>
            <w:pPr>
              <w:keepNext w:val="0"/>
              <w:keepLines w:val="0"/>
              <w:widowControl/>
              <w:numPr>
                <w:ilvl w:val="0"/>
                <w:numId w:val="1"/>
              </w:numPr>
              <w:suppressLineNumbers w:val="0"/>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因裁决不当给行政相对人造成损失的。</w:t>
            </w:r>
          </w:p>
          <w:p>
            <w:pPr>
              <w:keepNext w:val="0"/>
              <w:keepLines w:val="0"/>
              <w:widowControl/>
              <w:numPr>
                <w:ilvl w:val="0"/>
                <w:numId w:val="1"/>
              </w:numPr>
              <w:suppressLineNumbers w:val="0"/>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没有法律和事实依据进行行政裁决进行行政裁决的</w:t>
            </w:r>
          </w:p>
          <w:p>
            <w:pPr>
              <w:keepNext w:val="0"/>
              <w:keepLines w:val="0"/>
              <w:widowControl/>
              <w:numPr>
                <w:ilvl w:val="0"/>
                <w:numId w:val="1"/>
              </w:numPr>
              <w:suppressLineNumbers w:val="0"/>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符合听证条件、当事人要求听证，应予组织听证而不组织听证的</w:t>
            </w:r>
          </w:p>
          <w:p>
            <w:pPr>
              <w:keepNext w:val="0"/>
              <w:keepLines w:val="0"/>
              <w:widowControl/>
              <w:numPr>
                <w:ilvl w:val="0"/>
                <w:numId w:val="1"/>
              </w:numPr>
              <w:suppressLineNumbers w:val="0"/>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在权属争议裁决工作中发生腐败行为的</w:t>
            </w:r>
          </w:p>
          <w:p>
            <w:pPr>
              <w:keepNext w:val="0"/>
              <w:keepLines w:val="0"/>
              <w:widowControl/>
              <w:numPr>
                <w:ilvl w:val="0"/>
                <w:numId w:val="1"/>
              </w:numPr>
              <w:suppressLineNumbers w:val="0"/>
              <w:jc w:val="center"/>
              <w:textAlignment w:val="center"/>
              <w:rPr>
                <w:rFonts w:hint="default" w:ascii="宋体" w:hAnsi="宋体" w:eastAsia="宋体"/>
                <w:sz w:val="18"/>
                <w:szCs w:val="18"/>
                <w:lang w:val="en-US" w:eastAsia="zh-CN"/>
              </w:rPr>
            </w:pPr>
            <w:r>
              <w:rPr>
                <w:rFonts w:hint="eastAsia" w:ascii="宋体" w:hAnsi="宋体" w:eastAsia="宋体"/>
                <w:sz w:val="18"/>
                <w:szCs w:val="18"/>
                <w:lang w:val="en-US" w:eastAsia="zh-CN"/>
              </w:rPr>
              <w:t>其他违反法律法规规章规定的行为</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43</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其他类</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固定资产投资项目审批</w:t>
            </w:r>
          </w:p>
        </w:tc>
        <w:tc>
          <w:tcPr>
            <w:tcW w:w="720" w:type="dxa"/>
            <w:noWrap w:val="0"/>
            <w:vAlign w:val="center"/>
          </w:tcPr>
          <w:p>
            <w:pPr>
              <w:keepNext w:val="0"/>
              <w:keepLines w:val="0"/>
              <w:widowControl/>
              <w:suppressLineNumbers w:val="0"/>
              <w:jc w:val="center"/>
              <w:textAlignment w:val="center"/>
              <w:rPr>
                <w:rFonts w:hint="eastAsia" w:ascii="Times New Roman" w:hAnsi="Times New Roman"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法律法规名称:《中共中央、国务院关于深化投融资体制改革的意见》;依据文号:中发〔2016〕18号;条款号:第三部分;2.法律法规名称:《国务院关于取消非行政许可审批事项的决定》;依据文号:国发〔2015〕27号;3.法律法规名称:《国务院关于投资体制改革的决定》;依据文号:国发〔2004〕20号;条款号:第三部分;4.法律法规名称：《政府投资条例》;依据文号：国务院令第712号;条款号：全文;5.法律法规名称：《高阳县党政机关公务用房管理实施办法》;依据文号：高办发〔2019〕50号;条款号：第四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44</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政府投资项目建议书审批</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法律法规名称:《河北省人民政府办公厅关于公布固定资产投资项目保留合并或并联办理行政许可和行政审批事项的通知》;依据文号:冀政办〔2009〕25号;条款号:附件;2.法律法规名称:《河北省人民政府关于取消省政府部门非行政许可审批事项的决定》;依据文号:冀政发〔2015〕38号;条款号:附件3;3.法律法规名称:《国务院关于投资体制改革的决定》;依据文号:国发〔2004〕20号;条款号:第三部分;4.法律法规名称:《中央预算内直接投资项目管理办法》;依据文号:国家发展改革委令第7号;条款号:第四十条;5.法律法规名称:《中华人民共和国节约能源法》;条款号:第十五条;6.法律法规名称:《中共中央、国务院关于深化投融资体制改革的意见》;依据文号:中发〔2016〕18号;条款号:三;7.法律法规名称:《国务院关于取消非行政许可审批事项的决定》;依据文号:国发〔2015〕27号;条款号:附件2;8.法律法规名称:《河北省人民政府办公厅关于印发河北省优化投资建设项目审批流程实施办法（试行）的通知》;依据文号:冀政办字〔2017〕13号;条款号:全文;9.法律法规名称：《政府投资条例》;依据文号：国务院令第712号;条款号：第十一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2"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45</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政府投资项目可行性研究报告审批</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法律法规名称:《国务院关于投资体制改革的决定》;依据文号:国发〔2004〕20号;条款号:第三部分;2.法律法规名称:《河北省人民政府关于取消省政府部门非行政许可审批事项的决定》;依据文号:冀政发〔2015〕38号;条款号:附件3;3.法律法规名称:《河北省实施〈中华人民共和国招标投标法〉办法》;条款号:第八条;4.法律法规名称:《中央预算内直接投资项目管理办法》;依据文号:国家发展改革委令第7号;条款号:第四十条;5.法律法规名称:《河北省人民政府办公厅关于公布固定资产投资项目保留合并或并联办理行政许可和行政审批事项的通知》;依据文号:冀政办〔2009〕25号;条款号:附件;6.法律法规名称:《国务院关于取消非行政许可审批事项的决定》;依据文号:国发〔2015〕27号;条款号:附件2;7.法律法规名称:《中共中央、国务院关于深化投融资体制改革的意见》;依据文号:中发〔2016〕18号;条款号:三;8.法律法规名称:《中华人民共和国节约能源法》;条款号:第十五条;9.法律法规名称：《政府投资条例》;依据文号：国务院令第712号;条款号：第十一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1.受理责任：公开项目核准的办理流程、办理时限等，并为企业提供相关的咨询服务。</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审查责任：核准机关应在是否危害经济、社会安全、生态安全等国家安全，是否符合先关发展规划建设、技术标准和产业政策，是否合理开发并有效利用资源、是否对重大公共利益产生影响等方面对项目进行核查。</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3.决定责任：核准机关应当自受理申请之日20个工作日之内，作出是否予以核准的决定。</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4.事后监管责任：核准机关、备案机关以及依法对项目负有监督管理责任的其他有关部门应当建立项目信息共享机制，通过在线平台实现信息共享。</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6.其他法律法规规章文件规定应履行的责任。</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根据《企业投资项目核准和备案管理条例》第二十一条：核准机关、备案机关及其工作人员在项目核准、备案工作中玩忽职守、滥用职权、徇私舞弊的，对负有责任的领导人员和直接责任人员依法给予处分；构成犯罪的，依法追究刑事责任。</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46</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政府投资项目初步设计审批</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法律法规名称:《中央预算内直接投资项目概算管理暂行办法》;依据文号:发改投资〔2015〕482号;条款号:第二十五条;2.法律法规名称:《河北省人民政府办公厅关于印发河北省优化投资建设项目审批流程实施办法（试行）的通知》;依据文号:冀政办字〔2017〕13号;3.法律法规名称:《河北省人民政府办公厅关于公布固定资产投资项目保留合并或并联办理行政许可和行政审批事项的通知》;依据文号:冀政办〔2009〕25号;条款号:附件;4.法律法规名称:《国务院关于投资体制改革的决定》;依据文号:国发〔2004〕20号;条款号:第三部分;5.法律法规名称:《河北省人民政府关于取消省政府部门非行政许可审批事项的决定》;依据文号:冀政发〔2015〕38号;条款号:附件3;6.法律法规名称:《国务院关于取消非行政许可审批事项的决定》;依据文号:国发〔2015〕27号;条款号:附件2;7.法律法规名称:《中共中央、国务院关于深化投融资体制改革的意见》;依据文号:中发〔2016〕18号;条款号:三;8.法律法规名称:《中央预算内直接投资项目管理办法》;依据文号:国家发展改革委令第7号;条款号:第四十条;9.法律法规名称：《政府投资条例》;依据文号：国务院令第712号;条款号：第十一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1.受理责任：公开项目核准的办理流程、办理时限等，并为企业提供相关的咨询服务。</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审查责任：核准机关应在是否危害经济、社会安全、生态安全等国家安全，是否符合先关发展规划建设、技术标准和产业政策，是否合理开发并有效利用资源、是否对重大公共利益产生影响等方面对项目进行核查。</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3.决定责任：核准机关应当自受理申请之日20个工作日之内，作出是否予以核准的决定。</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4.事后监管责任：核准机关、备案机关以及依法对项目负有监督管理责任的其他有关部门应当建立项目信息共享机制，通过在线平台实现信息共享。</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6.其他法律法规规章文件规定应履行的责任。</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根据《企业投资项目核准和备案管理条例》第二十一条：核准机关、备案机关及其工作人员在项目核准、备案工作中玩忽职守、滥用职权、徇私舞弊的，对负有责任的领导人员和直接责任人员依法给予处分；构成犯罪的，依法追究刑事责任。</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47</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政府投资项目审核概算并下达投资计划</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法律法规名称:《中共中央、国务院关于深化投融资体制改革的意见》;依据文号:中发〔2016〕18号;条款号:三;2.法律法规名称:《国务院关于取消非行政许可审批事项的决定》;依据文号:国发〔2015〕27号;条款号:附件2;3.法律法规名称:《河北省人民政府办公厅关于公布固定资产投资项目保留合并或并联办理行政许可和行政审批事项的通知》;依据文号:冀政办〔2009〕25号;条款号:附件;4.法律法规名称:《河北省人民政府关于取消省政府部门非行政许可审批事项的决定》;依据文号:冀政发〔2015〕38号;条款号:附件3;5.法律法规名称:《国务院关于投资体制改革的决定》;依据文号:国发〔2004〕20号;条款号:第三部分;9.法律法规名称：《政府投资条例》;依据文号：国务院令第712号;条款号：第十一条;</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1.受理责任：公开项目核准的办理流程、办理时限等，并为企业提供相关的咨询服务。</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2.审查责任：核准机关应在是否危害经济、社会安全、生态安全等国家安全，是否符合先关发展规划建设、技术标准和产业政策，是否合理开发并有效利用资源、是否对重大公共利益产生影响等方面对项目进行核查。</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3.决定责任：核准机关应当自受理申请之日20个工作日之内，作出是否予以核准的决定。</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4.事后监管责任：核准机关、备案机关以及依法对项目负有监督管理责任的其他有关部门应当建立项目信息共享机制，通过在线平台实现信息共享。</w:t>
            </w:r>
          </w:p>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6.其他法律法规规章文件规定应履行的责任。</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根据《企业投资项目核准和备案管理条例》第二十一条：核准机关、备案机关及其工作人员在项目核准、备案工作中玩忽职守、滥用职权、徇私舞弊的，对负有责任的领导人员和直接责任人员依法给予处分；构成犯罪的，依法追究刑事责任。</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48</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公办教育收费定价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49</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城市交通价格定价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50</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供热价格定价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51</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城镇污水处理收费标准定价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52</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政府投资的农贸市场相关收费定价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53</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具有垄断经营和公益性特征的车辆停放服务收费标准定价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w:t>
            </w:r>
            <w:r>
              <w:rPr>
                <w:rFonts w:hint="eastAsia" w:ascii="宋体" w:hAnsi="宋体" w:eastAsia="宋体"/>
                <w:sz w:val="18"/>
                <w:szCs w:val="18"/>
                <w:lang w:eastAsia="zh-CN"/>
              </w:rPr>
              <w:t>想</w:t>
            </w:r>
            <w:r>
              <w:rPr>
                <w:rFonts w:hint="eastAsia" w:ascii="宋体" w:hAnsi="宋体" w:eastAsia="宋体"/>
                <w:sz w:val="18"/>
                <w:szCs w:val="18"/>
              </w:rPr>
              <w:t>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54</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具有垄断经营和公益性特征的车辆停放服务收费标准定价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55</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县（市）内的小型水利工程供水价格定价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56</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城乡公共管网供应的自来水、再生水销售价格定价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lang w:val="en-US" w:eastAsia="zh-CN"/>
              </w:rPr>
            </w:pPr>
            <w:r>
              <w:rPr>
                <w:rFonts w:hint="eastAsia" w:ascii="宋体" w:hAnsi="宋体" w:eastAsia="宋体"/>
                <w:sz w:val="18"/>
                <w:szCs w:val="18"/>
                <w:lang w:val="en-US" w:eastAsia="zh-CN"/>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57</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保障性住房销售价格、租金标准定价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58</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住房前期物业收费定价</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59</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管道燃气配气价格和销售价格</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7"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60</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利用公共资源建设景区门票及景区内交通运输价格</w:t>
            </w:r>
          </w:p>
        </w:tc>
        <w:tc>
          <w:tcPr>
            <w:tcW w:w="72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2" w:hRule="atLeast"/>
          <w:jc w:val="center"/>
        </w:trPr>
        <w:tc>
          <w:tcPr>
            <w:tcW w:w="511"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61</w:t>
            </w:r>
          </w:p>
        </w:tc>
        <w:tc>
          <w:tcPr>
            <w:tcW w:w="960" w:type="dxa"/>
            <w:noWrap w:val="0"/>
            <w:vAlign w:val="center"/>
          </w:tcPr>
          <w:p>
            <w:pPr>
              <w:keepNext w:val="0"/>
              <w:keepLines w:val="0"/>
              <w:widowControl/>
              <w:suppressLineNumbers w:val="0"/>
              <w:jc w:val="center"/>
              <w:textAlignment w:val="center"/>
              <w:rPr>
                <w:rFonts w:hint="eastAsia" w:eastAsia="方正书宋_GBK" w:cs="Times New Roman"/>
                <w:sz w:val="18"/>
                <w:szCs w:val="18"/>
                <w:lang w:val="en-US" w:eastAsia="zh-CN"/>
              </w:rPr>
            </w:pPr>
            <w:r>
              <w:rPr>
                <w:rFonts w:hint="eastAsia" w:eastAsia="方正书宋_GBK" w:cs="Times New Roman"/>
                <w:sz w:val="18"/>
                <w:szCs w:val="18"/>
                <w:lang w:val="en-US" w:eastAsia="zh-CN"/>
              </w:rPr>
              <w:t>其他权利</w:t>
            </w:r>
          </w:p>
        </w:tc>
        <w:tc>
          <w:tcPr>
            <w:tcW w:w="138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县城一类以下公办幼儿园保教费定价</w:t>
            </w:r>
          </w:p>
        </w:tc>
        <w:tc>
          <w:tcPr>
            <w:tcW w:w="720" w:type="dxa"/>
            <w:noWrap w:val="0"/>
            <w:vAlign w:val="center"/>
          </w:tcPr>
          <w:p>
            <w:pPr>
              <w:keepNext w:val="0"/>
              <w:keepLines w:val="0"/>
              <w:widowControl/>
              <w:suppressLineNumbers w:val="0"/>
              <w:jc w:val="center"/>
              <w:textAlignment w:val="center"/>
              <w:rPr>
                <w:rFonts w:hint="default" w:eastAsia="方正书宋_GBK" w:cs="Times New Roman"/>
                <w:sz w:val="18"/>
                <w:szCs w:val="18"/>
                <w:lang w:val="en-US" w:eastAsia="zh-CN"/>
              </w:rPr>
            </w:pPr>
            <w:r>
              <w:rPr>
                <w:rFonts w:hint="eastAsia" w:eastAsia="方正书宋_GBK" w:cs="Times New Roman"/>
                <w:sz w:val="18"/>
                <w:szCs w:val="18"/>
                <w:lang w:val="en-US" w:eastAsia="zh-CN"/>
              </w:rPr>
              <w:t>高阳县发展和改革局</w:t>
            </w:r>
          </w:p>
        </w:tc>
        <w:tc>
          <w:tcPr>
            <w:tcW w:w="3509"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主席令（八届第92号）《中华人民共和国价格法》第十九条：政府指导价、政府定价的定价权限和具体适用范围。冀价政调[2018]42号关于印发《河北省定价目录》的通知；冀价政调（2017）202号《河北省政府制定价格行为规则》实施细则的通知</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保定市物价局财政局教育局[2016]20号关于制定我市公办幼儿园保教费标准及有关事项的通知（2016年8月31日）</w:t>
            </w:r>
          </w:p>
        </w:tc>
        <w:tc>
          <w:tcPr>
            <w:tcW w:w="3420"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一章第二条“县人民政府依法制定或者调整实行政府指导价、政府定价和服务价格水平以及定价机制的行为，适用本实施细则。法律、法规另有规定的，从其规定。</w:t>
            </w:r>
          </w:p>
        </w:tc>
        <w:tc>
          <w:tcPr>
            <w:tcW w:w="2655" w:type="dxa"/>
            <w:noWrap w:val="0"/>
            <w:vAlign w:val="center"/>
          </w:tcPr>
          <w:p>
            <w:pPr>
              <w:keepNext w:val="0"/>
              <w:keepLines w:val="0"/>
              <w:widowControl/>
              <w:suppressLineNumbers w:val="0"/>
              <w:jc w:val="center"/>
              <w:textAlignment w:val="center"/>
              <w:rPr>
                <w:rFonts w:hint="eastAsia" w:ascii="宋体" w:hAnsi="宋体" w:eastAsia="宋体"/>
                <w:sz w:val="18"/>
                <w:szCs w:val="18"/>
              </w:rPr>
            </w:pPr>
            <w:r>
              <w:rPr>
                <w:rFonts w:hint="eastAsia" w:ascii="宋体" w:hAnsi="宋体" w:eastAsia="宋体"/>
                <w:sz w:val="18"/>
                <w:szCs w:val="18"/>
              </w:rPr>
              <w:t>依据《河北省政府制定价格行为规则》实施细则第四章第三十条“定价机关应当建立严格规范的内部监督制约机制。上级价格主管部门负责对下级价格主管部门制定价格行为的监督和指导。政府其他有关部门制定价格行为应当接受同级价格主管部门的监督。第三十一条“定价机关制定价格应当接受社会监督。单位和个人可以对制定价格过程中的违法违规行为进行举报。第三十二条”定价机关有违法行为的，由上级政府价格主管部门依据</w:t>
            </w:r>
            <w:r>
              <w:rPr>
                <w:rFonts w:hint="eastAsia" w:ascii="宋体" w:hAnsi="宋体" w:eastAsia="宋体"/>
                <w:sz w:val="18"/>
                <w:szCs w:val="18"/>
                <w:lang w:eastAsia="zh-CN"/>
              </w:rPr>
              <w:t>《中华人民共和国价格法》</w:t>
            </w:r>
            <w:r>
              <w:rPr>
                <w:rFonts w:hint="eastAsia" w:ascii="宋体" w:hAnsi="宋体" w:eastAsia="宋体"/>
                <w:sz w:val="18"/>
                <w:szCs w:val="18"/>
              </w:rPr>
              <w:t>进行查处。第三十三条“定价机关的工作人员在制定价格工作中有违法行为构成犯罪的，依法追究刑事责任；尚不构成犯罪的，依法给予行政处分。</w:t>
            </w:r>
          </w:p>
        </w:tc>
        <w:tc>
          <w:tcPr>
            <w:tcW w:w="659" w:type="dxa"/>
            <w:noWrap w:val="0"/>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2" w:hRule="atLeast"/>
          <w:jc w:val="center"/>
        </w:trPr>
        <w:tc>
          <w:tcPr>
            <w:tcW w:w="511" w:type="dxa"/>
            <w:noWrap w:val="0"/>
            <w:vAlign w:val="center"/>
          </w:tcPr>
          <w:p>
            <w:pPr>
              <w:tabs>
                <w:tab w:val="left" w:pos="7937"/>
              </w:tabs>
              <w:spacing w:line="240" w:lineRule="exact"/>
              <w:jc w:val="center"/>
              <w:rPr>
                <w:rFonts w:hint="default" w:ascii="宋体" w:hAnsi="宋体" w:eastAsia="宋体" w:cs="Times New Roman"/>
                <w:kern w:val="2"/>
                <w:sz w:val="18"/>
                <w:szCs w:val="32"/>
                <w:lang w:val="en-US" w:eastAsia="zh-CN" w:bidi="ar-SA"/>
              </w:rPr>
            </w:pPr>
            <w:r>
              <w:rPr>
                <w:rFonts w:hint="eastAsia" w:ascii="宋体" w:hAnsi="宋体" w:eastAsia="宋体" w:cs="Times New Roman"/>
                <w:kern w:val="2"/>
                <w:sz w:val="18"/>
                <w:szCs w:val="32"/>
                <w:lang w:val="en-US" w:eastAsia="zh-CN" w:bidi="ar-SA"/>
              </w:rPr>
              <w:t>62</w:t>
            </w:r>
          </w:p>
        </w:tc>
        <w:tc>
          <w:tcPr>
            <w:tcW w:w="960" w:type="dxa"/>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szCs w:val="18"/>
              </w:rPr>
              <w:t>行政处罚</w:t>
            </w:r>
          </w:p>
        </w:tc>
        <w:tc>
          <w:tcPr>
            <w:tcW w:w="1381" w:type="dxa"/>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rPr>
              <w:t>违反汽车销售相关规定给予的行政处罚</w:t>
            </w:r>
          </w:p>
        </w:tc>
        <w:tc>
          <w:tcPr>
            <w:tcW w:w="720" w:type="dxa"/>
            <w:noWrap w:val="0"/>
            <w:vAlign w:val="center"/>
          </w:tcPr>
          <w:p>
            <w:pPr>
              <w:tabs>
                <w:tab w:val="left" w:pos="7937"/>
              </w:tabs>
              <w:spacing w:line="240" w:lineRule="exact"/>
              <w:jc w:val="center"/>
              <w:rPr>
                <w:rFonts w:hint="eastAsia" w:ascii="宋体" w:hAnsi="宋体" w:eastAsia="宋体" w:cs="Times New Roman"/>
                <w:kern w:val="2"/>
                <w:sz w:val="18"/>
                <w:szCs w:val="32"/>
                <w:lang w:val="en-US" w:eastAsia="zh-CN" w:bidi="ar-SA"/>
              </w:rPr>
            </w:pPr>
            <w:r>
              <w:rPr>
                <w:rFonts w:hint="eastAsia" w:ascii="宋体" w:hAnsi="宋体" w:eastAsia="宋体"/>
                <w:sz w:val="18"/>
              </w:rPr>
              <w:t>商务局</w:t>
            </w:r>
          </w:p>
        </w:tc>
        <w:tc>
          <w:tcPr>
            <w:tcW w:w="3509" w:type="dxa"/>
            <w:noWrap w:val="0"/>
            <w:vAlign w:val="center"/>
          </w:tcPr>
          <w:p>
            <w:pPr>
              <w:tabs>
                <w:tab w:val="left" w:pos="7937"/>
              </w:tabs>
              <w:spacing w:line="240" w:lineRule="exact"/>
              <w:rPr>
                <w:rFonts w:hint="eastAsia" w:ascii="宋体" w:hAnsi="宋体" w:eastAsia="宋体" w:cs="Times New Roman"/>
                <w:kern w:val="2"/>
                <w:sz w:val="18"/>
                <w:szCs w:val="32"/>
                <w:lang w:val="en-US" w:eastAsia="zh-CN" w:bidi="ar-SA"/>
              </w:rPr>
            </w:pPr>
            <w:r>
              <w:rPr>
                <w:rFonts w:hint="eastAsia" w:ascii="宋体" w:hAnsi="宋体" w:eastAsia="宋体"/>
                <w:sz w:val="18"/>
              </w:rPr>
              <w:t>《汽车销售管理办法》（</w:t>
            </w:r>
            <w:r>
              <w:rPr>
                <w:rFonts w:ascii="宋体" w:hAnsi="宋体" w:eastAsia="宋体"/>
                <w:sz w:val="18"/>
              </w:rPr>
              <w:t>2017</w:t>
            </w:r>
            <w:r>
              <w:rPr>
                <w:rFonts w:hint="eastAsia" w:ascii="宋体" w:hAnsi="宋体" w:eastAsia="宋体"/>
                <w:sz w:val="18"/>
              </w:rPr>
              <w:t>年</w:t>
            </w:r>
            <w:r>
              <w:rPr>
                <w:rFonts w:ascii="宋体" w:hAnsi="宋体" w:eastAsia="宋体"/>
                <w:sz w:val="18"/>
              </w:rPr>
              <w:t>4</w:t>
            </w:r>
            <w:r>
              <w:rPr>
                <w:rFonts w:hint="eastAsia" w:ascii="宋体" w:hAnsi="宋体" w:eastAsia="宋体"/>
                <w:sz w:val="18"/>
              </w:rPr>
              <w:t>月</w:t>
            </w:r>
            <w:r>
              <w:rPr>
                <w:rFonts w:ascii="宋体" w:hAnsi="宋体" w:eastAsia="宋体"/>
                <w:sz w:val="18"/>
              </w:rPr>
              <w:t>5</w:t>
            </w:r>
            <w:r>
              <w:rPr>
                <w:rFonts w:hint="eastAsia" w:ascii="宋体" w:hAnsi="宋体" w:eastAsia="宋体"/>
                <w:sz w:val="18"/>
              </w:rPr>
              <w:t>日商务部令第</w:t>
            </w:r>
            <w:r>
              <w:rPr>
                <w:rFonts w:ascii="宋体" w:hAnsi="宋体" w:eastAsia="宋体"/>
                <w:sz w:val="18"/>
              </w:rPr>
              <w:t>1</w:t>
            </w:r>
            <w:r>
              <w:rPr>
                <w:rFonts w:hint="eastAsia" w:ascii="宋体" w:hAnsi="宋体" w:eastAsia="宋体"/>
                <w:sz w:val="18"/>
              </w:rPr>
              <w:t>号）第十条经销商应当在经营场所以适当形式明示销售汽车、配件及其他相关产品的价格和各项服务收费标准，不得在标价之外加价销售或收取额外费用。第十二条</w:t>
            </w:r>
            <w:r>
              <w:rPr>
                <w:rFonts w:eastAsia="宋体"/>
                <w:sz w:val="18"/>
              </w:rPr>
              <w:t> </w:t>
            </w:r>
            <w:r>
              <w:rPr>
                <w:rFonts w:hint="eastAsia" w:ascii="宋体" w:hAnsi="宋体" w:eastAsia="宋体"/>
                <w:sz w:val="18"/>
              </w:rPr>
              <w:t>经销商出售未经供应商授权销售的汽车，或者未经境外汽车生产企业授权销售的进口汽车，应当以书面形式向消费者作出提醒和说明，并书面告知向消费者承担相关责任的主体。未经供应商授权或者授权终止的，经销商不得以供应商授权销售汽车的名义从事经营活动。第十四条</w:t>
            </w:r>
            <w:r>
              <w:rPr>
                <w:rFonts w:eastAsia="宋体"/>
                <w:sz w:val="18"/>
              </w:rPr>
              <w:t> </w:t>
            </w:r>
            <w:r>
              <w:rPr>
                <w:rFonts w:hint="eastAsia" w:ascii="宋体" w:hAnsi="宋体" w:eastAsia="宋体"/>
                <w:sz w:val="18"/>
              </w:rPr>
              <w:t>供应商、经销商不得限定消费者户籍所在地，不得对消费者限定汽车配件、用品、金融、保险、救援等产品的提供商和售后服务商，但家用汽车产品“三包”服务、召回等由供应商承担费用时使用的配件和服务除外。经销商销售汽车时不得强制消费者购买保险或者强制为其提供代办车辆注册登记等服务。第十七条</w:t>
            </w:r>
            <w:r>
              <w:rPr>
                <w:rFonts w:eastAsia="宋体"/>
                <w:sz w:val="18"/>
              </w:rPr>
              <w:t> </w:t>
            </w:r>
            <w:r>
              <w:rPr>
                <w:rFonts w:hint="eastAsia" w:ascii="宋体" w:hAnsi="宋体" w:eastAsia="宋体"/>
                <w:sz w:val="18"/>
              </w:rPr>
              <w:t>经销商、售后服务商销售或者提供配件应当如实标明原厂配件、质量相当配件、再制造件、回用件等，明示生产商（进口产品为进口商）、生产日期、适配车型等信息，向消费者销售或者提供原厂配件以外的其他配件时，应当予以提醒和说明。第二十一条</w:t>
            </w:r>
            <w:r>
              <w:rPr>
                <w:rFonts w:eastAsia="宋体"/>
                <w:sz w:val="18"/>
              </w:rPr>
              <w:t> </w:t>
            </w:r>
            <w:r>
              <w:rPr>
                <w:rFonts w:hint="eastAsia" w:ascii="宋体" w:hAnsi="宋体" w:eastAsia="宋体"/>
                <w:sz w:val="18"/>
              </w:rPr>
              <w:t>供应商不得限制配件生产商（进口产品为进口商）的销售对象，不得限制经销商、售后服务商转售配件，有关法律法规规章及其配套的规范性文件另有规定的除外。第二十三条</w:t>
            </w:r>
            <w:r>
              <w:rPr>
                <w:rFonts w:eastAsia="宋体"/>
                <w:sz w:val="18"/>
              </w:rPr>
              <w:t> </w:t>
            </w:r>
            <w:r>
              <w:rPr>
                <w:rFonts w:hint="eastAsia" w:ascii="宋体" w:hAnsi="宋体" w:eastAsia="宋体"/>
                <w:sz w:val="18"/>
              </w:rPr>
              <w:t>供应商发生变更时，应当妥善处理相关事宜，确保经销商和消费者的合法权益。经销商不再经营供应商产品的，应当将客户、车辆资料和维修历史记录在授权合同终止后</w:t>
            </w:r>
            <w:r>
              <w:rPr>
                <w:rFonts w:ascii="宋体" w:hAnsi="宋体" w:eastAsia="宋体"/>
                <w:sz w:val="18"/>
              </w:rPr>
              <w:t>30</w:t>
            </w:r>
            <w:r>
              <w:rPr>
                <w:rFonts w:hint="eastAsia" w:ascii="宋体" w:hAnsi="宋体" w:eastAsia="宋体"/>
                <w:sz w:val="18"/>
              </w:rPr>
              <w:t>日内移交给供应商，不得实施有损于供应商品牌形象的行为；家用汽车产品经销商不再经营供应商产品时，应当及时通知消费者，在供应商的配合下变更承担“三包”责任的经销商。供应商、承担“三包”责任的经销商应当保证为消费者继续提供相应的售后服务。第二十四条</w:t>
            </w:r>
            <w:r>
              <w:rPr>
                <w:rFonts w:eastAsia="宋体"/>
                <w:sz w:val="18"/>
              </w:rPr>
              <w:t> </w:t>
            </w:r>
            <w:r>
              <w:rPr>
                <w:rFonts w:hint="eastAsia" w:ascii="宋体" w:hAnsi="宋体" w:eastAsia="宋体"/>
                <w:sz w:val="18"/>
              </w:rPr>
              <w:t>供应商可以要求经销商为本企业品牌汽车设立单独展区，满足经营需要和维护品牌形象的基本功能，但不得对经销商实施下列行为：（一）要求同时具备销售、售后服务等功能；（二）规定整车、配件库存品种或数量，或者规定汽车销售数量，但双方在签署授权合同或合同延期时就上述内容书面达成一致的除外；（三）限制经营其他供应商商品；（四）限制为其他供应商的汽车提供配件及其他售后服务；（五）要求承担以汽车供应商名义实施的广告、车展等宣传推广费用，或者限定广告宣传方式和媒体；（六）限定不合理的经营场地面积、建筑物结构以及有偿设计单位、建筑单位、建筑材料、通用设备以及办公设施的品牌或者供应商；（七）搭售未订购的汽车、配件及其他商品；（八）干涉经销商人力资源和财务管理以及其他属于经销商自主经营范围内的活动；（九）限制本企业汽车产品经销商之间相互转售。第二十五条</w:t>
            </w:r>
            <w:r>
              <w:rPr>
                <w:rFonts w:eastAsia="宋体"/>
                <w:sz w:val="18"/>
              </w:rPr>
              <w:t> </w:t>
            </w:r>
            <w:r>
              <w:rPr>
                <w:rFonts w:hint="eastAsia" w:ascii="宋体" w:hAnsi="宋体" w:eastAsia="宋体"/>
                <w:sz w:val="18"/>
              </w:rPr>
              <w:t>供应商制定或实施营销奖励等商务政策应当遵循公平、公正、透明的原则。供应商应当向经销商明确商务政策的主要内容，对于临时性商务政策，应当提前以双方约定的方式告知；对于被解除授权的经销商，应当维护经销商在授权期间应有的权益，不得拒绝或延迟支付销售返利。第二十六条</w:t>
            </w:r>
            <w:r>
              <w:rPr>
                <w:rFonts w:eastAsia="宋体"/>
                <w:sz w:val="18"/>
              </w:rPr>
              <w:t> </w:t>
            </w:r>
            <w:r>
              <w:rPr>
                <w:rFonts w:hint="eastAsia" w:ascii="宋体" w:hAnsi="宋体" w:eastAsia="宋体"/>
                <w:sz w:val="18"/>
              </w:rPr>
              <w:t>除双方合同另有约定外，供应商在经销商获得授权销售区域内不得向消费者直接销售汽车。第三十二条</w:t>
            </w:r>
            <w:r>
              <w:rPr>
                <w:rFonts w:eastAsia="宋体"/>
                <w:sz w:val="18"/>
              </w:rPr>
              <w:t> </w:t>
            </w:r>
            <w:r>
              <w:rPr>
                <w:rFonts w:hint="eastAsia" w:ascii="宋体" w:hAnsi="宋体" w:eastAsia="宋体"/>
                <w:sz w:val="18"/>
              </w:rPr>
              <w:t>违反本办法第十条、第十二条、第十四条、第十七条第一款、第二十一条、第二十三条第二款、第二十四条、第二十五条、第二十六条有关规定的，由县级以上地方商务主管部门责令改正，并可给予警告或</w:t>
            </w:r>
            <w:r>
              <w:rPr>
                <w:rFonts w:ascii="宋体" w:hAnsi="宋体" w:eastAsia="宋体"/>
                <w:sz w:val="18"/>
              </w:rPr>
              <w:t>3</w:t>
            </w:r>
            <w:r>
              <w:rPr>
                <w:rFonts w:hint="eastAsia" w:ascii="宋体" w:hAnsi="宋体" w:eastAsia="宋体"/>
                <w:sz w:val="18"/>
              </w:rPr>
              <w:t>万元以下罚款。</w:t>
            </w:r>
          </w:p>
        </w:tc>
        <w:tc>
          <w:tcPr>
            <w:tcW w:w="3420" w:type="dxa"/>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1.立案阶段责任：发现涉嫌违法行为，应及时制止（对正在实施的违法行为，下达《责令停止违法行为通知书》），并予以审查，决定是否立案。</w:t>
            </w:r>
          </w:p>
          <w:p>
            <w:pPr>
              <w:tabs>
                <w:tab w:val="left" w:pos="7937"/>
              </w:tabs>
              <w:spacing w:line="240" w:lineRule="exact"/>
              <w:rPr>
                <w:rFonts w:hint="eastAsia" w:ascii="宋体" w:hAnsi="宋体" w:eastAsia="宋体"/>
                <w:sz w:val="18"/>
              </w:rPr>
            </w:pPr>
            <w:r>
              <w:rPr>
                <w:rFonts w:hint="eastAsia" w:ascii="宋体" w:hAnsi="宋体" w:eastAsia="宋体"/>
                <w:sz w:val="18"/>
              </w:rPr>
              <w:t>2.调查阶段责任：对立案的案件，指定专人负责，及时组织调查取证，与当事人有直接利害关系的应当回避。执法人员不得少于两人，调查时应出示执法证件，允许当事人辩解陈述。执法人员应保守有关秘密。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40" w:lineRule="exact"/>
              <w:rPr>
                <w:rFonts w:hint="eastAsia" w:ascii="宋体" w:hAnsi="宋体" w:eastAsia="宋体"/>
                <w:sz w:val="18"/>
              </w:rPr>
            </w:pPr>
            <w:r>
              <w:rPr>
                <w:rFonts w:hint="eastAsia" w:ascii="宋体" w:hAnsi="宋体" w:eastAsia="宋体"/>
                <w:sz w:val="18"/>
              </w:rPr>
              <w:t>3.审查阶段责任：审理案件调查报告，对案件违法事实、证据、调查取证程序、法律适用、处罚种类和幅度、当事人陈述和申辩理由等方面进行审查，提出处理意见。</w:t>
            </w:r>
          </w:p>
          <w:p>
            <w:pPr>
              <w:tabs>
                <w:tab w:val="left" w:pos="7937"/>
              </w:tabs>
              <w:spacing w:line="240" w:lineRule="exact"/>
              <w:rPr>
                <w:rFonts w:hint="eastAsia" w:ascii="宋体" w:hAnsi="宋体" w:eastAsia="宋体"/>
                <w:sz w:val="18"/>
              </w:rPr>
            </w:pPr>
            <w:r>
              <w:rPr>
                <w:rFonts w:hint="eastAsia" w:ascii="宋体" w:hAnsi="宋体" w:eastAsia="宋体"/>
                <w:sz w:val="18"/>
              </w:rPr>
              <w:t>4.告知阶段责任：作出行政处罚决定前，告知违法事实及其享有的陈述、申辩等权利。符合听证规定的，告知当事人有要求举行听证的权利。</w:t>
            </w:r>
          </w:p>
          <w:p>
            <w:pPr>
              <w:tabs>
                <w:tab w:val="left" w:pos="7937"/>
              </w:tabs>
              <w:spacing w:line="240" w:lineRule="exact"/>
              <w:rPr>
                <w:rFonts w:hint="eastAsia" w:ascii="宋体" w:hAnsi="宋体" w:eastAsia="宋体"/>
                <w:sz w:val="18"/>
              </w:rPr>
            </w:pPr>
            <w:r>
              <w:rPr>
                <w:rFonts w:hint="eastAsia" w:ascii="宋体" w:hAnsi="宋体" w:eastAsia="宋体"/>
                <w:sz w:val="18"/>
              </w:rPr>
              <w:t>5.决定阶段责任：制作行政处罚决定书，载明行政处罚告知、当事人陈述申辩或者听证情况等内容。</w:t>
            </w:r>
          </w:p>
          <w:p>
            <w:pPr>
              <w:tabs>
                <w:tab w:val="left" w:pos="7937"/>
              </w:tabs>
              <w:spacing w:line="240" w:lineRule="exact"/>
              <w:rPr>
                <w:rFonts w:hint="eastAsia" w:ascii="宋体" w:hAnsi="宋体" w:eastAsia="宋体"/>
                <w:sz w:val="18"/>
              </w:rPr>
            </w:pPr>
            <w:r>
              <w:rPr>
                <w:rFonts w:hint="eastAsia" w:ascii="宋体" w:hAnsi="宋体" w:eastAsia="宋体"/>
                <w:sz w:val="18"/>
              </w:rPr>
              <w:t>6.送达阶段责任：行政处罚决定书按法律规定的方式送达当事人。</w:t>
            </w:r>
          </w:p>
          <w:p>
            <w:pPr>
              <w:tabs>
                <w:tab w:val="left" w:pos="7937"/>
              </w:tabs>
              <w:spacing w:line="240" w:lineRule="exact"/>
              <w:rPr>
                <w:rFonts w:hint="eastAsia" w:ascii="宋体" w:hAnsi="宋体" w:eastAsia="宋体"/>
                <w:sz w:val="18"/>
              </w:rPr>
            </w:pPr>
            <w:r>
              <w:rPr>
                <w:rFonts w:hint="eastAsia" w:ascii="宋体" w:hAnsi="宋体" w:eastAsia="宋体"/>
                <w:sz w:val="18"/>
              </w:rPr>
              <w:t>7.执行阶段责任：依照生效的行政处罚决定，监督当事人履行。当事人逾期不履行的，可依法采取加处罚款、申请法院强制执行等措施。</w:t>
            </w:r>
          </w:p>
          <w:p>
            <w:pPr>
              <w:tabs>
                <w:tab w:val="left" w:pos="7937"/>
              </w:tabs>
              <w:spacing w:line="240" w:lineRule="exact"/>
              <w:rPr>
                <w:rFonts w:hint="eastAsia" w:ascii="宋体" w:hAnsi="宋体" w:eastAsia="宋体" w:cs="Times New Roman"/>
                <w:kern w:val="2"/>
                <w:sz w:val="18"/>
                <w:szCs w:val="32"/>
                <w:lang w:val="en-US" w:eastAsia="zh-CN" w:bidi="ar-SA"/>
              </w:rPr>
            </w:pPr>
            <w:r>
              <w:rPr>
                <w:rFonts w:hint="eastAsia" w:ascii="宋体" w:hAnsi="宋体" w:eastAsia="宋体"/>
                <w:sz w:val="18"/>
              </w:rPr>
              <w:t>8.其他法律法规规章规定应履行的责任。</w:t>
            </w:r>
          </w:p>
        </w:tc>
        <w:tc>
          <w:tcPr>
            <w:tcW w:w="2655" w:type="dxa"/>
            <w:noWrap w:val="0"/>
            <w:vAlign w:val="center"/>
          </w:tcPr>
          <w:p>
            <w:pPr>
              <w:tabs>
                <w:tab w:val="left" w:pos="7937"/>
              </w:tabs>
              <w:spacing w:line="24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40" w:lineRule="exact"/>
              <w:rPr>
                <w:rFonts w:hint="eastAsia" w:ascii="宋体" w:hAnsi="宋体" w:eastAsia="宋体"/>
                <w:sz w:val="18"/>
              </w:rPr>
            </w:pPr>
            <w:r>
              <w:rPr>
                <w:rFonts w:hint="eastAsia" w:ascii="宋体" w:hAnsi="宋体" w:eastAsia="宋体"/>
                <w:sz w:val="18"/>
              </w:rPr>
              <w:t>1.没有法律和事实依据实施行政处罚的；</w:t>
            </w:r>
          </w:p>
          <w:p>
            <w:pPr>
              <w:tabs>
                <w:tab w:val="left" w:pos="7937"/>
              </w:tabs>
              <w:spacing w:line="240" w:lineRule="exact"/>
              <w:rPr>
                <w:rFonts w:hint="eastAsia" w:ascii="宋体" w:hAnsi="宋体" w:eastAsia="宋体"/>
                <w:sz w:val="18"/>
              </w:rPr>
            </w:pPr>
            <w:r>
              <w:rPr>
                <w:rFonts w:hint="eastAsia" w:ascii="宋体" w:hAnsi="宋体" w:eastAsia="宋体"/>
                <w:sz w:val="18"/>
              </w:rPr>
              <w:t>2.行政处罚显失公正的；</w:t>
            </w:r>
          </w:p>
          <w:p>
            <w:pPr>
              <w:tabs>
                <w:tab w:val="left" w:pos="7937"/>
              </w:tabs>
              <w:spacing w:line="240" w:lineRule="exact"/>
              <w:rPr>
                <w:rFonts w:hint="eastAsia" w:ascii="宋体" w:hAnsi="宋体" w:eastAsia="宋体"/>
                <w:sz w:val="18"/>
              </w:rPr>
            </w:pPr>
            <w:r>
              <w:rPr>
                <w:rFonts w:hint="eastAsia" w:ascii="宋体" w:hAnsi="宋体" w:eastAsia="宋体"/>
                <w:sz w:val="18"/>
              </w:rPr>
              <w:t>3.执法人员玩忽职守，对应当予以制止和处罚的违法行为不予制止、处罚，致使公民、法人或者其他组织的合法权益、公共利益和社会秩序遭受损害的；</w:t>
            </w:r>
          </w:p>
          <w:p>
            <w:pPr>
              <w:tabs>
                <w:tab w:val="left" w:pos="7937"/>
              </w:tabs>
              <w:spacing w:line="240" w:lineRule="exact"/>
              <w:rPr>
                <w:rFonts w:hint="eastAsia" w:ascii="宋体" w:hAnsi="宋体" w:eastAsia="宋体"/>
                <w:sz w:val="18"/>
              </w:rPr>
            </w:pPr>
            <w:r>
              <w:rPr>
                <w:rFonts w:hint="eastAsia" w:ascii="宋体" w:hAnsi="宋体" w:eastAsia="宋体"/>
                <w:sz w:val="18"/>
              </w:rPr>
              <w:t>4.不具备行政执法资格实施行政处罚的；</w:t>
            </w:r>
          </w:p>
          <w:p>
            <w:pPr>
              <w:tabs>
                <w:tab w:val="left" w:pos="7937"/>
              </w:tabs>
              <w:spacing w:line="240" w:lineRule="exact"/>
              <w:rPr>
                <w:rFonts w:hint="eastAsia" w:ascii="宋体" w:hAnsi="宋体" w:eastAsia="宋体"/>
                <w:sz w:val="18"/>
              </w:rPr>
            </w:pPr>
            <w:r>
              <w:rPr>
                <w:rFonts w:hint="eastAsia" w:ascii="宋体" w:hAnsi="宋体" w:eastAsia="宋体"/>
                <w:sz w:val="18"/>
              </w:rPr>
              <w:t>5.擅自改变行政处罚种类、幅度的；</w:t>
            </w:r>
          </w:p>
          <w:p>
            <w:pPr>
              <w:tabs>
                <w:tab w:val="left" w:pos="7937"/>
              </w:tabs>
              <w:spacing w:line="240" w:lineRule="exact"/>
              <w:rPr>
                <w:rFonts w:hint="eastAsia" w:ascii="宋体" w:hAnsi="宋体" w:eastAsia="宋体"/>
                <w:sz w:val="18"/>
              </w:rPr>
            </w:pPr>
            <w:r>
              <w:rPr>
                <w:rFonts w:hint="eastAsia" w:ascii="宋体" w:hAnsi="宋体" w:eastAsia="宋体"/>
                <w:sz w:val="18"/>
              </w:rPr>
              <w:t>6.违反法定的行政处罚程序的；</w:t>
            </w:r>
          </w:p>
          <w:p>
            <w:pPr>
              <w:tabs>
                <w:tab w:val="left" w:pos="7937"/>
              </w:tabs>
              <w:spacing w:line="240" w:lineRule="exact"/>
              <w:rPr>
                <w:rFonts w:hint="eastAsia" w:ascii="宋体" w:hAnsi="宋体" w:eastAsia="宋体"/>
                <w:sz w:val="18"/>
              </w:rPr>
            </w:pPr>
            <w:r>
              <w:rPr>
                <w:rFonts w:hint="eastAsia" w:ascii="宋体" w:hAnsi="宋体" w:eastAsia="宋体"/>
                <w:sz w:val="18"/>
              </w:rPr>
              <w:t>7.违反“罚缴分离”规定，擅自收取罚款的；</w:t>
            </w:r>
          </w:p>
          <w:p>
            <w:pPr>
              <w:tabs>
                <w:tab w:val="left" w:pos="7937"/>
              </w:tabs>
              <w:spacing w:line="240" w:lineRule="exact"/>
              <w:rPr>
                <w:rFonts w:hint="eastAsia" w:ascii="宋体" w:hAnsi="宋体" w:eastAsia="宋体"/>
                <w:sz w:val="18"/>
              </w:rPr>
            </w:pPr>
            <w:r>
              <w:rPr>
                <w:rFonts w:hint="eastAsia" w:ascii="宋体" w:hAnsi="宋体" w:eastAsia="宋体"/>
                <w:sz w:val="18"/>
              </w:rPr>
              <w:t>8.不使用罚款单据或使用非法定部门制发的罚款单据的；</w:t>
            </w:r>
          </w:p>
          <w:p>
            <w:pPr>
              <w:tabs>
                <w:tab w:val="left" w:pos="7937"/>
              </w:tabs>
              <w:spacing w:line="240" w:lineRule="exact"/>
              <w:rPr>
                <w:rFonts w:hint="eastAsia" w:ascii="宋体" w:hAnsi="宋体" w:eastAsia="宋体"/>
                <w:sz w:val="18"/>
              </w:rPr>
            </w:pPr>
            <w:r>
              <w:rPr>
                <w:rFonts w:hint="eastAsia" w:ascii="宋体" w:hAnsi="宋体" w:eastAsia="宋体"/>
                <w:sz w:val="18"/>
              </w:rPr>
              <w:t>9.截留、私分或者变相私分罚款的；</w:t>
            </w:r>
          </w:p>
          <w:p>
            <w:pPr>
              <w:tabs>
                <w:tab w:val="left" w:pos="7937"/>
              </w:tabs>
              <w:spacing w:line="240" w:lineRule="exact"/>
              <w:rPr>
                <w:rFonts w:hint="eastAsia" w:ascii="宋体" w:hAnsi="宋体" w:eastAsia="宋体"/>
                <w:sz w:val="18"/>
              </w:rPr>
            </w:pPr>
            <w:r>
              <w:rPr>
                <w:rFonts w:hint="eastAsia" w:ascii="宋体" w:hAnsi="宋体" w:eastAsia="宋体"/>
                <w:sz w:val="18"/>
              </w:rPr>
              <w:t>10.符合听证条件、行政管理相对人要求听证，应予组织听证而不组织听证的；</w:t>
            </w:r>
          </w:p>
          <w:p>
            <w:pPr>
              <w:tabs>
                <w:tab w:val="left" w:pos="7937"/>
              </w:tabs>
              <w:spacing w:line="240" w:lineRule="exact"/>
              <w:rPr>
                <w:rFonts w:hint="eastAsia" w:ascii="宋体" w:hAnsi="宋体" w:eastAsia="宋体"/>
                <w:sz w:val="18"/>
              </w:rPr>
            </w:pPr>
            <w:r>
              <w:rPr>
                <w:rFonts w:hint="eastAsia" w:ascii="宋体" w:hAnsi="宋体" w:eastAsia="宋体"/>
                <w:sz w:val="18"/>
              </w:rPr>
              <w:t>11.在行政处罚过程中发生腐败行为的；</w:t>
            </w:r>
          </w:p>
          <w:p>
            <w:pPr>
              <w:tabs>
                <w:tab w:val="left" w:pos="7937"/>
              </w:tabs>
              <w:spacing w:line="240" w:lineRule="exact"/>
              <w:rPr>
                <w:rFonts w:hint="eastAsia" w:ascii="宋体" w:hAnsi="宋体" w:eastAsia="宋体" w:cs="Times New Roman"/>
                <w:kern w:val="2"/>
                <w:sz w:val="18"/>
                <w:szCs w:val="32"/>
                <w:lang w:val="en-US" w:eastAsia="zh-CN" w:bidi="ar-SA"/>
              </w:rPr>
            </w:pPr>
            <w:r>
              <w:rPr>
                <w:rFonts w:hint="eastAsia" w:ascii="宋体" w:hAnsi="宋体" w:eastAsia="宋体"/>
                <w:sz w:val="18"/>
              </w:rPr>
              <w:t>12.其他违反法律法规规章规定的行为。</w:t>
            </w:r>
          </w:p>
        </w:tc>
        <w:tc>
          <w:tcPr>
            <w:tcW w:w="659" w:type="dxa"/>
            <w:noWrap w:val="0"/>
            <w:vAlign w:val="center"/>
          </w:tcPr>
          <w:p>
            <w:pPr>
              <w:spacing w:line="400" w:lineRule="exact"/>
              <w:jc w:val="center"/>
              <w:rPr>
                <w:rFonts w:hint="default" w:ascii="宋体" w:hAnsi="宋体" w:eastAsia="宋体" w:cs="Times New Roman"/>
                <w:kern w:val="2"/>
                <w:sz w:val="18"/>
                <w:szCs w:val="3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2" w:hRule="atLeast"/>
          <w:jc w:val="center"/>
        </w:trPr>
        <w:tc>
          <w:tcPr>
            <w:tcW w:w="511" w:type="dxa"/>
            <w:noWrap w:val="0"/>
            <w:vAlign w:val="center"/>
          </w:tcPr>
          <w:p>
            <w:pPr>
              <w:tabs>
                <w:tab w:val="left" w:pos="7937"/>
              </w:tabs>
              <w:spacing w:line="260" w:lineRule="exact"/>
              <w:jc w:val="center"/>
              <w:rPr>
                <w:rFonts w:hint="default" w:ascii="宋体" w:hAnsi="宋体" w:eastAsia="宋体" w:cs="Times New Roman"/>
                <w:kern w:val="2"/>
                <w:sz w:val="18"/>
                <w:szCs w:val="32"/>
                <w:lang w:val="en-US" w:eastAsia="zh-CN" w:bidi="ar-SA"/>
              </w:rPr>
            </w:pPr>
            <w:r>
              <w:rPr>
                <w:rFonts w:hint="eastAsia" w:ascii="宋体" w:hAnsi="宋体" w:eastAsia="宋体" w:cs="Times New Roman"/>
                <w:kern w:val="2"/>
                <w:sz w:val="18"/>
                <w:szCs w:val="32"/>
                <w:lang w:val="en-US" w:eastAsia="zh-CN" w:bidi="ar-SA"/>
              </w:rPr>
              <w:t>63</w:t>
            </w:r>
          </w:p>
        </w:tc>
        <w:tc>
          <w:tcPr>
            <w:tcW w:w="960" w:type="dxa"/>
            <w:noWrap w:val="0"/>
            <w:vAlign w:val="center"/>
          </w:tcPr>
          <w:p>
            <w:pPr>
              <w:tabs>
                <w:tab w:val="left" w:pos="7937"/>
              </w:tabs>
              <w:spacing w:line="260" w:lineRule="exact"/>
              <w:jc w:val="center"/>
              <w:rPr>
                <w:rFonts w:hint="eastAsia" w:ascii="宋体" w:hAnsi="宋体" w:eastAsia="宋体"/>
                <w:sz w:val="18"/>
                <w:szCs w:val="18"/>
              </w:rPr>
            </w:pPr>
            <w:r>
              <w:rPr>
                <w:rFonts w:hint="eastAsia" w:ascii="宋体" w:hAnsi="宋体" w:eastAsia="宋体"/>
                <w:sz w:val="18"/>
              </w:rPr>
              <w:t>行政处罚</w:t>
            </w:r>
          </w:p>
        </w:tc>
        <w:tc>
          <w:tcPr>
            <w:tcW w:w="1381" w:type="dxa"/>
            <w:noWrap w:val="0"/>
            <w:vAlign w:val="center"/>
          </w:tcPr>
          <w:p>
            <w:pPr>
              <w:tabs>
                <w:tab w:val="left" w:pos="7937"/>
              </w:tabs>
              <w:spacing w:line="260" w:lineRule="exact"/>
              <w:jc w:val="center"/>
              <w:rPr>
                <w:rFonts w:hint="eastAsia" w:ascii="宋体" w:hAnsi="宋体" w:eastAsia="宋体"/>
                <w:sz w:val="18"/>
              </w:rPr>
            </w:pPr>
            <w:r>
              <w:rPr>
                <w:rFonts w:hint="eastAsia" w:ascii="宋体" w:hAnsi="宋体" w:eastAsia="宋体"/>
                <w:sz w:val="18"/>
              </w:rPr>
              <w:t>违反单用途商业预付卡管理办法做出的处罚</w:t>
            </w:r>
          </w:p>
        </w:tc>
        <w:tc>
          <w:tcPr>
            <w:tcW w:w="720"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szCs w:val="18"/>
              </w:rPr>
              <w:t>商务局</w:t>
            </w:r>
          </w:p>
        </w:tc>
        <w:tc>
          <w:tcPr>
            <w:tcW w:w="3509"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单用途商业预付卡管理办法（试行）》（2012年9月21日商务部令第9号，2016年8月18日修订）第二十四条发卡企业应对预收资金进行严格管理。预收资金只能用于发卡企业主营业务，不得用于不动产、股权、证券等投资及借贷。第二十五条主营业务为零售业、住宿和餐饮业的发卡企业，预收资金余额不得超过其上一会计年度主营业务收入的40%；主营业务为居民服务业的发卡企业的预收资金余额不得超过其上一会计年度主营业务收入；工商注册登记不足一年的发卡企业的预收资金余额不得超过其注册资本的2倍。集团发卡企业预收资金余额不得超过其上一会计年度本集团营业收入的30%。本办法所称预收资金是指发卡企业通过发行单用途卡所预收的资金总额，预收资金余额是指预收资金扣减已兑付商品或服务价款后的余额。第二十六条规模发卡企业、集团发卡企业和品牌发卡企业实行资金存管制度。规模发卡企业存管资金比例不低于上一季度预收资金余额的20%；集团发卡企业存管资金比例不低于上一季度预收资金余额的30%；品牌发卡企业存管资金比例不低于上一季度预收资金余额的40%。第二十七条规模发卡企业、集团发卡企业和品牌发卡企业应确定一个商业银行账户作为资金存管账户，并与存管银行签订资金存管协议。资金存管协议应规定存管银行对发卡企业资金存管比例进行监督，对超额调用存管资金的指令予以拒绝，并按照备案机关要求提供发卡企业资金存缴情况。第三十一条规模发卡企业应于每季度结束后15个工作日内，集团发卡企业和品牌发卡企业应于每季度结束后20个工作日内登录商务部“单用途商业预付卡业务信息系统”，填报上一季度单用途卡业务情况。其他发卡企业应于每年1月31日前填报《发卡企业单用途卡业务报告表》发卡企业填报的信息应当准确、真实、完整，不得故意隐瞒或虚报。第三十七条第二款发卡企业违反本办法第二十四条至第二十七条、第三十一条规定的，由备案机关责令限期改正；逾期仍不改正的，处以1万元以上3万元以下罚款。</w:t>
            </w:r>
          </w:p>
        </w:tc>
        <w:tc>
          <w:tcPr>
            <w:tcW w:w="3420"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1.立案阶段责任：发现涉嫌违法行为，应及时制止（对正在实施的违法行为，下达《责令停止违法行为通知书》），并予以审查，决定是否立案。</w:t>
            </w:r>
          </w:p>
          <w:p>
            <w:pPr>
              <w:tabs>
                <w:tab w:val="left" w:pos="7937"/>
              </w:tabs>
              <w:spacing w:line="260" w:lineRule="exact"/>
              <w:rPr>
                <w:rFonts w:hint="eastAsia" w:ascii="宋体" w:hAnsi="宋体" w:eastAsia="宋体"/>
                <w:sz w:val="18"/>
              </w:rPr>
            </w:pPr>
            <w:r>
              <w:rPr>
                <w:rFonts w:hint="eastAsia" w:ascii="宋体" w:hAnsi="宋体" w:eastAsia="宋体"/>
                <w:sz w:val="18"/>
              </w:rPr>
              <w:t>2.调查阶段责任：对立案的案件，指定专人负责，及时组织调查取证，与当事人有直接利害关系的应当回避。执法人员不得少于两人，调查时应出示执法证件，允许当事人辩解陈述。执法人员应保守有关秘密。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60" w:lineRule="exact"/>
              <w:rPr>
                <w:rFonts w:hint="eastAsia" w:ascii="宋体" w:hAnsi="宋体" w:eastAsia="宋体"/>
                <w:sz w:val="18"/>
              </w:rPr>
            </w:pPr>
            <w:r>
              <w:rPr>
                <w:rFonts w:hint="eastAsia" w:ascii="宋体" w:hAnsi="宋体" w:eastAsia="宋体"/>
                <w:sz w:val="18"/>
              </w:rPr>
              <w:t>3.审查阶段责任：审理案件调查报告，对案件违法事实、证据、调查取证程序、法律适用、处罚种类和幅度、当事人陈述和申辩理由等方面进行审查，提出处理意见。</w:t>
            </w:r>
          </w:p>
          <w:p>
            <w:pPr>
              <w:tabs>
                <w:tab w:val="left" w:pos="7937"/>
              </w:tabs>
              <w:spacing w:line="260" w:lineRule="exact"/>
              <w:rPr>
                <w:rFonts w:hint="eastAsia" w:ascii="宋体" w:hAnsi="宋体" w:eastAsia="宋体"/>
                <w:sz w:val="18"/>
              </w:rPr>
            </w:pPr>
            <w:r>
              <w:rPr>
                <w:rFonts w:hint="eastAsia" w:ascii="宋体" w:hAnsi="宋体" w:eastAsia="宋体"/>
                <w:sz w:val="18"/>
              </w:rPr>
              <w:t>4.告知阶段责任：作出行政处罚决定前，告知违法事实及其享有的陈述、申辩等权利。符合听证规定的，告知当事人有要求举行听证的权利。</w:t>
            </w:r>
          </w:p>
          <w:p>
            <w:pPr>
              <w:tabs>
                <w:tab w:val="left" w:pos="7937"/>
              </w:tabs>
              <w:spacing w:line="260" w:lineRule="exact"/>
              <w:rPr>
                <w:rFonts w:hint="eastAsia" w:ascii="宋体" w:hAnsi="宋体" w:eastAsia="宋体"/>
                <w:sz w:val="18"/>
              </w:rPr>
            </w:pPr>
            <w:r>
              <w:rPr>
                <w:rFonts w:hint="eastAsia" w:ascii="宋体" w:hAnsi="宋体" w:eastAsia="宋体"/>
                <w:sz w:val="18"/>
              </w:rPr>
              <w:t>5.决定阶段责任：制作行政处罚决定书，载明行政处罚告知、当事人陈述申辩或者听证情况等内容。</w:t>
            </w:r>
          </w:p>
          <w:p>
            <w:pPr>
              <w:tabs>
                <w:tab w:val="left" w:pos="7937"/>
              </w:tabs>
              <w:spacing w:line="260" w:lineRule="exact"/>
              <w:rPr>
                <w:rFonts w:hint="eastAsia" w:ascii="宋体" w:hAnsi="宋体" w:eastAsia="宋体"/>
                <w:sz w:val="18"/>
              </w:rPr>
            </w:pPr>
            <w:r>
              <w:rPr>
                <w:rFonts w:hint="eastAsia" w:ascii="宋体" w:hAnsi="宋体" w:eastAsia="宋体"/>
                <w:sz w:val="18"/>
              </w:rPr>
              <w:t>6.送达阶段责任：行政处罚决定书按法律规定的方式送达当事人。</w:t>
            </w:r>
          </w:p>
          <w:p>
            <w:pPr>
              <w:tabs>
                <w:tab w:val="left" w:pos="7937"/>
              </w:tabs>
              <w:spacing w:line="260" w:lineRule="exact"/>
              <w:rPr>
                <w:rFonts w:hint="eastAsia" w:ascii="宋体" w:hAnsi="宋体" w:eastAsia="宋体"/>
                <w:sz w:val="18"/>
              </w:rPr>
            </w:pPr>
            <w:r>
              <w:rPr>
                <w:rFonts w:hint="eastAsia" w:ascii="宋体" w:hAnsi="宋体" w:eastAsia="宋体"/>
                <w:sz w:val="18"/>
              </w:rPr>
              <w:t>7.执行阶段责任：依照生效的行政处罚决定，监督当事人履行。当事人逾期不履行的，可依法采取加处罚款、申请法院强制执行等措施。</w:t>
            </w:r>
          </w:p>
          <w:p>
            <w:pPr>
              <w:tabs>
                <w:tab w:val="left" w:pos="7937"/>
              </w:tabs>
              <w:spacing w:line="260" w:lineRule="exact"/>
              <w:rPr>
                <w:rFonts w:hint="eastAsia" w:ascii="宋体" w:hAnsi="宋体" w:eastAsia="宋体"/>
                <w:sz w:val="18"/>
              </w:rPr>
            </w:pPr>
            <w:r>
              <w:rPr>
                <w:rFonts w:hint="eastAsia" w:ascii="宋体" w:hAnsi="宋体" w:eastAsia="宋体"/>
                <w:sz w:val="18"/>
              </w:rPr>
              <w:t>8.其他法律法规规章规定应履行的责任。</w:t>
            </w:r>
          </w:p>
        </w:tc>
        <w:tc>
          <w:tcPr>
            <w:tcW w:w="2655" w:type="dxa"/>
            <w:noWrap w:val="0"/>
            <w:vAlign w:val="center"/>
          </w:tcPr>
          <w:p>
            <w:pPr>
              <w:spacing w:line="400" w:lineRule="exact"/>
              <w:rPr>
                <w:rFonts w:hint="eastAsia"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spacing w:line="400" w:lineRule="exact"/>
              <w:rPr>
                <w:rFonts w:hint="eastAsia" w:ascii="宋体" w:hAnsi="宋体" w:eastAsia="宋体"/>
                <w:sz w:val="18"/>
              </w:rPr>
            </w:pPr>
            <w:r>
              <w:rPr>
                <w:rFonts w:hint="eastAsia" w:ascii="宋体" w:hAnsi="宋体" w:eastAsia="宋体"/>
                <w:sz w:val="18"/>
              </w:rPr>
              <w:t>1.没有法律和事实依据实施行政处罚的；</w:t>
            </w:r>
          </w:p>
          <w:p>
            <w:pPr>
              <w:spacing w:line="400" w:lineRule="exact"/>
              <w:rPr>
                <w:rFonts w:hint="eastAsia" w:ascii="宋体" w:hAnsi="宋体" w:eastAsia="宋体"/>
                <w:sz w:val="18"/>
              </w:rPr>
            </w:pPr>
            <w:r>
              <w:rPr>
                <w:rFonts w:hint="eastAsia" w:ascii="宋体" w:hAnsi="宋体" w:eastAsia="宋体"/>
                <w:sz w:val="18"/>
              </w:rPr>
              <w:t>2.行政处罚显失公正的；</w:t>
            </w:r>
          </w:p>
          <w:p>
            <w:pPr>
              <w:spacing w:line="400" w:lineRule="exact"/>
              <w:rPr>
                <w:rFonts w:hint="eastAsia" w:ascii="宋体" w:hAnsi="宋体" w:eastAsia="宋体"/>
                <w:sz w:val="18"/>
              </w:rPr>
            </w:pPr>
            <w:r>
              <w:rPr>
                <w:rFonts w:hint="eastAsia" w:ascii="宋体" w:hAnsi="宋体" w:eastAsia="宋体"/>
                <w:sz w:val="18"/>
              </w:rPr>
              <w:t>3.执法人员玩忽职守，对应当予以制止和处罚的违法行为不予制止、处罚，致使公民、法人或者其他组织的合法权益、公共利益和社会秩序遭受损害的；</w:t>
            </w:r>
          </w:p>
          <w:p>
            <w:pPr>
              <w:spacing w:line="400" w:lineRule="exact"/>
              <w:rPr>
                <w:rFonts w:hint="eastAsia" w:ascii="宋体" w:hAnsi="宋体" w:eastAsia="宋体"/>
                <w:sz w:val="18"/>
              </w:rPr>
            </w:pPr>
            <w:r>
              <w:rPr>
                <w:rFonts w:hint="eastAsia" w:ascii="宋体" w:hAnsi="宋体" w:eastAsia="宋体"/>
                <w:sz w:val="18"/>
              </w:rPr>
              <w:t>4.不具备行政执法资格实施行政处罚的；</w:t>
            </w:r>
          </w:p>
          <w:p>
            <w:pPr>
              <w:spacing w:line="400" w:lineRule="exact"/>
              <w:rPr>
                <w:rFonts w:hint="eastAsia" w:ascii="宋体" w:hAnsi="宋体" w:eastAsia="宋体"/>
                <w:sz w:val="18"/>
              </w:rPr>
            </w:pPr>
            <w:r>
              <w:rPr>
                <w:rFonts w:hint="eastAsia" w:ascii="宋体" w:hAnsi="宋体" w:eastAsia="宋体"/>
                <w:sz w:val="18"/>
              </w:rPr>
              <w:t>5.擅自改变行政处罚种类、幅度的；</w:t>
            </w:r>
          </w:p>
          <w:p>
            <w:pPr>
              <w:spacing w:line="400" w:lineRule="exact"/>
              <w:rPr>
                <w:rFonts w:hint="eastAsia" w:ascii="宋体" w:hAnsi="宋体" w:eastAsia="宋体"/>
                <w:sz w:val="18"/>
              </w:rPr>
            </w:pPr>
            <w:r>
              <w:rPr>
                <w:rFonts w:hint="eastAsia" w:ascii="宋体" w:hAnsi="宋体" w:eastAsia="宋体"/>
                <w:sz w:val="18"/>
              </w:rPr>
              <w:t>6.违反法定的行政处罚程序的；</w:t>
            </w:r>
          </w:p>
          <w:p>
            <w:pPr>
              <w:spacing w:line="400" w:lineRule="exact"/>
              <w:rPr>
                <w:rFonts w:hint="eastAsia" w:ascii="宋体" w:hAnsi="宋体" w:eastAsia="宋体"/>
                <w:sz w:val="18"/>
              </w:rPr>
            </w:pPr>
            <w:r>
              <w:rPr>
                <w:rFonts w:hint="eastAsia" w:ascii="宋体" w:hAnsi="宋体" w:eastAsia="宋体"/>
                <w:sz w:val="18"/>
              </w:rPr>
              <w:t>7.违反“罚缴分离”规定，擅自收取罚款的；</w:t>
            </w:r>
          </w:p>
          <w:p>
            <w:pPr>
              <w:spacing w:line="400" w:lineRule="exact"/>
              <w:rPr>
                <w:rFonts w:hint="eastAsia" w:ascii="宋体" w:hAnsi="宋体" w:eastAsia="宋体"/>
                <w:sz w:val="18"/>
              </w:rPr>
            </w:pPr>
            <w:r>
              <w:rPr>
                <w:rFonts w:hint="eastAsia" w:ascii="宋体" w:hAnsi="宋体" w:eastAsia="宋体"/>
                <w:sz w:val="18"/>
              </w:rPr>
              <w:t>8.不使用罚款单据或使用非法定部门制发的罚款单据的；</w:t>
            </w:r>
          </w:p>
          <w:p>
            <w:pPr>
              <w:spacing w:line="400" w:lineRule="exact"/>
              <w:rPr>
                <w:rFonts w:hint="eastAsia" w:ascii="宋体" w:hAnsi="宋体" w:eastAsia="宋体"/>
                <w:sz w:val="18"/>
              </w:rPr>
            </w:pPr>
            <w:r>
              <w:rPr>
                <w:rFonts w:hint="eastAsia" w:ascii="宋体" w:hAnsi="宋体" w:eastAsia="宋体"/>
                <w:sz w:val="18"/>
              </w:rPr>
              <w:t>9.截留、私分或者变相私分罚款的；</w:t>
            </w:r>
          </w:p>
          <w:p>
            <w:pPr>
              <w:spacing w:line="400" w:lineRule="exact"/>
              <w:rPr>
                <w:rFonts w:hint="eastAsia" w:ascii="宋体" w:hAnsi="宋体" w:eastAsia="宋体"/>
                <w:sz w:val="18"/>
              </w:rPr>
            </w:pPr>
            <w:r>
              <w:rPr>
                <w:rFonts w:hint="eastAsia" w:ascii="宋体" w:hAnsi="宋体" w:eastAsia="宋体"/>
                <w:sz w:val="18"/>
              </w:rPr>
              <w:t>10.符合听证条件、行政管理相对人要求听证，应予组织听证而不组织听证的；</w:t>
            </w:r>
          </w:p>
          <w:p>
            <w:pPr>
              <w:spacing w:line="400" w:lineRule="exact"/>
              <w:rPr>
                <w:rFonts w:hint="eastAsia" w:ascii="宋体" w:hAnsi="宋体" w:eastAsia="宋体"/>
                <w:sz w:val="18"/>
              </w:rPr>
            </w:pPr>
            <w:r>
              <w:rPr>
                <w:rFonts w:hint="eastAsia" w:ascii="宋体" w:hAnsi="宋体" w:eastAsia="宋体"/>
                <w:sz w:val="18"/>
              </w:rPr>
              <w:t>11.在行政处罚过程中发生腐败行为的；</w:t>
            </w:r>
          </w:p>
          <w:p>
            <w:pPr>
              <w:spacing w:line="400" w:lineRule="exact"/>
              <w:rPr>
                <w:rFonts w:hint="eastAsia" w:ascii="宋体" w:hAnsi="宋体" w:eastAsia="宋体"/>
                <w:sz w:val="18"/>
              </w:rPr>
            </w:pPr>
            <w:r>
              <w:rPr>
                <w:rFonts w:hint="eastAsia" w:ascii="宋体" w:hAnsi="宋体" w:eastAsia="宋体"/>
                <w:sz w:val="18"/>
              </w:rPr>
              <w:t>12.其他违反法律法规规章规定的行为。</w:t>
            </w:r>
          </w:p>
        </w:tc>
        <w:tc>
          <w:tcPr>
            <w:tcW w:w="659" w:type="dxa"/>
            <w:noWrap w:val="0"/>
            <w:vAlign w:val="center"/>
          </w:tcPr>
          <w:p>
            <w:pPr>
              <w:tabs>
                <w:tab w:val="left" w:pos="7937"/>
              </w:tabs>
              <w:spacing w:line="260" w:lineRule="exact"/>
              <w:jc w:val="center"/>
              <w:rPr>
                <w:rFonts w:hint="default" w:ascii="宋体" w:hAnsi="宋体" w:eastAsia="宋体" w:cs="Times New Roman"/>
                <w:kern w:val="2"/>
                <w:sz w:val="18"/>
                <w:szCs w:val="32"/>
                <w:lang w:val="en-US" w:eastAsia="zh-CN" w:bidi="ar-SA"/>
              </w:rPr>
            </w:pPr>
            <w:r>
              <w:rPr>
                <w:rFonts w:hint="eastAsia" w:ascii="宋体" w:hAnsi="宋体" w:eastAsia="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2" w:hRule="atLeast"/>
          <w:jc w:val="center"/>
        </w:trPr>
        <w:tc>
          <w:tcPr>
            <w:tcW w:w="511" w:type="dxa"/>
            <w:noWrap w:val="0"/>
            <w:vAlign w:val="center"/>
          </w:tcPr>
          <w:p>
            <w:pPr>
              <w:tabs>
                <w:tab w:val="left" w:pos="7937"/>
              </w:tabs>
              <w:spacing w:line="260" w:lineRule="exact"/>
              <w:rPr>
                <w:rFonts w:hint="default" w:ascii="宋体" w:hAnsi="宋体" w:eastAsia="宋体"/>
                <w:sz w:val="18"/>
                <w:lang w:val="en-US" w:eastAsia="zh-CN"/>
              </w:rPr>
            </w:pPr>
            <w:r>
              <w:rPr>
                <w:rFonts w:hint="eastAsia" w:ascii="宋体" w:hAnsi="宋体" w:eastAsia="宋体"/>
                <w:sz w:val="18"/>
                <w:lang w:val="en-US" w:eastAsia="zh-CN"/>
              </w:rPr>
              <w:t>64</w:t>
            </w:r>
          </w:p>
        </w:tc>
        <w:tc>
          <w:tcPr>
            <w:tcW w:w="960"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其他行政权力（审核转报）</w:t>
            </w:r>
          </w:p>
        </w:tc>
        <w:tc>
          <w:tcPr>
            <w:tcW w:w="1381"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省级（市级）科技计划项目（国家、省攻关计划、火炬计划、星火计划、成果推广计划、高新技术产业计划、中小企业创新基金、科技成果转化基金、农业科技成果业化）管理</w:t>
            </w:r>
          </w:p>
        </w:tc>
        <w:tc>
          <w:tcPr>
            <w:tcW w:w="720"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县科技局</w:t>
            </w:r>
          </w:p>
        </w:tc>
        <w:tc>
          <w:tcPr>
            <w:tcW w:w="3509"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《河北省省级科技计划项目管理办法》（冀科规〔2020〕1号）第十六条项目申报程序</w:t>
            </w:r>
          </w:p>
          <w:p>
            <w:pPr>
              <w:tabs>
                <w:tab w:val="left" w:pos="7937"/>
              </w:tabs>
              <w:spacing w:line="260" w:lineRule="exact"/>
              <w:rPr>
                <w:rFonts w:hint="eastAsia" w:ascii="宋体" w:hAnsi="宋体" w:eastAsia="宋体"/>
                <w:sz w:val="18"/>
              </w:rPr>
            </w:pPr>
            <w:r>
              <w:rPr>
                <w:rFonts w:hint="eastAsia" w:ascii="宋体" w:hAnsi="宋体" w:eastAsia="宋体"/>
                <w:sz w:val="18"/>
              </w:rPr>
              <w:t>（一）申请单位根据项目指南要求，组织在线填写项目申请书及附件材料，通过省级科技计划管理信息平台，向其项目归口管理部门逐级申报。涉密项目或国家另有要求的除外。</w:t>
            </w:r>
          </w:p>
        </w:tc>
        <w:tc>
          <w:tcPr>
            <w:tcW w:w="3420"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1．受理阶段责任：公示依法应当提交的材料、一次性告知受理登记材料的截止时间、认定材料的填报要求</w:t>
            </w:r>
          </w:p>
          <w:p>
            <w:pPr>
              <w:tabs>
                <w:tab w:val="left" w:pos="7937"/>
              </w:tabs>
              <w:spacing w:line="260" w:lineRule="exact"/>
              <w:rPr>
                <w:rFonts w:hint="eastAsia" w:ascii="宋体" w:hAnsi="宋体" w:eastAsia="宋体"/>
                <w:sz w:val="18"/>
              </w:rPr>
            </w:pPr>
            <w:r>
              <w:rPr>
                <w:rFonts w:hint="eastAsia" w:ascii="宋体" w:hAnsi="宋体" w:eastAsia="宋体"/>
                <w:sz w:val="18"/>
              </w:rPr>
              <w:t>2．告知阶段责任：依据审核情况应及时告知申办人形式审核通过或不通过结果及原因。</w:t>
            </w:r>
          </w:p>
          <w:p>
            <w:pPr>
              <w:tabs>
                <w:tab w:val="left" w:pos="7937"/>
              </w:tabs>
              <w:spacing w:line="260" w:lineRule="exact"/>
              <w:rPr>
                <w:rFonts w:hint="eastAsia" w:ascii="宋体" w:hAnsi="宋体" w:eastAsia="宋体"/>
                <w:sz w:val="18"/>
              </w:rPr>
            </w:pPr>
            <w:r>
              <w:rPr>
                <w:rFonts w:hint="eastAsia" w:ascii="宋体" w:hAnsi="宋体" w:eastAsia="宋体"/>
                <w:sz w:val="18"/>
              </w:rPr>
              <w:t>3．事后监管责任：对专项资金的使用情况和项目实施情况依据科技合同进行定期或不定期监督检查。</w:t>
            </w:r>
          </w:p>
          <w:p>
            <w:pPr>
              <w:tabs>
                <w:tab w:val="left" w:pos="7937"/>
              </w:tabs>
              <w:spacing w:line="260" w:lineRule="exact"/>
              <w:rPr>
                <w:rFonts w:hint="eastAsia" w:ascii="宋体" w:hAnsi="宋体" w:eastAsia="宋体"/>
                <w:sz w:val="18"/>
              </w:rPr>
            </w:pPr>
            <w:r>
              <w:rPr>
                <w:rFonts w:hint="eastAsia" w:ascii="宋体" w:hAnsi="宋体" w:eastAsia="宋体"/>
                <w:sz w:val="18"/>
              </w:rPr>
              <w:t>4．其他法律法规规章文件规定应履行的责任</w:t>
            </w:r>
          </w:p>
        </w:tc>
        <w:tc>
          <w:tcPr>
            <w:tcW w:w="2655" w:type="dxa"/>
            <w:noWrap w:val="0"/>
            <w:vAlign w:val="center"/>
          </w:tcPr>
          <w:p>
            <w:pPr>
              <w:tabs>
                <w:tab w:val="left" w:pos="7937"/>
              </w:tabs>
              <w:spacing w:line="260" w:lineRule="exact"/>
              <w:rPr>
                <w:rFonts w:hint="eastAsia" w:ascii="宋体" w:hAnsi="宋体" w:eastAsia="宋体"/>
                <w:sz w:val="18"/>
              </w:rPr>
            </w:pPr>
            <w:r>
              <w:rPr>
                <w:rFonts w:hint="eastAsia" w:ascii="宋体" w:hAnsi="宋体" w:eastAsia="宋体"/>
                <w:sz w:val="18"/>
              </w:rPr>
              <w:t>因不履行或不正确履行行政职责，出现以下情形的，行政机关及相关工作人员应承担相应责任：                           1．未及时完成工作任务;                                                2.严重失职、渎职、玩忽职守或弄虚作假等行为的；</w:t>
            </w:r>
          </w:p>
          <w:p>
            <w:pPr>
              <w:tabs>
                <w:tab w:val="left" w:pos="7937"/>
              </w:tabs>
              <w:spacing w:line="260" w:lineRule="exact"/>
              <w:rPr>
                <w:rFonts w:hint="eastAsia" w:ascii="宋体" w:hAnsi="宋体" w:eastAsia="宋体"/>
                <w:sz w:val="18"/>
              </w:rPr>
            </w:pPr>
            <w:r>
              <w:rPr>
                <w:rFonts w:hint="eastAsia" w:ascii="宋体" w:hAnsi="宋体" w:eastAsia="宋体"/>
                <w:sz w:val="18"/>
              </w:rPr>
              <w:t>3．利用职务之便，吃拿卡要、收受他人财物的，</w:t>
            </w:r>
          </w:p>
          <w:p>
            <w:pPr>
              <w:tabs>
                <w:tab w:val="left" w:pos="7937"/>
              </w:tabs>
              <w:spacing w:line="260" w:lineRule="exact"/>
              <w:rPr>
                <w:rFonts w:hint="eastAsia" w:ascii="宋体" w:hAnsi="宋体" w:eastAsia="宋体"/>
                <w:sz w:val="18"/>
              </w:rPr>
            </w:pPr>
            <w:r>
              <w:rPr>
                <w:rFonts w:hint="eastAsia" w:ascii="宋体" w:hAnsi="宋体" w:eastAsia="宋体"/>
                <w:sz w:val="18"/>
              </w:rPr>
              <w:t>4.其他违反法律法规规章文件规定的行为。</w:t>
            </w:r>
          </w:p>
        </w:tc>
        <w:tc>
          <w:tcPr>
            <w:tcW w:w="659" w:type="dxa"/>
            <w:noWrap w:val="0"/>
            <w:vAlign w:val="center"/>
          </w:tcPr>
          <w:p>
            <w:pPr>
              <w:autoSpaceDN w:val="0"/>
              <w:spacing w:line="300" w:lineRule="exact"/>
              <w:jc w:val="center"/>
              <w:textAlignment w:val="center"/>
              <w:rPr>
                <w:rFonts w:hint="default" w:ascii="宋体" w:hAnsi="宋体" w:eastAsia="宋体" w:cs="Times New Roman"/>
                <w:kern w:val="2"/>
                <w:sz w:val="18"/>
                <w:szCs w:val="32"/>
                <w:lang w:val="en-US" w:eastAsia="zh-CN" w:bidi="ar-SA"/>
              </w:rPr>
            </w:pPr>
            <w:r>
              <w:rPr>
                <w:rFonts w:hint="eastAsia" w:ascii="仿宋_GB2312" w:hAnsi="仿宋_GB2312"/>
                <w:color w:val="000000"/>
                <w:sz w:val="24"/>
              </w:rPr>
              <w:t>1</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书宋_GBK">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D29023"/>
    <w:multiLevelType w:val="singleLevel"/>
    <w:tmpl w:val="FCD2902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60830"/>
    <w:rsid w:val="06543D2C"/>
    <w:rsid w:val="0B9104AA"/>
    <w:rsid w:val="0DC77966"/>
    <w:rsid w:val="0E391F9F"/>
    <w:rsid w:val="171239A9"/>
    <w:rsid w:val="1FCD5E4A"/>
    <w:rsid w:val="246A3290"/>
    <w:rsid w:val="281E611A"/>
    <w:rsid w:val="30125AFC"/>
    <w:rsid w:val="34761FA9"/>
    <w:rsid w:val="3771296A"/>
    <w:rsid w:val="3C9F4599"/>
    <w:rsid w:val="3CB75024"/>
    <w:rsid w:val="3FAC0383"/>
    <w:rsid w:val="4136217B"/>
    <w:rsid w:val="46145E90"/>
    <w:rsid w:val="4E263B69"/>
    <w:rsid w:val="4EF83B91"/>
    <w:rsid w:val="5FD0084D"/>
    <w:rsid w:val="63462DEA"/>
    <w:rsid w:val="65883FBB"/>
    <w:rsid w:val="67AB4D57"/>
    <w:rsid w:val="6FD60830"/>
    <w:rsid w:val="752B32FA"/>
    <w:rsid w:val="77AE321B"/>
    <w:rsid w:val="7D735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2020-12-23T01:40:00Z</dcterms:created>
  <dc:creator>Administrator</dc:creator>
  <cp:lastModifiedBy>Administratorgy0312</cp:lastModifiedBy>
  <dcterms:modified xsi:type="dcterms:W3CDTF">2025-03-17T11:58:43Z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00E7FAFE03454CA0855A3F31A490D7D3</vt:lpwstr>
  </property>
</Properties>
</file>