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sz w:val="36"/>
        </w:rPr>
      </w:pPr>
      <w:r>
        <w:rPr>
          <w:rFonts w:hint="eastAsia" w:ascii="方正小标宋简体" w:hAnsi="方正小标宋简体" w:eastAsia="方正小标宋简体"/>
          <w:sz w:val="36"/>
        </w:rPr>
        <w:t>高阳县文化广电和旅游局权责清单事项分表</w:t>
      </w:r>
    </w:p>
    <w:p>
      <w:pPr>
        <w:spacing w:line="600" w:lineRule="exact"/>
        <w:jc w:val="center"/>
        <w:rPr>
          <w:rFonts w:ascii="楷体_GB2312" w:hAnsi="楷体_GB2312" w:eastAsia="楷体_GB2312"/>
          <w:sz w:val="28"/>
        </w:rPr>
      </w:pPr>
      <w:r>
        <w:rPr>
          <w:rFonts w:hint="eastAsia" w:ascii="方正小标宋简体" w:hAnsi="方正小标宋简体" w:eastAsia="方正小标宋简体"/>
          <w:sz w:val="36"/>
        </w:rPr>
        <w:t>(共</w:t>
      </w:r>
      <w:r>
        <w:rPr>
          <w:rFonts w:hint="eastAsia" w:ascii="方正小标宋简体" w:hAnsi="方正小标宋简体" w:eastAsia="方正小标宋简体"/>
          <w:sz w:val="36"/>
          <w:lang w:val="en-US" w:eastAsia="zh-CN"/>
        </w:rPr>
        <w:t>2</w:t>
      </w:r>
      <w:r>
        <w:rPr>
          <w:rFonts w:hint="eastAsia" w:ascii="方正小标宋简体" w:hAnsi="方正小标宋简体" w:eastAsia="方正小标宋简体"/>
          <w:sz w:val="36"/>
        </w:rPr>
        <w:t>类、</w:t>
      </w:r>
      <w:r>
        <w:rPr>
          <w:rFonts w:hint="eastAsia" w:ascii="方正小标宋简体" w:hAnsi="方正小标宋简体" w:eastAsia="方正小标宋简体"/>
          <w:sz w:val="36"/>
          <w:lang w:val="en-US" w:eastAsia="zh-CN"/>
        </w:rPr>
        <w:t>46</w:t>
      </w:r>
      <w:r>
        <w:rPr>
          <w:rFonts w:hint="eastAsia" w:ascii="方正小标宋简体" w:hAnsi="方正小标宋简体" w:eastAsia="方正小标宋简体"/>
          <w:sz w:val="36"/>
        </w:rPr>
        <w:t>项)</w:t>
      </w:r>
    </w:p>
    <w:p>
      <w:pPr>
        <w:spacing w:line="600" w:lineRule="exact"/>
        <w:rPr>
          <w:rFonts w:ascii="方正小标宋简体" w:hAnsi="方正小标宋简体" w:eastAsia="方正小标宋简体"/>
          <w:sz w:val="36"/>
        </w:rPr>
      </w:pPr>
      <w:r>
        <w:rPr>
          <w:rFonts w:hint="eastAsia" w:ascii="楷体_GB2312" w:hAnsi="楷体_GB2312" w:eastAsia="楷体_GB2312"/>
          <w:sz w:val="28"/>
        </w:rPr>
        <w:t>单位：高阳县</w:t>
      </w:r>
      <w:r>
        <w:rPr>
          <w:rFonts w:hint="eastAsia" w:ascii="楷体_GB2312" w:hAnsi="楷体_GB2312" w:eastAsia="楷体_GB2312" w:cs="Arial"/>
          <w:sz w:val="28"/>
        </w:rPr>
        <w:t>文化广电和旅游局（公章）</w:t>
      </w:r>
    </w:p>
    <w:tbl>
      <w:tblPr>
        <w:tblStyle w:val="5"/>
        <w:tblW w:w="15927" w:type="dxa"/>
        <w:tblInd w:w="-6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
        <w:gridCol w:w="1425"/>
        <w:gridCol w:w="1161"/>
        <w:gridCol w:w="1944"/>
        <w:gridCol w:w="4362"/>
        <w:gridCol w:w="478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序号</w:t>
            </w:r>
          </w:p>
        </w:tc>
        <w:tc>
          <w:tcPr>
            <w:tcW w:w="765"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权力类型</w:t>
            </w:r>
          </w:p>
        </w:tc>
        <w:tc>
          <w:tcPr>
            <w:tcW w:w="1425"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权力事项</w:t>
            </w:r>
          </w:p>
        </w:tc>
        <w:tc>
          <w:tcPr>
            <w:tcW w:w="1161"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行政主体</w:t>
            </w:r>
          </w:p>
        </w:tc>
        <w:tc>
          <w:tcPr>
            <w:tcW w:w="1944"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实施依据</w:t>
            </w:r>
          </w:p>
        </w:tc>
        <w:tc>
          <w:tcPr>
            <w:tcW w:w="4362"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责任事项</w:t>
            </w:r>
          </w:p>
        </w:tc>
        <w:tc>
          <w:tcPr>
            <w:tcW w:w="4785"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追责情形</w:t>
            </w:r>
          </w:p>
        </w:tc>
        <w:tc>
          <w:tcPr>
            <w:tcW w:w="780" w:type="dxa"/>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营业性演出的处罚</w:t>
            </w:r>
          </w:p>
        </w:tc>
        <w:tc>
          <w:tcPr>
            <w:tcW w:w="1161" w:type="dxa"/>
          </w:tcPr>
          <w:p>
            <w:pP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《营业性演出管理条例》第四十三条至五十条，第五十二条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w:t>
            </w:r>
            <w:r>
              <w:rPr>
                <w:rFonts w:hint="eastAsia" w:ascii="宋体" w:hAnsi="宋体" w:eastAsia="宋体" w:cs="宋体"/>
                <w:sz w:val="18"/>
                <w:szCs w:val="18"/>
                <w:lang w:eastAsia="zh-CN"/>
              </w:rPr>
              <w:t>《营业性演出管理条例》</w:t>
            </w:r>
            <w:r>
              <w:rPr>
                <w:rFonts w:hint="eastAsia" w:ascii="宋体" w:hAnsi="宋体" w:eastAsia="宋体" w:cs="宋体"/>
                <w:sz w:val="18"/>
                <w:szCs w:val="18"/>
              </w:rPr>
              <w:t>第四十三条至第五十条、第五十二条的违法行为（或者下级文化广电和旅游部门上报或其他机关移送的违法案件等），予以审查，决定是否立案。</w:t>
            </w:r>
            <w:bookmarkStart w:id="0" w:name="_GoBack"/>
            <w:bookmarkEnd w:id="0"/>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7、执行责任：依照生效的行政处罚决定，责令改正或没收违法所得或处罚款或吊销营业性演出许可证或追究刑事责任。</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3、执法人员玩忽职守，对应当予以制止和处罚的违法行为不予制止、处罚，致使营业性演出主体的合法权益遭受损害的；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各级人民政府或者政府部门非法资助、赞助，或者非法变相资助、赞助营业性演出，或者用公款购买营业性演出门票用于个人消费的，依照有关财政违法行为处罚处分的行政法规的规定责令改正。对单位给予警告或者通报批评。对直接负责的主管人员和其他直接责任人员给予记大过处分；情节较重的，给予降级或者撤职处分；情节严重的，给予开除处分；</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12、文化主管部门、公安部门、工商行政管理部门的工作人员滥用职权、玩忽职守、徇私舞弊或者未依照本条例规定履行职责的，依法给予行政处分；构成犯罪的，依法追究刑事责任；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13、其他违反法律法规规章文件规定的行为。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互联网上网服务营业场所的处罚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《互联网上网服务营业场所管理条例》第二十七条、第二十九条至第三十二条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　《互联网上网服务营业场所管理条例》第二十七条、第二十九条至第三十二条的违法行为（或者下级文化广电和旅游部门上报或其他机关移送的违法案件等），予以审查，决定是否立案。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7、执行责任：依照生效的行政处罚决定，警告或责令停业整顿或没收违法所得或处罚款或吊销网络文化经营许可证或追究刑事责任。</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12、文化行政部门、公安机关、工商行政管理部门或者其他有关部门的工作人员，从事或者变相从事互联网上网服务经营活动的，参与或者变相参与互联网上网服务营业场所经营单位的经营活动的，依法给予降级、撤职或者开除的行政处分。 文化行政部门、公安机关、工商行政管理部门或者其他有关部门有前款所列行为的，对直接负责的主管人员和其他直接责任人员依照前款规定依法给予行政处分；</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13、其他违反法律法规规章文件规定的行为。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艺术品经营管理的处罚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　《艺术品经营管理办法》第十九条至第二十三条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1、立案责任：发现涉嫌《艺术品经营管理办法》第十九条至第二十三条的违法行为（或者下级文化广电和旅游部门上报或其他机关移送的违法案件等），予以审查，决定是否立案。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互联网文化管理的处罚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《互联网文化管理暂行规定》第二十一至二十九条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1、立案责任：发现涉嫌《互联网文化管理暂行规定》第二十一至二十九条的违法行为（或者下级文化广电和旅游部门上报或其他机关移送的违法案件等），予以审查，决定是否立案。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互联网信息服务的处罚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《互联网信息服务管理办法》第十九条至二十三条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1、立案责任：发现涉嫌《互联网信息服务管理办法》第十九条至二十三条的违法行为（或者下级文化广电和旅游部门上报或其他机关移送的违法案件等），予以审查，决定是否立案。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网络游戏的处罚</w:t>
            </w:r>
          </w:p>
        </w:tc>
        <w:tc>
          <w:tcPr>
            <w:tcW w:w="1161" w:type="dxa"/>
          </w:tcPr>
          <w:p>
            <w:pP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《网络游戏管理暂行办法》第二十九至三十五条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1、立案责任：发现涉嫌《网络游戏管理暂行办法》第二十九至三十五条的违法行为（或者下级文化广电和旅游部门上报或其他机关移送的违法案件等），予以审查，决定是否立案。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违规进行社会艺术水平考级活动的处罚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《社会艺术水平考级管理办法》第二十九条至三十三条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1、立案责任：发现涉嫌《社会艺术水平考级管理办法》第二十九条至三十三条的违法行为（或者下级文化广电和旅游部门上报或其他机关移送的违法案件等），予以审查，决定是否立案。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娱乐场所的处罚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《娱乐场所管理条例》第四十一条、第四十八条至四十九条、第五十一条，第五十三条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娱乐场所管理条例》第四十一条、第四十八条至四十九条、第五十一条，第五十三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印刷企业的处罚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《印刷业管理条例》第三十六至四十四条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1、立案责任：发现涉嫌《印刷业管理条例》第三十六至四十四条的违法行为（或者下级文化广电和旅游部门上报或其他机关移送的违法案件等），予以审查，决定是否立案。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0</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出版物市场的处罚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《出版管理条例》第六十一条至六十三条、第六十五条至六十八条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1、立案责任：发现涉嫌《出版管理条例》第六十一条至六十三条、第六十五条至六十八条的违法行为（或者下级文化广电和旅游部门上报或其他机关移送的违法案件等），予以审查，决定是否立案。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1</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著作权的处罚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《中华人民共和国著作权法》第四十八条、《计算机软件保护条例》第二十四条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著作权法》第四十八条、《计算机软件保护条例》第二十四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2</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旅行社违规行为的处罚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中华人民共和国旅游法》第九十五至一百零一条、《旅行社条例》第四十六至六十三条《中国公民出国旅游管理办法》第二十四、二十五条、二十七至三十条，《河北省旅游条例》第五十二条、五十四条，《旅行社条例实施细则》第五十七至六十五条《旅行社责任保险管理办法》第二十八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旅游法》第九十五至一百零一条、《旅行社条例》第四十六至六十三条《中国公民出国旅游管理办法》第二十四、二十五条、二十七至三十条，《河北省旅游条例》第五十二条、五十四条，《旅行社条例实施细则》第五十七至六十五条《旅行社责任保险管理办法》第二十八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3</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旅游从业者违规行为的处罚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《中华人民共和国旅游法》第一百零二条，《旅行社条例》第四十六条、六十三条《导游人员管理条例》第二十条《中国公民出国旅游管理办法》第三十一条，《旅行社条例实施细则》第五十八条、六十四条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旅游法》第一百零二条，《旅行社条例》第四十六条、六十三条《导游人员管理条例》第二十条《中国公民出国旅游管理办法》第三十一条，《旅行社条例实施细则》第五十八条、六十四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4</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旅游经营者违规行为的处罚</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《中华人民共和国旅游法》第一百零四、一百零七、一百零八条，《中国公民出国旅游管理办法》第二十六条，《河北省旅游条例》第五十三条，《旅行社条例实施细则》第五十八条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旅游法》第一百零四、一百零七、一百零八条，《中国公民出国旅游管理办法》第二十六条，《河北省旅游条例》第五十三条，《旅行社条例实施细则》第五十八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5</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擅自在文物保护单位的保护范围内进行建设工程或者爆破、钻探、挖掘等作业的处罚</w:t>
            </w:r>
          </w:p>
        </w:tc>
        <w:tc>
          <w:tcPr>
            <w:tcW w:w="1161" w:type="dxa"/>
            <w:tcBorders>
              <w:bottom w:val="single" w:color="auto" w:sz="4" w:space="0"/>
            </w:tcBorders>
          </w:tcPr>
          <w:p>
            <w:pP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hint="eastAsia" w:ascii="宋体" w:hAnsi="宋体" w:eastAsia="宋体" w:cs="宋体"/>
                <w:sz w:val="18"/>
                <w:szCs w:val="18"/>
              </w:rPr>
            </w:pPr>
            <w:r>
              <w:rPr>
                <w:rFonts w:hint="eastAsia" w:ascii="宋体" w:hAnsi="宋体" w:eastAsia="宋体" w:cs="宋体"/>
                <w:sz w:val="18"/>
                <w:szCs w:val="18"/>
              </w:rPr>
              <w:t>《中华人民共和国文物保护法》第六十六条第一款第（一）项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1、立案责任：发现涉嫌《中华人民共和国文物保护法》第六十六条第一款第（一）项的违法行为（或者下级文化广电和旅游部门上报或其他机关移送的违法案件等），予以审查，决定是否立案。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6</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在文物保护单位的建设控制地带内进行建设工程，其工程设计方案未经文物行政部门同意、报城乡建设规划部门批准，对文物保护单位的历史风貌造成破坏的处罚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《中华人民共和国文物保护法》第六十六条第一款第（二）项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1、立案责任：发现涉嫌《中华人民共和国文物保护法》第六十六条第一款第（二）项的违法行为（或者下级文化广电和旅游部门上报或其他机关移送的违法案件等），予以审查，决定是否立案。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7</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擅自迁移、拆除不可移动文物的处罚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《中华人民共和国文物保护法》第六十六条第一款第（三）项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1、立案责任：发现涉嫌《中华人民共和国文物保护法》第六十六条第一款第（三）项的违法行为（或者下级文化广电和旅游部门上报或其他机关移送的违法案件等），予以审查，决定是否立案。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8</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擅自修缮不可移动文物，明显改变文物原状的处罚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《中华人民共和国文物保护法》第六十六条第一款第（四）项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1、立案责任：发现涉嫌《中华人民共和国文物保护法》第六十六条第一款第（四）项的违法行为（或者下级文化广电和旅游部门上报或其他机关移送的违法案件等），予以审查，决定是否立案。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19</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擅自在原址重建已全部毁坏的不可移动文物，造成文物破坏的处罚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《中华人民共和国文物保护法》第六十六条第一款第（五）项</w:t>
            </w:r>
          </w:p>
        </w:tc>
        <w:tc>
          <w:tcPr>
            <w:tcW w:w="4362" w:type="dxa"/>
            <w:tcBorders>
              <w:bottom w:val="single" w:color="auto" w:sz="4" w:space="0"/>
            </w:tcBorders>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1、立案责任：发现涉嫌《中华人民共和国文物保护法》第六十六条第一款第（五）项的违法行为（或者下级文化广电和旅游部门上报或其他机关移送的违法案件等），予以审查，决定是否立案。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施工单位未取得文物保护工程资质证书，擅自从事文物修缮、迁移、重建的处罚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《中华人民共和国文物保护法》第六十六条第一款第（六）项</w:t>
            </w:r>
          </w:p>
        </w:tc>
        <w:tc>
          <w:tcPr>
            <w:tcW w:w="4362" w:type="dxa"/>
            <w:tcBorders>
              <w:top w:val="single" w:color="auto" w:sz="4" w:space="0"/>
            </w:tcBorders>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1、立案责任：发现涉嫌《中华人民共和国文物保护法》第六十六条第一款第（六）项的违法行为（或者下级文化广电和旅游部门上报或其他机关移送的违法案件等），予以审查，决定是否立案。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1</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擅自改变国有文物保护单位的用途的处罚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《中华人民共和国文物保护法》第六十八条第（三）项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1、立案责任：发现涉嫌《中华人民共和国文物保护法》第六十八条第（三）项的违法行为（或者下级文化广电和旅游部门上报或其他机关移送的违法案件等），予以审查，决定是否立案。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2</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文物收藏单位未按照国家有关规定配备防火、防盗、防自然损坏的设施的处罚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《中华人民共和国文物保护法》第七十条第（一）项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1、立案责任：发现涉嫌《中华人民共和国文物保护法》第七十条第（一）项的违法行为（或者下级文化广电和旅游部门上报或其他机关移送的违法案件等），予以审查，决定是否立案。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3</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国有文物收藏单位法定代表人离任时未按照馆藏文物档案移交馆藏文物，或者所移交的馆藏文物与馆藏文物档案不符的处罚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《中华人民共和国文物保护法》第七十条第（二）项</w:t>
            </w:r>
          </w:p>
        </w:tc>
        <w:tc>
          <w:tcPr>
            <w:tcW w:w="4362" w:type="dxa"/>
            <w:tcBorders>
              <w:bottom w:val="single" w:color="auto" w:sz="4" w:space="0"/>
            </w:tcBorders>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1、立案责任：发现涉嫌《中华人民共和国文物保护法》第七十条第（二）项的违法行为（或者下级文化广电和旅游部门上报或其他机关移送的违法案件等），予以审查，决定是否立案。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4</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发现文物隐匿不报或者拒不上交的处罚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《中华人民共和国文物保护法》第七十四条第（一）项</w:t>
            </w:r>
          </w:p>
        </w:tc>
        <w:tc>
          <w:tcPr>
            <w:tcW w:w="4362" w:type="dxa"/>
            <w:tcBorders>
              <w:top w:val="single" w:color="auto" w:sz="4" w:space="0"/>
            </w:tcBorders>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1、立案责任：发现涉嫌《中华人民共和国文物保护法》第七十四条第（一）项的违法行为（或者下级文化广电和旅游部门上报或其他机关移送的违法案件等），予以审查，决定是否立案。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5</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未按照规定移交拣选文物的处罚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《中华人民共和国文物保护法》第七十四条第（二）项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1、立案责任：发现涉嫌《中华人民共和国文物保护法》第七十四条第（二）项的违法行为（或者下级文化广电和旅游部门上报或其他机关移送的违法案件等），予以审查，决定是否立案。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6</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改变国有未核定为文物保护单位的不可移动文物的用途，未依照本法规定报告的处罚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《中华人民共和国文物保护法》第七十五条第（一）项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1、立案责任：发现涉嫌《中华人民共和国文物保护法》第七十五条第（一）项的违法行为（或者下级文化广电和旅游部门上报或其他机关移送的违法案件等），予以审查，决定是否立案。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7</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转让、抵押非国有不可移动文物或者改变其用途，未依照本法规定备案的处罚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《中华人民共和国文物保护法》第七十五条第（二）项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1、立案责任：发现涉嫌《中华人民共和国文物保护法》第七十五条第（二）项的违法行为（或者下级文化广电和旅游部门上报或其他机关移送的违法案件等），予以审查，决定是否立案。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8</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国有不可移动文物的使用人拒不依法履行修缮义务的处罚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《中华人民共和国文物保护法》第七十五条第（三）项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1、立案责任：发现涉嫌《中华人民共和国文物保护法》第七十五条第（三）项的违法行为（或者下级文化广电和旅游部门上报或其他机关移送的违法案件等），予以审查，决定是否立案。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考古发掘单位未经批准擅自进行考古发掘，或者不如实报告考古发掘结果的处罚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《中华人民共和国文物保护法》第七十五条第（四）项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1、立案责任：发现涉嫌《中华人民共和国文物保护法》第七十五条第（四）项的违法行为（或者下级文化广电和旅游部门上报或其他机关移送的违法案件等），予以审查，决定是否立案。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0</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文物收藏单位未按照国家有关规定建立馆藏文物档案、管理制度，或者未将馆藏文物档案、管理制度备案的处罚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《中华人民共和国文物保护法》第七十五条第（五）项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1、立案责任：发现涉嫌《中华人民共和国文物保护法》第七十五条第（五）项的违法行为（或者下级文化广电和旅游部门上报或其他机关移送的违法案件等），予以审查，决定是否立案。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1</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违反本法第三十八条规定，未经批准擅自调取馆藏文物的处罚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《中华人民共和国文物保护法》第七十五条第（六）项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1、立案责任：发现涉嫌《中华人民共和国文物保护法》第七十五条第（六）项的违法行为（或者下级文化广电和旅游部门上报或其他机关移送的违法案件等），予以审查，决定是否立案。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2</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馆藏文物损毁未报文物行政部门核查处理，或者馆藏文物被盗、被抢或者丢失，文物收藏单位未及时向公安机关或者文物行政部门报告的处罚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《中华人民共和国文物保护法》第七十五条第（七）项</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1、立案责任：发现涉嫌《中华人民共和国文物保护法》第七十五条第（七）项的违法行为（或者下级文化广电和旅游部门上报或其他机关移送的违法案件等），予以审查，决定是否立案。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8"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3</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对擅自设立广播电台、电视台、教育电视台、有线广播电视传输覆盖网、广播电视站的；对擅自设立广播电视发射台、转播台、微波站、卫星上行站的处罚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hint="eastAsia" w:ascii="宋体" w:hAnsi="宋体" w:eastAsia="宋体" w:cs="宋体"/>
                <w:sz w:val="18"/>
                <w:szCs w:val="18"/>
              </w:rPr>
            </w:pPr>
            <w:r>
              <w:rPr>
                <w:rFonts w:hint="eastAsia" w:ascii="宋体" w:hAnsi="宋体" w:eastAsia="宋体" w:cs="宋体"/>
                <w:sz w:val="18"/>
                <w:szCs w:val="18"/>
              </w:rPr>
              <w:t>《广播电视管理条例》第四十七条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1、立案责任：发现涉嫌《广播电视管理条例》第四十七条的违法行为（或者下级文化广电和旅游部门上报或其他机关移送的违法案件等），予以审查，决定是否立案。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4</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对擅自设立广播电视节目制作经营单位或者擅自制作电视剧及其他广播电视节目的处罚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《广播电视管理条例》第四十八条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1、立案责任：发现涉嫌《广播电视管理条例》第四十八条的违法行为（或者下级文化广电和旅游部门上报或其他机关移送的违法案件等），予以审查，决定是否立案。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5</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对制作、播放、向境外提供含有本条例第三十二条规定禁止内容的节目的处罚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nil"/>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《广播电视管理条例》第四十九条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1、立案责任：发现涉嫌《广播电视管理条例》第四十九条的违法行为（或者下级文化广电和旅游部门上报或其他机关移送的违法案件等），予以审查，决定是否立案。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6</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对(一)未经批准，擅自变更台名、台标、节目设置范围或者节目套数的；(二)出租、转让播出时段的；(三)转播、播放广播电视节目违反规定的； (四)播放境外广播电视节目或者广告的时间超出规定的；(五)播放未取得广播电视节目制作经营许可的单位制作的广播电视节目或者未取得电视剧制作许可的单位制作的电视剧的；(六)播放未经批准的境外电影、电视剧和其他广播电视节目的；(七)教育电视台播放本条例第四十四条规定禁止播放的节目的；(八)未经批准，擅自举办广播电视节目交流、交易活动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《广播电视管理条例》第五十条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1、立案责任：发现涉嫌《广播电视管理条例》第五十条的违法行为（或者下级文化广电和旅游部门上报或其他机关移送的违法案件等），予以审查，决定是否立案。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7</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出租、转让频率、频段，擅自变更广播电视发射台、转播台技术参数的；广播电视发射台、转播台擅自播放自办节目、插播广告的；未经批准，擅自利用卫星方式传输广播电视节目的；未经批准，擅自以卫星等传输方式进口、转播境外广播电视节目的；未经批准，擅自利用有线广播电视传输覆盖网播放节目的；未经批准，擅自进行广播电视传输覆盖网的工程选址、设计、施工、安装的；侵占、干扰广播电视专用频率，擅自截传、干扰、解扰广播电视信号的处罚</w:t>
            </w:r>
          </w:p>
        </w:tc>
        <w:tc>
          <w:tcPr>
            <w:tcW w:w="1161" w:type="dxa"/>
            <w:tcBorders>
              <w:bottom w:val="single" w:color="auto" w:sz="4" w:space="0"/>
            </w:tcBorders>
          </w:tcPr>
          <w:p>
            <w:pP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hint="eastAsia" w:ascii="宋体" w:hAnsi="宋体" w:eastAsia="宋体" w:cs="宋体"/>
                <w:sz w:val="18"/>
                <w:szCs w:val="18"/>
              </w:rPr>
            </w:pPr>
            <w:r>
              <w:rPr>
                <w:rFonts w:hint="eastAsia" w:ascii="宋体" w:hAnsi="宋体" w:eastAsia="宋体" w:cs="宋体"/>
                <w:sz w:val="18"/>
                <w:szCs w:val="18"/>
              </w:rPr>
              <w:t>《广播电视管理条例》第五十一条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1、立案责任：发现涉嫌《广播电视管理条例》第五十一条的违法行为（或者下级文化广电和旅游部门上报或其他机关移送的违法案件等），予以审查，决定是否立案。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8</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危害广播电台、电视台安全播出的，破坏广播电视设施的处罚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《广播电视管理条例》第五十二条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1、立案责任：发现涉嫌《广播电视管理条例》第五十二条的违法行为（或者下级文化广电和旅游部门上报或其他机关移送的违法案件等），予以审查，决定是否立案。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39</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一)对违反本办法第八条、第九条、第十条或者第十一条的规定的有线电视台、有线电视站，(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三)对违反本办法第七条的规定未获有线电视台或者有线电视站、共用天线系统设计(安装)许可证，私自承揽有线电视台、有线电视站或者共用天线系统设计、安装任务的处罚</w:t>
            </w:r>
          </w:p>
        </w:tc>
        <w:tc>
          <w:tcPr>
            <w:tcW w:w="1161" w:type="dxa"/>
            <w:tcBorders>
              <w:bottom w:val="single" w:color="auto" w:sz="4" w:space="0"/>
            </w:tcBorders>
          </w:tcPr>
          <w:p>
            <w:pP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《有线电视管理暂行办法》第十五条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1、立案责任：发现涉嫌《有线电视管理暂行办法》第十五条的违法行为（或者下级文化广电和旅游部门上报或其他机关移送的违法案件等），予以审查，决定是否立案。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0</w:t>
            </w:r>
          </w:p>
        </w:tc>
        <w:tc>
          <w:tcPr>
            <w:tcW w:w="765" w:type="dxa"/>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对广播电视广告的处罚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rPr>
                <w:rFonts w:hint="eastAsia" w:ascii="宋体" w:hAnsi="宋体" w:eastAsia="宋体" w:cs="宋体"/>
                <w:sz w:val="18"/>
                <w:szCs w:val="18"/>
              </w:rPr>
            </w:pPr>
            <w:r>
              <w:rPr>
                <w:rFonts w:hint="eastAsia" w:ascii="宋体" w:hAnsi="宋体" w:eastAsia="宋体" w:cs="宋体"/>
                <w:sz w:val="18"/>
                <w:szCs w:val="18"/>
              </w:rPr>
              <w:t>《广播电视广告播出管理办法》第四十条至四十二条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1、立案责任：发现涉嫌《广播电视广告播出管理办法》第四十条至四十二条的违法行为（或者下级文化广电和旅游部门上报或其他机关移送的违法案件等），予以审查，决定是否立案。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1</w:t>
            </w:r>
          </w:p>
        </w:tc>
        <w:tc>
          <w:tcPr>
            <w:tcW w:w="765"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nil"/>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对电影院的处罚</w:t>
            </w:r>
          </w:p>
        </w:tc>
        <w:tc>
          <w:tcPr>
            <w:tcW w:w="1161" w:type="dxa"/>
            <w:tcBorders>
              <w:bottom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bottom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《中华人民共和国电影产业促进法》第五十一条至五十六条、第六十条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1、立案责任：发现涉嫌《中华人民共和国电影产业促进法》第五十一条至五十六条、第六十条的违法行为（或者下级文化广电和旅游部门上报或其他机关移送的违法案件等），予以审查，决定是否立案。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2</w:t>
            </w:r>
          </w:p>
        </w:tc>
        <w:tc>
          <w:tcPr>
            <w:tcW w:w="765"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对专网及定向传播视听节目服务的处罚</w:t>
            </w:r>
          </w:p>
        </w:tc>
        <w:tc>
          <w:tcPr>
            <w:tcW w:w="1161" w:type="dxa"/>
            <w:tcBorders>
              <w:top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tcBorders>
              <w:top w:val="single" w:color="auto" w:sz="4" w:space="0"/>
            </w:tcBorders>
            <w:vAlign w:val="center"/>
          </w:tcPr>
          <w:p>
            <w:pPr>
              <w:tabs>
                <w:tab w:val="left" w:pos="7937"/>
              </w:tabs>
              <w:spacing w:line="200" w:lineRule="exact"/>
              <w:jc w:val="center"/>
              <w:rPr>
                <w:rFonts w:hint="eastAsia" w:ascii="宋体" w:hAnsi="宋体" w:eastAsia="宋体" w:cs="宋体"/>
                <w:sz w:val="18"/>
                <w:szCs w:val="18"/>
              </w:rPr>
            </w:pPr>
            <w:r>
              <w:rPr>
                <w:rFonts w:hint="eastAsia" w:ascii="宋体" w:hAnsi="宋体" w:eastAsia="宋体" w:cs="宋体"/>
                <w:sz w:val="18"/>
                <w:szCs w:val="18"/>
              </w:rPr>
              <w:t>《专网及定向传播视听节目服务管理规定》第二十五条至二十九条</w:t>
            </w:r>
          </w:p>
        </w:tc>
        <w:tc>
          <w:tcPr>
            <w:tcW w:w="4362" w:type="dxa"/>
            <w:vAlign w:val="center"/>
          </w:tcPr>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1、立案责任：发现涉嫌《专网及定向传播视听节目服务管理规定》第二十五条至二十九条的违法行为（或者下级文化广电和旅游部门上报或其他机关移送的违法案件等），予以审查，决定是否立案。</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4785"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80" w:type="dxa"/>
            <w:vAlign w:val="center"/>
          </w:tcPr>
          <w:p>
            <w:pPr>
              <w:tabs>
                <w:tab w:val="left" w:pos="7937"/>
              </w:tabs>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3</w:t>
            </w:r>
          </w:p>
        </w:tc>
        <w:tc>
          <w:tcPr>
            <w:tcW w:w="76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行政强制</w:t>
            </w:r>
          </w:p>
        </w:tc>
        <w:tc>
          <w:tcPr>
            <w:tcW w:w="142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先行登记保存证据</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lang w:eastAsia="zh-CN"/>
              </w:rPr>
              <w:t>《中华人民共和国行政处罚法》</w:t>
            </w:r>
            <w:r>
              <w:rPr>
                <w:rFonts w:hint="eastAsia" w:ascii="宋体" w:hAnsi="宋体" w:eastAsia="宋体" w:cs="宋体"/>
                <w:sz w:val="18"/>
                <w:szCs w:val="18"/>
              </w:rPr>
              <w:t>第三十七条</w:t>
            </w:r>
          </w:p>
        </w:tc>
        <w:tc>
          <w:tcPr>
            <w:tcW w:w="4362" w:type="dxa"/>
            <w:vAlign w:val="center"/>
          </w:tcPr>
          <w:p>
            <w:pPr>
              <w:numPr>
                <w:ilvl w:val="0"/>
                <w:numId w:val="1"/>
              </w:numPr>
              <w:spacing w:line="200" w:lineRule="exact"/>
              <w:jc w:val="left"/>
              <w:rPr>
                <w:rFonts w:hint="eastAsia" w:ascii="宋体" w:hAnsi="宋体" w:eastAsia="宋体" w:cs="宋体"/>
                <w:sz w:val="18"/>
                <w:szCs w:val="18"/>
              </w:rPr>
            </w:pPr>
            <w:r>
              <w:rPr>
                <w:rFonts w:hint="eastAsia" w:ascii="宋体" w:hAnsi="宋体" w:eastAsia="宋体" w:cs="宋体"/>
                <w:sz w:val="18"/>
                <w:szCs w:val="18"/>
              </w:rPr>
              <w:t>告知责任：当场告知当事人采取强制措施的理由、依据以及当事人依法享有的权利、救济途径。2.听取陈述和申辩责任：听取当事人的陈述和申辩，制作现场笔录，现场笔录由当事人（见证人）和行政执法人员签名或者盖章.当事人拒绝签名或者盖章的，在笔录中予以注明.3.决定责任：在收集证据时，可以采取抽样取证的方法；在证据可能灭失或者以后难以取得的情况下，经行政机关负责人批准，可以先行登记保存，并应当在七日内及时作出处理决定，在此期间，当事人或者有关人员不得销毁或者转移证据。4.送达责任：现场笔录由当事人和行政执法人员签名或者盖章，当事人拒绝的，在笔录中予以注明。5.执行责任：在证据可能灭失或者以后难以取得的情况下，经公安机关办案部门负责人批准，可以先行登记保存。6.监管责任：对违法实施先行登记保存证据的行为监督检查。7.其他法律法规规章文件规定应履行的其他责任。</w:t>
            </w:r>
          </w:p>
        </w:tc>
        <w:tc>
          <w:tcPr>
            <w:tcW w:w="4785"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1、对不符合条件的实施行政强制的；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2、行政机关违法实行检查措施或者执行措施，给公民人身或者财产造成损害、给法人或者其他组织造成损失的；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3、违反法定权限、程序实施行政强制的；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4、在行使行政强制权过程中发生腐败行为的；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5、其他违反法律法规规章文件规定的行为。</w:t>
            </w:r>
          </w:p>
        </w:tc>
        <w:tc>
          <w:tcPr>
            <w:tcW w:w="780" w:type="dxa"/>
            <w:vAlign w:val="center"/>
          </w:tcPr>
          <w:p>
            <w:pPr>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4</w:t>
            </w:r>
          </w:p>
        </w:tc>
        <w:tc>
          <w:tcPr>
            <w:tcW w:w="76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行政强制</w:t>
            </w:r>
          </w:p>
        </w:tc>
        <w:tc>
          <w:tcPr>
            <w:tcW w:w="142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加处罚款</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lang w:eastAsia="zh-CN"/>
              </w:rPr>
              <w:t>《中华人民共和国行政处罚法》</w:t>
            </w:r>
            <w:r>
              <w:rPr>
                <w:rFonts w:hint="eastAsia" w:ascii="宋体" w:hAnsi="宋体" w:eastAsia="宋体" w:cs="宋体"/>
                <w:sz w:val="18"/>
                <w:szCs w:val="18"/>
              </w:rPr>
              <w:t>第五十一条</w:t>
            </w:r>
            <w:r>
              <w:rPr>
                <w:rFonts w:hint="eastAsia" w:ascii="宋体" w:hAnsi="宋体" w:eastAsia="宋体" w:cs="宋体"/>
                <w:sz w:val="18"/>
                <w:szCs w:val="18"/>
                <w:lang w:eastAsia="zh-CN"/>
              </w:rPr>
              <w:t>《中华人民共和国行政强制法》</w:t>
            </w:r>
            <w:r>
              <w:rPr>
                <w:rFonts w:hint="eastAsia" w:ascii="宋体" w:hAnsi="宋体" w:eastAsia="宋体" w:cs="宋体"/>
                <w:sz w:val="18"/>
                <w:szCs w:val="18"/>
              </w:rPr>
              <w:t xml:space="preserve">第四十五条  </w:t>
            </w:r>
          </w:p>
        </w:tc>
        <w:tc>
          <w:tcPr>
            <w:tcW w:w="4362"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2.听取陈述和申辩责任：听取当事人的陈述和申辩，制作现场笔录，现场笔录由当事人（见证人）和行政执法人员签名或者盖章.当事人拒绝签名或者盖章的，在笔录中予以注明。3.决定责任：充分听取当事人提出的事实、理由和证据，进行记录和复核，无正当理由的，向本行政机关负责人报告，经批准作出强制执行决定，送达行政强制执行决定书。4.执行责任：采取行政强制执行，对经检验、检查发现有当事人逾期不履行行政处罚决定的采取强制措施。5.监管责任：对违法加处罚款的行为进行监督检查。6.其他法律法规规章文件规定应履行的责任。</w:t>
            </w:r>
          </w:p>
        </w:tc>
        <w:tc>
          <w:tcPr>
            <w:tcW w:w="4785"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1、对不符合条件的实施行政强制的；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2、行政机关违法实行检查措施或者执行措施，给公民人身或者财产造成损害、给法人或者其他组织造成损失的；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3、违反法定权限、程序实施行政强制的；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4、在行使行政强制权过程中发生腐败行为的；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5、其他违反法律法规规章文件规定的行为。</w:t>
            </w:r>
          </w:p>
        </w:tc>
        <w:tc>
          <w:tcPr>
            <w:tcW w:w="780" w:type="dxa"/>
            <w:vAlign w:val="center"/>
          </w:tcPr>
          <w:p>
            <w:pPr>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5</w:t>
            </w:r>
          </w:p>
        </w:tc>
        <w:tc>
          <w:tcPr>
            <w:tcW w:w="76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行政强制</w:t>
            </w:r>
          </w:p>
        </w:tc>
        <w:tc>
          <w:tcPr>
            <w:tcW w:w="142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责令停业整顿</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《中华人民共和国旅游法》第九十五至九十七、九十九、一百、一百零一条、一百零五条，《旅行社条例》第四十七、五十五、五十六、六十二、六十三条　</w:t>
            </w:r>
          </w:p>
        </w:tc>
        <w:tc>
          <w:tcPr>
            <w:tcW w:w="4362"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决定责任：行政管理部门依法对当事人违反法律法规规章等规定的行为实施行政处罚时，应当责令当事人改正或者限期改正违法行为。2.执行责任：对依法作出责令当事人改正或限期改正违法行为行政决定后，当事人在行政机关决定期限内不履行义务的，行政管理部门按照责权权限和程序，依照行政强制法规定强制执行。3.其他法律法规规章文件规定应履行的责任。</w:t>
            </w:r>
          </w:p>
        </w:tc>
        <w:tc>
          <w:tcPr>
            <w:tcW w:w="4785"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1、对不符合条件的实施行政强制的；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2、行政机关违法实行检查措施或者执行措施，给公民人身或者财产造成损害、给法人或者其他组织造成损失的；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3、违反法定权限、程序实施行政强制的；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4、在行使行政强制权过程中发生腐败行为的；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5、其他违反法律法规规章文件规定的行为。</w:t>
            </w:r>
          </w:p>
        </w:tc>
        <w:tc>
          <w:tcPr>
            <w:tcW w:w="780" w:type="dxa"/>
            <w:vAlign w:val="center"/>
          </w:tcPr>
          <w:p>
            <w:pPr>
              <w:spacing w:line="2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705" w:type="dxa"/>
            <w:vAlign w:val="center"/>
          </w:tcPr>
          <w:p>
            <w:pPr>
              <w:spacing w:line="2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6</w:t>
            </w:r>
          </w:p>
        </w:tc>
        <w:tc>
          <w:tcPr>
            <w:tcW w:w="76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行政强制</w:t>
            </w:r>
          </w:p>
        </w:tc>
        <w:tc>
          <w:tcPr>
            <w:tcW w:w="1425"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旅行社服务质量保证金扣划</w:t>
            </w:r>
          </w:p>
        </w:tc>
        <w:tc>
          <w:tcPr>
            <w:tcW w:w="11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高阳县文化广电和旅游局</w:t>
            </w:r>
          </w:p>
        </w:tc>
        <w:tc>
          <w:tcPr>
            <w:tcW w:w="1944"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《旅行社条例》第十五条，《旅行社条例实施细则》第四十九条</w:t>
            </w:r>
          </w:p>
        </w:tc>
        <w:tc>
          <w:tcPr>
            <w:tcW w:w="4362"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催告责任：行政机关作出行政强制决定前，应当事先书面催告当事人履行义务。2、决定责任：经催告，当事人逾期仍不履行，且无正当理由的，行政机关可以书面作出行政强制决定。3、执行责任：无行政强制执行权的行政机关可以自期限届满之日起三个月内申请人民法院强制执行。4、其他法律法规规章文件规定应履行的责任。</w:t>
            </w:r>
          </w:p>
        </w:tc>
        <w:tc>
          <w:tcPr>
            <w:tcW w:w="4785" w:type="dxa"/>
            <w:vAlign w:val="center"/>
          </w:tcPr>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1、对不符合条件的实施行政强制的；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2、行政机关违法实行检查措施或者执行措施，给公民人身或者财产造成损害、给法人或者其他组织造成损失的；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3、违反法定权限、程序实施行政强制的；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4、在行使行政强制权过程中发生腐败行为的；</w:t>
            </w:r>
          </w:p>
          <w:p>
            <w:pPr>
              <w:spacing w:line="200" w:lineRule="exact"/>
              <w:jc w:val="left"/>
              <w:rPr>
                <w:rFonts w:hint="eastAsia" w:ascii="宋体" w:hAnsi="宋体" w:eastAsia="宋体" w:cs="宋体"/>
                <w:sz w:val="18"/>
                <w:szCs w:val="18"/>
              </w:rPr>
            </w:pPr>
            <w:r>
              <w:rPr>
                <w:rFonts w:hint="eastAsia" w:ascii="宋体" w:hAnsi="宋体" w:eastAsia="宋体" w:cs="宋体"/>
                <w:sz w:val="18"/>
                <w:szCs w:val="18"/>
              </w:rPr>
              <w:t>5、其他违反法律法规规章文件规定的行为。</w:t>
            </w:r>
          </w:p>
        </w:tc>
        <w:tc>
          <w:tcPr>
            <w:tcW w:w="780" w:type="dxa"/>
            <w:vAlign w:val="center"/>
          </w:tcPr>
          <w:p>
            <w:pPr>
              <w:spacing w:line="200" w:lineRule="exact"/>
              <w:jc w:val="center"/>
              <w:rPr>
                <w:rFonts w:hint="eastAsia" w:ascii="宋体" w:hAnsi="宋体" w:eastAsia="宋体" w:cs="宋体"/>
                <w:sz w:val="18"/>
                <w:szCs w:val="18"/>
              </w:rPr>
            </w:pPr>
          </w:p>
        </w:tc>
      </w:tr>
    </w:tbl>
    <w:p>
      <w:pPr>
        <w:rPr>
          <w:rFonts w:hint="eastAsia" w:ascii="宋体" w:hAnsi="宋体" w:eastAsia="宋体" w:cs="宋体"/>
          <w:sz w:val="18"/>
          <w:szCs w:val="18"/>
        </w:rPr>
      </w:pPr>
    </w:p>
    <w:p>
      <w:pPr>
        <w:rPr>
          <w:rFonts w:hint="eastAsia" w:ascii="宋体" w:hAnsi="宋体" w:eastAsia="宋体" w:cs="宋体"/>
          <w:sz w:val="18"/>
          <w:szCs w:val="18"/>
        </w:rPr>
      </w:pP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9536F1"/>
    <w:multiLevelType w:val="singleLevel"/>
    <w:tmpl w:val="9E9536F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390E5F"/>
    <w:rsid w:val="00064A99"/>
    <w:rsid w:val="00090DEC"/>
    <w:rsid w:val="00235129"/>
    <w:rsid w:val="00290D38"/>
    <w:rsid w:val="002A4AFB"/>
    <w:rsid w:val="002F0087"/>
    <w:rsid w:val="003C58D5"/>
    <w:rsid w:val="00450FA6"/>
    <w:rsid w:val="004830A5"/>
    <w:rsid w:val="004E19C5"/>
    <w:rsid w:val="00533134"/>
    <w:rsid w:val="005433ED"/>
    <w:rsid w:val="005E0EBB"/>
    <w:rsid w:val="006307A1"/>
    <w:rsid w:val="006C27D4"/>
    <w:rsid w:val="00761A93"/>
    <w:rsid w:val="007B694D"/>
    <w:rsid w:val="0082793E"/>
    <w:rsid w:val="00832344"/>
    <w:rsid w:val="00935C8E"/>
    <w:rsid w:val="0095775A"/>
    <w:rsid w:val="009A7744"/>
    <w:rsid w:val="00A02845"/>
    <w:rsid w:val="00A20103"/>
    <w:rsid w:val="00A95E5A"/>
    <w:rsid w:val="00CA4B32"/>
    <w:rsid w:val="00E12D6D"/>
    <w:rsid w:val="03231E82"/>
    <w:rsid w:val="053A377D"/>
    <w:rsid w:val="067B20C8"/>
    <w:rsid w:val="07CA727F"/>
    <w:rsid w:val="097E1606"/>
    <w:rsid w:val="0C7358BB"/>
    <w:rsid w:val="0D0927C9"/>
    <w:rsid w:val="15460EA4"/>
    <w:rsid w:val="16377E58"/>
    <w:rsid w:val="192F20BD"/>
    <w:rsid w:val="1AA71BFB"/>
    <w:rsid w:val="234A4F0A"/>
    <w:rsid w:val="347C1774"/>
    <w:rsid w:val="360A7397"/>
    <w:rsid w:val="371A0F25"/>
    <w:rsid w:val="38875C8B"/>
    <w:rsid w:val="403B1D91"/>
    <w:rsid w:val="446F7618"/>
    <w:rsid w:val="455C6CF3"/>
    <w:rsid w:val="48390E5F"/>
    <w:rsid w:val="4D2320B0"/>
    <w:rsid w:val="4FF0741E"/>
    <w:rsid w:val="58CC3FFC"/>
    <w:rsid w:val="5AA33AA8"/>
    <w:rsid w:val="5B041829"/>
    <w:rsid w:val="5E1070C9"/>
    <w:rsid w:val="5EF27EB5"/>
    <w:rsid w:val="62080CC1"/>
    <w:rsid w:val="640C72F8"/>
    <w:rsid w:val="666877FF"/>
    <w:rsid w:val="6B83204B"/>
    <w:rsid w:val="7C3D2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table" w:styleId="6">
    <w:name w:val="Table Grid"/>
    <w:basedOn w:val="5"/>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qFormat/>
    <w:uiPriority w:val="0"/>
    <w:rPr>
      <w:rFonts w:eastAsia="仿宋_GB2312" w:cstheme="minorBidi"/>
      <w:kern w:val="2"/>
      <w:sz w:val="18"/>
      <w:szCs w:val="18"/>
    </w:rPr>
  </w:style>
  <w:style w:type="character" w:customStyle="1" w:styleId="9">
    <w:name w:val="页脚 Char"/>
    <w:basedOn w:val="7"/>
    <w:link w:val="2"/>
    <w:qFormat/>
    <w:uiPriority w:val="0"/>
    <w:rPr>
      <w:rFonts w:eastAsia="仿宋_GB2312" w:cstheme="minorBidi"/>
      <w:kern w:val="2"/>
      <w:sz w:val="18"/>
      <w:szCs w:val="18"/>
    </w:rPr>
  </w:style>
  <w:style w:type="character" w:customStyle="1" w:styleId="10">
    <w:name w:val="hyper-link2"/>
    <w:basedOn w:val="7"/>
    <w:qFormat/>
    <w:uiPriority w:val="0"/>
    <w:rPr>
      <w:b/>
      <w:bCs/>
      <w:color w:val="2E5AA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7062</Words>
  <Characters>40260</Characters>
  <Lines>335</Lines>
  <Paragraphs>94</Paragraphs>
  <TotalTime>84</TotalTime>
  <ScaleCrop>false</ScaleCrop>
  <LinksUpToDate>false</LinksUpToDate>
  <CharactersWithSpaces>47228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2020-11-10T02:37:00Z</dcterms:created>
  <dc:creator>WPS_1598950961</dc:creator>
  <cp:lastModifiedBy>Administratorgy0312</cp:lastModifiedBy>
  <dcterms:modified xsi:type="dcterms:W3CDTF">2025-02-18T13:25:38Z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1D91F93C78AB40059B3872C85EDFF022</vt:lpwstr>
  </property>
</Properties>
</file>