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方正小标宋简体" w:hAnsi="方正小标宋简体" w:eastAsia="方正小标宋简体"/>
          <w:sz w:val="36"/>
          <w:lang w:val="en-US" w:eastAsia="zh-CN"/>
        </w:rPr>
      </w:pPr>
      <w:r>
        <w:rPr>
          <w:rFonts w:hint="eastAsia" w:ascii="方正小标宋简体" w:hAnsi="方正小标宋简体" w:eastAsia="方正小标宋简体"/>
          <w:sz w:val="36"/>
          <w:lang w:val="en-US" w:eastAsia="zh-CN"/>
        </w:rPr>
        <w:t>高阳县财政局权责清单事项分表</w:t>
      </w:r>
    </w:p>
    <w:p>
      <w:pPr>
        <w:ind w:firstLine="5760" w:firstLineChars="1800"/>
        <w:jc w:val="both"/>
        <w:rPr>
          <w:rFonts w:hint="eastAsia" w:ascii="楷体_GB2312" w:hAnsi="楷体_GB2312" w:eastAsia="楷体_GB2312"/>
          <w:lang w:val="en-US" w:eastAsia="zh-CN"/>
        </w:rPr>
      </w:pPr>
      <w:r>
        <w:rPr>
          <w:rFonts w:hint="eastAsia" w:ascii="楷体_GB2312" w:hAnsi="楷体_GB2312" w:eastAsia="楷体_GB2312"/>
          <w:lang w:val="en-US" w:eastAsia="zh-CN"/>
        </w:rPr>
        <w:t>（共4类、11项）</w:t>
      </w:r>
    </w:p>
    <w:p>
      <w:pPr>
        <w:jc w:val="both"/>
        <w:rPr>
          <w:rFonts w:hint="eastAsia" w:ascii="楷体_GB2312" w:hAnsi="楷体_GB2312" w:eastAsia="楷体_GB2312"/>
          <w:lang w:val="en-US" w:eastAsia="zh-CN"/>
        </w:rPr>
      </w:pPr>
    </w:p>
    <w:p>
      <w:pPr>
        <w:pStyle w:val="2"/>
        <w:jc w:val="both"/>
        <w:rPr>
          <w:rFonts w:hint="eastAsia"/>
          <w:lang w:val="en-US" w:eastAsia="zh-CN"/>
        </w:rPr>
      </w:pPr>
      <w:r>
        <w:rPr>
          <w:rFonts w:hint="eastAsia" w:ascii="楷体_GB2312" w:hAnsi="楷体_GB2312" w:eastAsia="楷体_GB2312"/>
          <w:sz w:val="28"/>
          <w:lang w:val="en-US" w:eastAsia="zh-CN"/>
        </w:rPr>
        <w:t>单位：高阳县财政局</w:t>
      </w:r>
      <w:r>
        <w:rPr>
          <w:rFonts w:hint="eastAsia" w:ascii="楷体_GB2312" w:hAnsi="楷体_GB2312" w:eastAsia="楷体_GB2312" w:cs="Arial"/>
          <w:sz w:val="28"/>
          <w:lang w:val="en-US" w:eastAsia="zh-CN"/>
        </w:rPr>
        <w:t>（公章）</w:t>
      </w:r>
    </w:p>
    <w:tbl>
      <w:tblPr>
        <w:tblStyle w:val="4"/>
        <w:tblW w:w="13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18"/>
        <w:gridCol w:w="1574"/>
        <w:gridCol w:w="1416"/>
        <w:gridCol w:w="1888"/>
        <w:gridCol w:w="4722"/>
        <w:gridCol w:w="2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766" w:type="dxa"/>
            <w:noWrap w:val="0"/>
            <w:vAlign w:val="center"/>
          </w:tcPr>
          <w:p>
            <w:pPr>
              <w:spacing w:line="400" w:lineRule="exact"/>
              <w:jc w:val="center"/>
              <w:rPr>
                <w:rFonts w:hint="eastAsia" w:ascii="黑体" w:hAnsi="黑体" w:eastAsia="黑体"/>
                <w:sz w:val="24"/>
              </w:rPr>
            </w:pPr>
            <w:r>
              <w:rPr>
                <w:rFonts w:hint="eastAsia" w:ascii="黑体" w:hAnsi="黑体" w:eastAsia="黑体"/>
                <w:sz w:val="24"/>
              </w:rPr>
              <w:t>序号</w:t>
            </w:r>
          </w:p>
        </w:tc>
        <w:tc>
          <w:tcPr>
            <w:tcW w:w="818" w:type="dxa"/>
            <w:noWrap w:val="0"/>
            <w:vAlign w:val="center"/>
          </w:tcPr>
          <w:p>
            <w:pPr>
              <w:spacing w:line="400" w:lineRule="exact"/>
              <w:jc w:val="center"/>
              <w:rPr>
                <w:rFonts w:hint="eastAsia" w:ascii="黑体" w:hAnsi="黑体" w:eastAsia="黑体"/>
                <w:sz w:val="24"/>
              </w:rPr>
            </w:pPr>
            <w:r>
              <w:rPr>
                <w:rFonts w:hint="eastAsia" w:ascii="黑体" w:hAnsi="黑体" w:eastAsia="黑体"/>
                <w:sz w:val="24"/>
              </w:rPr>
              <w:t>权力类型</w:t>
            </w:r>
          </w:p>
        </w:tc>
        <w:tc>
          <w:tcPr>
            <w:tcW w:w="1574" w:type="dxa"/>
            <w:noWrap w:val="0"/>
            <w:vAlign w:val="center"/>
          </w:tcPr>
          <w:p>
            <w:pPr>
              <w:spacing w:line="400" w:lineRule="exact"/>
              <w:jc w:val="center"/>
              <w:rPr>
                <w:rFonts w:hint="eastAsia" w:ascii="黑体" w:hAnsi="黑体" w:eastAsia="黑体"/>
                <w:sz w:val="24"/>
              </w:rPr>
            </w:pPr>
            <w:r>
              <w:rPr>
                <w:rFonts w:hint="eastAsia" w:ascii="黑体" w:hAnsi="黑体" w:eastAsia="黑体"/>
                <w:sz w:val="24"/>
              </w:rPr>
              <w:t>权力事项</w:t>
            </w:r>
          </w:p>
        </w:tc>
        <w:tc>
          <w:tcPr>
            <w:tcW w:w="1416" w:type="dxa"/>
            <w:noWrap w:val="0"/>
            <w:vAlign w:val="center"/>
          </w:tcPr>
          <w:p>
            <w:pPr>
              <w:spacing w:line="400" w:lineRule="exact"/>
              <w:jc w:val="center"/>
              <w:rPr>
                <w:rFonts w:hint="eastAsia" w:ascii="黑体" w:hAnsi="黑体" w:eastAsia="黑体"/>
                <w:sz w:val="24"/>
              </w:rPr>
            </w:pPr>
            <w:r>
              <w:rPr>
                <w:rFonts w:hint="eastAsia" w:ascii="黑体" w:hAnsi="黑体" w:eastAsia="黑体"/>
                <w:sz w:val="24"/>
              </w:rPr>
              <w:t>行政主体</w:t>
            </w:r>
          </w:p>
        </w:tc>
        <w:tc>
          <w:tcPr>
            <w:tcW w:w="1888" w:type="dxa"/>
            <w:noWrap w:val="0"/>
            <w:vAlign w:val="center"/>
          </w:tcPr>
          <w:p>
            <w:pPr>
              <w:spacing w:line="400" w:lineRule="exact"/>
              <w:jc w:val="center"/>
              <w:rPr>
                <w:rFonts w:hint="eastAsia" w:ascii="黑体" w:hAnsi="黑体" w:eastAsia="黑体"/>
                <w:sz w:val="24"/>
              </w:rPr>
            </w:pPr>
            <w:r>
              <w:rPr>
                <w:rFonts w:hint="eastAsia" w:ascii="黑体" w:hAnsi="黑体" w:eastAsia="黑体"/>
                <w:sz w:val="24"/>
              </w:rPr>
              <w:t>实施依据</w:t>
            </w:r>
          </w:p>
        </w:tc>
        <w:tc>
          <w:tcPr>
            <w:tcW w:w="4722" w:type="dxa"/>
            <w:noWrap w:val="0"/>
            <w:vAlign w:val="center"/>
          </w:tcPr>
          <w:p>
            <w:pPr>
              <w:spacing w:line="400" w:lineRule="exact"/>
              <w:jc w:val="center"/>
              <w:rPr>
                <w:rFonts w:hint="eastAsia" w:ascii="黑体" w:hAnsi="黑体" w:eastAsia="黑体"/>
                <w:sz w:val="24"/>
              </w:rPr>
            </w:pPr>
            <w:r>
              <w:rPr>
                <w:rFonts w:hint="eastAsia" w:ascii="黑体" w:hAnsi="黑体" w:eastAsia="黑体"/>
                <w:sz w:val="24"/>
              </w:rPr>
              <w:t>责任事项</w:t>
            </w:r>
          </w:p>
        </w:tc>
        <w:tc>
          <w:tcPr>
            <w:tcW w:w="2668" w:type="dxa"/>
            <w:noWrap w:val="0"/>
            <w:vAlign w:val="center"/>
          </w:tcPr>
          <w:p>
            <w:pPr>
              <w:spacing w:line="400" w:lineRule="exact"/>
              <w:jc w:val="center"/>
              <w:rPr>
                <w:rFonts w:hint="eastAsia" w:ascii="黑体" w:hAnsi="黑体" w:eastAsia="黑体"/>
                <w:sz w:val="24"/>
              </w:rPr>
            </w:pPr>
            <w:r>
              <w:rPr>
                <w:rFonts w:hint="eastAsia" w:ascii="黑体" w:hAnsi="黑体" w:eastAsia="黑体"/>
                <w:sz w:val="24"/>
              </w:rPr>
              <w:t>追责情形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6" w:hRule="atLeast"/>
          <w:jc w:val="center"/>
        </w:trPr>
        <w:tc>
          <w:tcPr>
            <w:tcW w:w="766"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818" w:type="dxa"/>
            <w:noWrap w:val="0"/>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行政处罚</w:t>
            </w:r>
          </w:p>
        </w:tc>
        <w:tc>
          <w:tcPr>
            <w:tcW w:w="1574" w:type="dxa"/>
            <w:noWrap w:val="0"/>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rPr>
              <w:t>未按照国家统一会计制度的要求设置会计账簿、填写会计凭证、保管会计资料的处罚</w:t>
            </w:r>
          </w:p>
        </w:tc>
        <w:tc>
          <w:tcPr>
            <w:tcW w:w="1416" w:type="dxa"/>
            <w:noWrap w:val="0"/>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lang w:eastAsia="zh-CN"/>
              </w:rPr>
              <w:t>高阳县</w:t>
            </w:r>
            <w:r>
              <w:rPr>
                <w:rFonts w:hint="eastAsia" w:ascii="宋体" w:hAnsi="宋体" w:eastAsia="宋体" w:cs="宋体"/>
                <w:sz w:val="18"/>
                <w:szCs w:val="18"/>
              </w:rPr>
              <w:t>财政局</w:t>
            </w:r>
          </w:p>
          <w:p>
            <w:pPr>
              <w:jc w:val="center"/>
              <w:rPr>
                <w:rFonts w:hint="eastAsia" w:ascii="宋体" w:hAnsi="宋体" w:eastAsia="宋体" w:cs="宋体"/>
                <w:sz w:val="18"/>
                <w:szCs w:val="18"/>
              </w:rPr>
            </w:pPr>
          </w:p>
        </w:tc>
        <w:tc>
          <w:tcPr>
            <w:tcW w:w="1888" w:type="dxa"/>
            <w:noWrap w:val="0"/>
            <w:vAlign w:val="center"/>
          </w:tcPr>
          <w:p>
            <w:pPr>
              <w:autoSpaceDE w:val="0"/>
              <w:autoSpaceDN w:val="0"/>
              <w:adjustRightInd w:val="0"/>
              <w:spacing w:line="240" w:lineRule="exact"/>
              <w:jc w:val="left"/>
              <w:rPr>
                <w:rFonts w:hint="eastAsia" w:ascii="宋体" w:hAnsi="宋体" w:eastAsia="宋体" w:cs="宋体"/>
                <w:sz w:val="18"/>
                <w:szCs w:val="18"/>
              </w:rPr>
            </w:pPr>
            <w:r>
              <w:rPr>
                <w:rFonts w:hint="eastAsia" w:ascii="宋体" w:hAnsi="宋体" w:eastAsia="宋体" w:cs="宋体"/>
                <w:sz w:val="18"/>
                <w:szCs w:val="18"/>
              </w:rPr>
              <w:t>《中华人民共和国会计法》第四十二条：违反本法规定，有下列行为之一的，由县级以上人民政府财政部门责令限期改正，可以对单位并处三千元以上五万元以下的罚款；对其直接负责的主管人员和其他直接责任人员，可以处二千元以上二万元以下的罚款；属于国家工作人员的，还应当由其所在单位或者有关单位依法给予行政处分。</w:t>
            </w:r>
          </w:p>
        </w:tc>
        <w:tc>
          <w:tcPr>
            <w:tcW w:w="4722" w:type="dxa"/>
            <w:noWrap w:val="0"/>
            <w:vAlign w:val="center"/>
          </w:tcPr>
          <w:p>
            <w:pPr>
              <w:keepNext w:val="0"/>
              <w:keepLines w:val="0"/>
              <w:pageBreakBefore w:val="0"/>
              <w:widowControl w:val="0"/>
              <w:tabs>
                <w:tab w:val="left" w:pos="7937"/>
              </w:tabs>
              <w:kinsoku/>
              <w:wordWrap/>
              <w:overflowPunct/>
              <w:topLinePunct w:val="0"/>
              <w:autoSpaceDE/>
              <w:autoSpaceDN/>
              <w:bidi w:val="0"/>
              <w:adjustRightInd/>
              <w:snapToGrid/>
              <w:spacing w:line="220" w:lineRule="exact"/>
              <w:jc w:val="left"/>
              <w:textAlignment w:val="auto"/>
              <w:rPr>
                <w:rFonts w:hint="eastAsia" w:ascii="宋体" w:hAnsi="宋体" w:eastAsia="宋体" w:cs="宋体"/>
                <w:sz w:val="18"/>
                <w:szCs w:val="18"/>
              </w:rPr>
            </w:pPr>
            <w:r>
              <w:rPr>
                <w:rFonts w:hint="eastAsia" w:ascii="宋体" w:hAnsi="宋体" w:eastAsia="宋体" w:cs="宋体"/>
                <w:sz w:val="18"/>
                <w:szCs w:val="18"/>
              </w:rPr>
              <w:t>1、立案责任：发现未按照国家统一会计制度的要求设置会计账簿、填写会计凭证、保管会计资料的违法事项，先责令其改正并出具整改报告，如拒不执行，应由县级以上财政部门予以审查，并决定是否立案。</w:t>
            </w:r>
          </w:p>
          <w:p>
            <w:pPr>
              <w:keepNext w:val="0"/>
              <w:keepLines w:val="0"/>
              <w:pageBreakBefore w:val="0"/>
              <w:widowControl w:val="0"/>
              <w:tabs>
                <w:tab w:val="left" w:pos="7937"/>
              </w:tabs>
              <w:kinsoku/>
              <w:wordWrap/>
              <w:overflowPunct/>
              <w:topLinePunct w:val="0"/>
              <w:autoSpaceDE/>
              <w:autoSpaceDN/>
              <w:bidi w:val="0"/>
              <w:adjustRightInd/>
              <w:snapToGrid/>
              <w:spacing w:line="220" w:lineRule="exact"/>
              <w:jc w:val="left"/>
              <w:textAlignment w:val="auto"/>
              <w:rPr>
                <w:rFonts w:hint="eastAsia" w:ascii="宋体" w:hAnsi="宋体" w:eastAsia="宋体" w:cs="宋体"/>
                <w:sz w:val="18"/>
                <w:szCs w:val="18"/>
              </w:rPr>
            </w:pPr>
            <w:r>
              <w:rPr>
                <w:rFonts w:hint="eastAsia" w:ascii="宋体" w:hAnsi="宋体" w:eastAsia="宋体" w:cs="宋体"/>
                <w:sz w:val="18"/>
                <w:szCs w:val="18"/>
              </w:rPr>
              <w:t>2、调查责任：财政部门对立案的案件，成立专项检查机构，指定专人负责，及时组织调查取证，与当事人有直接利害关系的应当回避。执法人员不得少于两人，调查时应出示执法证件，允许当事人辩解陈述。执法人员应保守有关秘密，出具调查报告。</w:t>
            </w:r>
          </w:p>
          <w:p>
            <w:pPr>
              <w:keepNext w:val="0"/>
              <w:keepLines w:val="0"/>
              <w:pageBreakBefore w:val="0"/>
              <w:widowControl w:val="0"/>
              <w:tabs>
                <w:tab w:val="left" w:pos="7937"/>
              </w:tabs>
              <w:kinsoku/>
              <w:wordWrap/>
              <w:overflowPunct/>
              <w:topLinePunct w:val="0"/>
              <w:autoSpaceDE/>
              <w:autoSpaceDN/>
              <w:bidi w:val="0"/>
              <w:adjustRightInd/>
              <w:snapToGrid/>
              <w:spacing w:line="220" w:lineRule="exact"/>
              <w:jc w:val="left"/>
              <w:textAlignment w:val="auto"/>
              <w:rPr>
                <w:rFonts w:hint="eastAsia" w:ascii="宋体" w:hAnsi="宋体" w:eastAsia="宋体" w:cs="宋体"/>
                <w:sz w:val="18"/>
                <w:szCs w:val="18"/>
              </w:rPr>
            </w:pPr>
            <w:r>
              <w:rPr>
                <w:rFonts w:hint="eastAsia" w:ascii="宋体" w:hAnsi="宋体" w:eastAsia="宋体" w:cs="宋体"/>
                <w:sz w:val="18"/>
                <w:szCs w:val="18"/>
              </w:rPr>
              <w:t>3、审查责任：审查案件调查报告，对案件违法事实、证据、调查取证程序、法律适用、处罚种类和幅度、当事人陈述和申辩理由等方面进行审查，提出处理意见。</w:t>
            </w:r>
          </w:p>
          <w:p>
            <w:pPr>
              <w:keepNext w:val="0"/>
              <w:keepLines w:val="0"/>
              <w:pageBreakBefore w:val="0"/>
              <w:widowControl w:val="0"/>
              <w:tabs>
                <w:tab w:val="left" w:pos="7937"/>
              </w:tabs>
              <w:kinsoku/>
              <w:wordWrap/>
              <w:overflowPunct/>
              <w:topLinePunct w:val="0"/>
              <w:autoSpaceDE/>
              <w:autoSpaceDN/>
              <w:bidi w:val="0"/>
              <w:adjustRightInd/>
              <w:snapToGrid/>
              <w:spacing w:line="220" w:lineRule="exact"/>
              <w:jc w:val="left"/>
              <w:textAlignment w:val="auto"/>
              <w:rPr>
                <w:rFonts w:hint="eastAsia" w:ascii="宋体" w:hAnsi="宋体" w:eastAsia="宋体" w:cs="宋体"/>
                <w:sz w:val="18"/>
                <w:szCs w:val="18"/>
              </w:rPr>
            </w:pPr>
            <w:r>
              <w:rPr>
                <w:rFonts w:hint="eastAsia" w:ascii="宋体" w:hAnsi="宋体" w:eastAsia="宋体" w:cs="宋体"/>
                <w:sz w:val="18"/>
                <w:szCs w:val="18"/>
              </w:rPr>
              <w:t>4、告知责任：作出行政处罚决定前，应告知当事人违法事实及其享有的陈述、申辩、听证等权利。。</w:t>
            </w:r>
          </w:p>
          <w:p>
            <w:pPr>
              <w:keepNext w:val="0"/>
              <w:keepLines w:val="0"/>
              <w:pageBreakBefore w:val="0"/>
              <w:widowControl w:val="0"/>
              <w:tabs>
                <w:tab w:val="left" w:pos="7937"/>
              </w:tabs>
              <w:kinsoku/>
              <w:wordWrap/>
              <w:overflowPunct/>
              <w:topLinePunct w:val="0"/>
              <w:autoSpaceDE/>
              <w:autoSpaceDN/>
              <w:bidi w:val="0"/>
              <w:adjustRightInd/>
              <w:snapToGrid/>
              <w:spacing w:line="220" w:lineRule="exact"/>
              <w:jc w:val="left"/>
              <w:textAlignment w:val="auto"/>
              <w:rPr>
                <w:rFonts w:hint="eastAsia" w:ascii="宋体" w:hAnsi="宋体" w:eastAsia="宋体" w:cs="宋体"/>
                <w:sz w:val="18"/>
                <w:szCs w:val="18"/>
              </w:rPr>
            </w:pPr>
            <w:r>
              <w:rPr>
                <w:rFonts w:hint="eastAsia" w:ascii="宋体" w:hAnsi="宋体" w:eastAsia="宋体" w:cs="宋体"/>
                <w:sz w:val="18"/>
                <w:szCs w:val="18"/>
              </w:rPr>
              <w:t>5、决定责任：制作行政处罚决定书，载明行政处罚告知、当事人陈述申辩或者听证情况等内容。</w:t>
            </w:r>
          </w:p>
          <w:p>
            <w:pPr>
              <w:keepNext w:val="0"/>
              <w:keepLines w:val="0"/>
              <w:pageBreakBefore w:val="0"/>
              <w:widowControl w:val="0"/>
              <w:tabs>
                <w:tab w:val="left" w:pos="7937"/>
              </w:tabs>
              <w:kinsoku/>
              <w:wordWrap/>
              <w:overflowPunct/>
              <w:topLinePunct w:val="0"/>
              <w:autoSpaceDE/>
              <w:autoSpaceDN/>
              <w:bidi w:val="0"/>
              <w:adjustRightInd/>
              <w:snapToGrid/>
              <w:spacing w:line="220" w:lineRule="exact"/>
              <w:jc w:val="left"/>
              <w:textAlignment w:val="auto"/>
              <w:rPr>
                <w:rFonts w:hint="eastAsia" w:ascii="宋体" w:hAnsi="宋体" w:eastAsia="宋体" w:cs="宋体"/>
                <w:sz w:val="18"/>
                <w:szCs w:val="18"/>
              </w:rPr>
            </w:pPr>
            <w:r>
              <w:rPr>
                <w:rFonts w:hint="eastAsia" w:ascii="宋体" w:hAnsi="宋体" w:eastAsia="宋体" w:cs="宋体"/>
                <w:sz w:val="18"/>
                <w:szCs w:val="18"/>
              </w:rPr>
              <w:t>6、送达责任：行政处罚决定书按法律规定的方式送达当事人。</w:t>
            </w:r>
          </w:p>
          <w:p>
            <w:pPr>
              <w:keepNext w:val="0"/>
              <w:keepLines w:val="0"/>
              <w:pageBreakBefore w:val="0"/>
              <w:widowControl w:val="0"/>
              <w:tabs>
                <w:tab w:val="left" w:pos="7937"/>
              </w:tabs>
              <w:kinsoku/>
              <w:wordWrap/>
              <w:overflowPunct/>
              <w:topLinePunct w:val="0"/>
              <w:autoSpaceDE/>
              <w:autoSpaceDN/>
              <w:bidi w:val="0"/>
              <w:adjustRightInd/>
              <w:snapToGrid/>
              <w:spacing w:line="220" w:lineRule="exact"/>
              <w:jc w:val="left"/>
              <w:textAlignment w:val="auto"/>
              <w:rPr>
                <w:rFonts w:hint="eastAsia" w:ascii="宋体" w:hAnsi="宋体" w:eastAsia="宋体" w:cs="宋体"/>
                <w:sz w:val="18"/>
                <w:szCs w:val="18"/>
              </w:rPr>
            </w:pPr>
            <w:r>
              <w:rPr>
                <w:rFonts w:hint="eastAsia" w:ascii="宋体" w:hAnsi="宋体" w:eastAsia="宋体" w:cs="宋体"/>
                <w:sz w:val="18"/>
                <w:szCs w:val="18"/>
              </w:rPr>
              <w:t>7、执行责任：依照生效的行政处罚决定，对单位并处三千元以上五万元以下的罚款；对其直接负责的主管人员和其他直接责任人员，处二千元以上二万元以下的罚款；属于国家工作人员的，还应当由其所在单位或者有关单位依法给予行政处分。</w:t>
            </w:r>
          </w:p>
          <w:p>
            <w:pPr>
              <w:keepNext w:val="0"/>
              <w:keepLines w:val="0"/>
              <w:pageBreakBefore w:val="0"/>
              <w:widowControl w:val="0"/>
              <w:tabs>
                <w:tab w:val="left" w:pos="7937"/>
              </w:tabs>
              <w:kinsoku/>
              <w:wordWrap/>
              <w:overflowPunct/>
              <w:topLinePunct w:val="0"/>
              <w:autoSpaceDE/>
              <w:autoSpaceDN/>
              <w:bidi w:val="0"/>
              <w:adjustRightInd/>
              <w:snapToGrid/>
              <w:spacing w:line="220" w:lineRule="exact"/>
              <w:jc w:val="left"/>
              <w:textAlignment w:val="auto"/>
              <w:rPr>
                <w:rFonts w:hint="eastAsia" w:ascii="宋体" w:hAnsi="宋体" w:eastAsia="宋体" w:cs="宋体"/>
                <w:sz w:val="18"/>
                <w:szCs w:val="18"/>
              </w:rPr>
            </w:pPr>
            <w:r>
              <w:rPr>
                <w:rFonts w:hint="eastAsia" w:ascii="宋体" w:hAnsi="宋体" w:eastAsia="宋体" w:cs="宋体"/>
                <w:sz w:val="18"/>
                <w:szCs w:val="18"/>
              </w:rPr>
              <w:t>8、其他法律法规规章文件规定应履行的责任。</w:t>
            </w:r>
          </w:p>
        </w:tc>
        <w:tc>
          <w:tcPr>
            <w:tcW w:w="2668" w:type="dxa"/>
            <w:noWrap w:val="0"/>
            <w:vAlign w:val="center"/>
          </w:tcPr>
          <w:p>
            <w:pPr>
              <w:tabs>
                <w:tab w:val="left" w:pos="7937"/>
              </w:tabs>
              <w:spacing w:line="280" w:lineRule="exact"/>
              <w:jc w:val="lef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80" w:lineRule="exact"/>
              <w:jc w:val="left"/>
              <w:rPr>
                <w:rFonts w:hint="eastAsia" w:ascii="宋体" w:hAnsi="宋体" w:eastAsia="宋体" w:cs="宋体"/>
                <w:sz w:val="18"/>
                <w:szCs w:val="18"/>
              </w:rPr>
            </w:pPr>
            <w:r>
              <w:rPr>
                <w:rFonts w:hint="eastAsia" w:ascii="宋体" w:hAnsi="宋体" w:eastAsia="宋体" w:cs="宋体"/>
                <w:sz w:val="18"/>
                <w:szCs w:val="18"/>
              </w:rPr>
              <w:t>1、应当依法移送追究刑事责任，而未依法移送有权机关的；</w:t>
            </w:r>
          </w:p>
          <w:p>
            <w:pPr>
              <w:tabs>
                <w:tab w:val="left" w:pos="7937"/>
              </w:tabs>
              <w:spacing w:line="280" w:lineRule="exact"/>
              <w:jc w:val="left"/>
              <w:rPr>
                <w:rFonts w:hint="eastAsia" w:ascii="宋体" w:hAnsi="宋体" w:eastAsia="宋体" w:cs="宋体"/>
                <w:sz w:val="18"/>
                <w:szCs w:val="18"/>
              </w:rPr>
            </w:pPr>
            <w:r>
              <w:rPr>
                <w:rFonts w:hint="eastAsia" w:ascii="宋体" w:hAnsi="宋体" w:eastAsia="宋体" w:cs="宋体"/>
                <w:sz w:val="18"/>
                <w:szCs w:val="18"/>
              </w:rPr>
              <w:t>2、不具备行政执法资格实施行政处罚的；</w:t>
            </w:r>
          </w:p>
          <w:p>
            <w:pPr>
              <w:tabs>
                <w:tab w:val="left" w:pos="7937"/>
              </w:tabs>
              <w:spacing w:line="280" w:lineRule="exact"/>
              <w:jc w:val="left"/>
              <w:rPr>
                <w:rFonts w:hint="eastAsia" w:ascii="宋体" w:hAnsi="宋体" w:eastAsia="宋体" w:cs="宋体"/>
                <w:sz w:val="18"/>
                <w:szCs w:val="18"/>
              </w:rPr>
            </w:pPr>
            <w:r>
              <w:rPr>
                <w:rFonts w:hint="eastAsia" w:ascii="宋体" w:hAnsi="宋体" w:eastAsia="宋体" w:cs="宋体"/>
                <w:sz w:val="18"/>
                <w:szCs w:val="18"/>
              </w:rPr>
              <w:t>3、没有法律和事实依据实施行政处罚的；</w:t>
            </w:r>
          </w:p>
          <w:p>
            <w:pPr>
              <w:tabs>
                <w:tab w:val="left" w:pos="7937"/>
              </w:tabs>
              <w:spacing w:line="280" w:lineRule="exact"/>
              <w:jc w:val="left"/>
              <w:rPr>
                <w:rFonts w:hint="eastAsia" w:ascii="宋体" w:hAnsi="宋体" w:eastAsia="宋体" w:cs="宋体"/>
                <w:sz w:val="18"/>
                <w:szCs w:val="18"/>
              </w:rPr>
            </w:pPr>
            <w:r>
              <w:rPr>
                <w:rFonts w:hint="eastAsia" w:ascii="宋体" w:hAnsi="宋体" w:eastAsia="宋体" w:cs="宋体"/>
                <w:sz w:val="18"/>
                <w:szCs w:val="18"/>
              </w:rPr>
              <w:t>4、违反法定的行政处罚程序的；</w:t>
            </w:r>
          </w:p>
          <w:p>
            <w:pPr>
              <w:tabs>
                <w:tab w:val="left" w:pos="7937"/>
              </w:tabs>
              <w:spacing w:line="280" w:lineRule="exact"/>
              <w:jc w:val="left"/>
              <w:rPr>
                <w:rFonts w:hint="eastAsia" w:ascii="宋体" w:hAnsi="宋体" w:eastAsia="宋体" w:cs="宋体"/>
                <w:sz w:val="18"/>
                <w:szCs w:val="18"/>
              </w:rPr>
            </w:pPr>
            <w:r>
              <w:rPr>
                <w:rFonts w:hint="eastAsia" w:ascii="宋体" w:hAnsi="宋体" w:eastAsia="宋体" w:cs="宋体"/>
                <w:sz w:val="18"/>
                <w:szCs w:val="18"/>
              </w:rPr>
              <w:t>5、擅自改变行政处罚种类、幅度的；</w:t>
            </w:r>
          </w:p>
          <w:p>
            <w:pPr>
              <w:tabs>
                <w:tab w:val="left" w:pos="7937"/>
              </w:tabs>
              <w:spacing w:line="280" w:lineRule="exact"/>
              <w:jc w:val="left"/>
              <w:rPr>
                <w:rFonts w:hint="eastAsia" w:ascii="宋体" w:hAnsi="宋体" w:eastAsia="宋体" w:cs="宋体"/>
                <w:sz w:val="18"/>
                <w:szCs w:val="18"/>
              </w:rPr>
            </w:pPr>
            <w:r>
              <w:rPr>
                <w:rFonts w:hint="eastAsia" w:ascii="宋体" w:hAnsi="宋体" w:eastAsia="宋体" w:cs="宋体"/>
                <w:sz w:val="18"/>
                <w:szCs w:val="18"/>
              </w:rPr>
              <w:t>6、行政处罚显失公正的；</w:t>
            </w:r>
          </w:p>
          <w:p>
            <w:pPr>
              <w:tabs>
                <w:tab w:val="left" w:pos="7937"/>
              </w:tabs>
              <w:spacing w:line="280" w:lineRule="exact"/>
              <w:jc w:val="left"/>
              <w:rPr>
                <w:rFonts w:hint="eastAsia" w:ascii="宋体" w:hAnsi="宋体" w:eastAsia="宋体" w:cs="宋体"/>
                <w:sz w:val="18"/>
                <w:szCs w:val="18"/>
              </w:rPr>
            </w:pPr>
            <w:r>
              <w:rPr>
                <w:rFonts w:hint="eastAsia" w:ascii="宋体" w:hAnsi="宋体" w:eastAsia="宋体" w:cs="宋体"/>
                <w:sz w:val="18"/>
                <w:szCs w:val="18"/>
              </w:rPr>
              <w:t>7、执法人员滥用职权，玩忽职守，徇私舞弊或者泄漏国家秘密、商业秘密；</w:t>
            </w:r>
          </w:p>
          <w:p>
            <w:pPr>
              <w:tabs>
                <w:tab w:val="left" w:pos="7937"/>
              </w:tabs>
              <w:spacing w:line="280" w:lineRule="exact"/>
              <w:jc w:val="left"/>
              <w:rPr>
                <w:rFonts w:hint="eastAsia" w:ascii="宋体" w:hAnsi="宋体" w:eastAsia="宋体" w:cs="宋体"/>
                <w:sz w:val="18"/>
                <w:szCs w:val="18"/>
              </w:rPr>
            </w:pPr>
            <w:r>
              <w:rPr>
                <w:rFonts w:hint="eastAsia" w:ascii="宋体" w:hAnsi="宋体" w:eastAsia="宋体" w:cs="宋体"/>
                <w:sz w:val="18"/>
                <w:szCs w:val="18"/>
              </w:rPr>
              <w:t>8、符合听证条件、行政管理相对人要求听证，应予组织听证而不组织听证的；</w:t>
            </w:r>
          </w:p>
          <w:p>
            <w:pPr>
              <w:autoSpaceDE w:val="0"/>
              <w:autoSpaceDN w:val="0"/>
              <w:adjustRightInd w:val="0"/>
              <w:spacing w:line="240" w:lineRule="exact"/>
              <w:jc w:val="left"/>
              <w:rPr>
                <w:rFonts w:hint="eastAsia" w:ascii="宋体" w:hAnsi="宋体" w:eastAsia="宋体" w:cs="宋体"/>
                <w:sz w:val="18"/>
                <w:szCs w:val="18"/>
              </w:rPr>
            </w:pPr>
            <w:r>
              <w:rPr>
                <w:rFonts w:hint="eastAsia" w:ascii="宋体" w:hAnsi="宋体" w:eastAsia="宋体" w:cs="宋体"/>
                <w:sz w:val="18"/>
                <w:szCs w:val="18"/>
              </w:rPr>
              <w:t>9、其他违反法律法规规章文件规定的行为。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jc w:val="center"/>
        </w:trPr>
        <w:tc>
          <w:tcPr>
            <w:tcW w:w="766"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818"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行政处罚</w:t>
            </w:r>
          </w:p>
        </w:tc>
        <w:tc>
          <w:tcPr>
            <w:tcW w:w="1574"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伪造、变造会计凭证、会计账簿，编制虚假财务会计报告的处罚</w:t>
            </w:r>
          </w:p>
        </w:tc>
        <w:tc>
          <w:tcPr>
            <w:tcW w:w="1416"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高阳县财政局</w:t>
            </w:r>
          </w:p>
          <w:p>
            <w:pPr>
              <w:tabs>
                <w:tab w:val="left" w:pos="7937"/>
              </w:tabs>
              <w:spacing w:line="240" w:lineRule="exact"/>
              <w:jc w:val="center"/>
              <w:rPr>
                <w:rFonts w:hint="eastAsia" w:ascii="宋体" w:hAnsi="宋体" w:eastAsia="宋体" w:cs="宋体"/>
                <w:sz w:val="18"/>
                <w:szCs w:val="18"/>
                <w:lang w:val="en-US" w:eastAsia="zh-CN"/>
              </w:rPr>
            </w:pPr>
          </w:p>
        </w:tc>
        <w:tc>
          <w:tcPr>
            <w:tcW w:w="1888"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中华人民共和国会计法》第四十三条：“伪造、变造会计凭证、会计账簿，编制虚假财务会计报告，构成犯罪的，依法追究刑事责任。有前款行为，尚不构成犯罪的，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其中的会计人员，五年内不得从事会计工作。”</w:t>
            </w:r>
          </w:p>
        </w:tc>
        <w:tc>
          <w:tcPr>
            <w:tcW w:w="4722" w:type="dxa"/>
            <w:noWrap w:val="0"/>
            <w:vAlign w:val="center"/>
          </w:tcPr>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1、立案责任：发现伪造、变造会计凭证、会计账簿，编制虚假财务会计报告的违法事项，应由县级以上财政部门予以审查，并决定是否立案。</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调查责任：财政部门对立案的案件，成立专项检查机构，指定专人负责，及时组织调查取证，与当事人有直接利害关系的应当回避。执法人员不得少于两人，调查时应出示执法证件，允许当事人辩解陈述。执法人员应保守有关秘密，出具调查报告。</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3、审查责任：审查案件调查报告，对案件违法事实、证据、调查取证程序、法律适用、处罚种类和幅度、当事人陈述和申辩理由等方面进行审查，提出处理意见。</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4、告知责任：作出行政处罚决定前，应制作《行政处罚告知书》送达当事人，告知违法事实及其享有的陈述、申辩、听证等权利。。</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5、决定责任：制作行政处罚决定书，载明行政处罚告知、当事人陈述申辩或者听证情况等内容。</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6、送达责任：行政处罚决定书按法律规定的方式送达当事人。</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执行责任：依照生效的行政处罚决定，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其中的会计人员，五年内不得从事会计工作。</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8、其他法律法规规章文件规定应履行的责任。</w:t>
            </w:r>
          </w:p>
        </w:tc>
        <w:tc>
          <w:tcPr>
            <w:tcW w:w="2668" w:type="dxa"/>
            <w:noWrap w:val="0"/>
            <w:vAlign w:val="center"/>
          </w:tcPr>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因不履行或不正确履行行政职责，有下列情形的，行政机关及相关工作人员应承担相应责任：</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1、应当依法移送追究刑事责任，而未依法移送有权机关的；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2、不具备行政执法资格实施行政处罚的；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3、没有法律和事实依据实施行政处罚的；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4、违反法定的行政处罚程序的；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5、擅自改变行政处罚种类、幅度的；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6、行政处罚显失公正的；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7、执法人员滥用职权，玩忽职守，徇私舞弊或者泄漏国家秘密、商业秘密；</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8、符合听证条件、行政管理相对人要求听证，应予组织听证而不组织听证的；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9、其他违反法律法规规章文件规定的行为。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jc w:val="center"/>
        </w:trPr>
        <w:tc>
          <w:tcPr>
            <w:tcW w:w="766"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818"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行政处罚</w:t>
            </w:r>
          </w:p>
        </w:tc>
        <w:tc>
          <w:tcPr>
            <w:tcW w:w="1574"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隐匿或者故意销毁依法应当保存的会计凭证、会计账簿、财务会计报告的处罚</w:t>
            </w:r>
          </w:p>
        </w:tc>
        <w:tc>
          <w:tcPr>
            <w:tcW w:w="1416"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高阳县财政局</w:t>
            </w:r>
          </w:p>
          <w:p>
            <w:pPr>
              <w:tabs>
                <w:tab w:val="left" w:pos="7937"/>
              </w:tabs>
              <w:spacing w:line="240" w:lineRule="exact"/>
              <w:jc w:val="center"/>
              <w:rPr>
                <w:rFonts w:hint="eastAsia" w:ascii="宋体" w:hAnsi="宋体" w:eastAsia="宋体" w:cs="宋体"/>
                <w:sz w:val="18"/>
                <w:szCs w:val="18"/>
                <w:lang w:val="en-US" w:eastAsia="zh-CN"/>
              </w:rPr>
            </w:pPr>
          </w:p>
        </w:tc>
        <w:tc>
          <w:tcPr>
            <w:tcW w:w="1888"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中华人民共和国会计法》第四十四条：“隐匿或者故意销毁依法应当保存的会计凭证、会计账簿、财务会计报告，构成犯罪的，依法追究刑事责任。有前款行为，尚不构成犯罪的，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对其中的会计人员，五年内不得从事会计工作。”</w:t>
            </w:r>
          </w:p>
        </w:tc>
        <w:tc>
          <w:tcPr>
            <w:tcW w:w="4722" w:type="dxa"/>
            <w:noWrap w:val="0"/>
            <w:vAlign w:val="center"/>
          </w:tcPr>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1、立案责任：发现隐匿或者故意销毁依法应当保存的会计凭证、会计账簿、财务会计报告的违法事项，应由县级以上财政部门予以审查，并决定是否立案。</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调查责任：财政部门对立案的案件，成立专项检查机构，指定专人负责，及时组织调查取证，与当事人有直接利害关系的应当回避。执法人员不得少于两人，调查时应出示执法证件，允许当事人辩解陈述。执法人员应保守有关秘密，出具调查报告。</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3、审查责任：审查案件调查报告，对案件违法事实、证据、调查取证程序、法律适用、处罚种类和幅度、当事人陈述和申辩理由等方面进行审查，提出处理意见。</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4、告知责任：作出行政处罚决定前，应制作《行政处罚告知书》送达当事人，告知违法事实及其享有的陈述、申辩、听证等权利。。</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5、决定责任：制作行政处罚决定书，载明行政处罚告知、当事人陈述申辩或者听证情况等内容。</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6、送达责任：行政处罚决定书按法律规定的方式送达当事人。</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执行责任：依照生效的行政处罚决定，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对其中的会计人员，五年内不得从事会计工作。</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8、其他法律法规规章文件规定应履行的责任。</w:t>
            </w:r>
          </w:p>
        </w:tc>
        <w:tc>
          <w:tcPr>
            <w:tcW w:w="2668" w:type="dxa"/>
            <w:noWrap w:val="0"/>
            <w:vAlign w:val="center"/>
          </w:tcPr>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因不履行或不正确履行行政职责，有下列情形的，行政机关及相关工作人员应承担相应责任：</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1、应当依法移送追究刑事责任，而未依法移送有权机关的；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2、不具备行政执法资格实施行政处罚的；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3、没有法律和事实依据实施行政处罚的；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4、违反法定的行政处罚程序的；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5、擅自改变行政处罚种类、幅度的；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6、行政处罚显失公正的；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7、执法人员滥用职权，玩忽职守，徇私舞弊或者泄漏国家秘密、商业秘密；</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8、符合听证条件、行政管理相对人要求听证，应予组织听证而不组织听证的；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9、其他违反法律法规规章文件规定的行为。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jc w:val="center"/>
        </w:trPr>
        <w:tc>
          <w:tcPr>
            <w:tcW w:w="766"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818"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行政处罚</w:t>
            </w:r>
          </w:p>
        </w:tc>
        <w:tc>
          <w:tcPr>
            <w:tcW w:w="1574"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授意、指使、强令会计机构、会计人员及其他人员伪造、变造会计凭证、会计账簿，编制虚假财务会计报告或者隐匿、故意销毁依法应当保存的会计凭证、会计账簿、财务会计报告的处罚</w:t>
            </w:r>
          </w:p>
        </w:tc>
        <w:tc>
          <w:tcPr>
            <w:tcW w:w="1416"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高阳县财政局</w:t>
            </w:r>
          </w:p>
          <w:p>
            <w:pPr>
              <w:tabs>
                <w:tab w:val="left" w:pos="7937"/>
              </w:tabs>
              <w:spacing w:line="240" w:lineRule="exact"/>
              <w:jc w:val="center"/>
              <w:rPr>
                <w:rFonts w:hint="eastAsia" w:ascii="宋体" w:hAnsi="宋体" w:eastAsia="宋体" w:cs="宋体"/>
                <w:sz w:val="18"/>
                <w:szCs w:val="18"/>
                <w:lang w:val="en-US" w:eastAsia="zh-CN"/>
              </w:rPr>
            </w:pPr>
          </w:p>
        </w:tc>
        <w:tc>
          <w:tcPr>
            <w:tcW w:w="1888"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中华人民共和国会计法》第四十五条：“授意、指使、强令会计机构、会计人员及其他人员伪造、变造会计凭证、会计账簿，编制虚假财务会计报告或者隐匿、故意销毁依法应当保存的会计凭证、会计账簿、财务会计报告，构成犯罪的，依法追究刑事责任；尚不构成犯罪的，可以处五千元以上五万元以下的罚款；属于国家工作人员的，还应当由其所在单位或者有关单位依法给予降级、撤职、开除的行政处分。”</w:t>
            </w:r>
          </w:p>
        </w:tc>
        <w:tc>
          <w:tcPr>
            <w:tcW w:w="4722" w:type="dxa"/>
            <w:noWrap w:val="0"/>
            <w:vAlign w:val="center"/>
          </w:tcPr>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1、立案责任：对依据监督检查职权或者通过举报、投诉、其他部门移送、上级部门交办等途径发现的违法行为线索，决定是否立案。</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调查责任：财政部门对立案的案件，成立专项检查机构，指定专人负责，及时组织调查取证，与当事人有直接利害关系的应当回避。执法人员不得少于两人，调查时应出示执法证件，允许当事人辩解陈述。执法人员应保守有关秘密，出具调查报告。</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3、审查责任：审查案件调查报告，对案件违法事实、证据、调查取证程序、法律适用、处罚种类和幅度、当事人陈述和申辩理由等方面进行审查，提出处理意见。</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4、告知责任：作出行政处罚决定前，应制作《行政处罚告知书》送达当事人，告知违法事实及其享有的陈述、申辩、听证等权利。。</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5、决定责任：制作行政处罚决定书，载明行政处罚告知、当事人陈述申辩或者听证情况等内容。</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6、送达责任：行政处罚决定书按法律规定的方式送达当事人。</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7、执行责任：依照生效的行政处罚决定，可以处五千元以上五万元以下的罚款；属于国家工作人员的，还应当由其所在单位或者有关单位依法给予降级、撤职、开除的行政处分。</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8、其他法律法规规章文件规定应履行的责任。</w:t>
            </w:r>
          </w:p>
        </w:tc>
        <w:tc>
          <w:tcPr>
            <w:tcW w:w="2668" w:type="dxa"/>
            <w:noWrap w:val="0"/>
            <w:vAlign w:val="center"/>
          </w:tcPr>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因不履行或不正确履行行政职责，有下列情形的，行政机关及相关工作人员应承担相应责任：</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1、应当依法移送追究刑事责任，而未依法移送有权机关的；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2、不具备行政执法资格实施行政处罚的；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3、没有法律和事实依据实施行政处罚的；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4、违反法定的行政处罚程序的；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5、擅自改变行政处罚种类、幅度的；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6、行政处罚显失公正的；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7、执法人员滥用职权，玩忽职守，徇私舞弊或者泄漏国家秘密、商业秘密；</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8、符合听证条件、行政管理相对人要求听证，应予组织听证而不组织听证的；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9、其他违反法律法规规章文件规定的行为。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jc w:val="center"/>
        </w:trPr>
        <w:tc>
          <w:tcPr>
            <w:tcW w:w="766"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c>
          <w:tcPr>
            <w:tcW w:w="818"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行政处罚</w:t>
            </w:r>
          </w:p>
        </w:tc>
        <w:tc>
          <w:tcPr>
            <w:tcW w:w="1574"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随意改变会计要素、财务会计报告，未按规定结账，清偿资产、核实债务，拒绝监督检查或不如实提供情况的处罚</w:t>
            </w:r>
          </w:p>
        </w:tc>
        <w:tc>
          <w:tcPr>
            <w:tcW w:w="1416"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高阳县财政局</w:t>
            </w:r>
          </w:p>
          <w:p>
            <w:pPr>
              <w:tabs>
                <w:tab w:val="left" w:pos="7937"/>
              </w:tabs>
              <w:spacing w:line="240" w:lineRule="exact"/>
              <w:jc w:val="center"/>
              <w:rPr>
                <w:rFonts w:hint="eastAsia" w:ascii="宋体" w:hAnsi="宋体" w:eastAsia="宋体" w:cs="宋体"/>
                <w:sz w:val="18"/>
                <w:szCs w:val="18"/>
                <w:lang w:val="en-US" w:eastAsia="zh-CN"/>
              </w:rPr>
            </w:pPr>
          </w:p>
        </w:tc>
        <w:tc>
          <w:tcPr>
            <w:tcW w:w="1888"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企业财务会计报告条例》第三十九条：“违反本条例规定，有下列行为之一的，由县级以上人民政府财政部门责令限期改正，对企业可以处3000元以上5万元以下的罚款；对直接负责的主管人员和其他直接责任人员，可以处2000元以上2万元以下的罚款；属于国家工作人员的，并依法给予行政处分或者纪律处分。会计人员有前款所列行为之一，情节严重的，由县级以上人民政府财政部门吊销会计从业资格证书。”</w:t>
            </w:r>
          </w:p>
        </w:tc>
        <w:tc>
          <w:tcPr>
            <w:tcW w:w="4722" w:type="dxa"/>
            <w:noWrap w:val="0"/>
            <w:vAlign w:val="center"/>
          </w:tcPr>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1、立案责任：发现随意改变会计要素、财务会计报告，未按规定结账，清偿资产、核实债务，拒绝监督检查或不如实提供情况的违法事项，应由县级以上财政部门责令限期改正，并决定是否立案。</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调查责任：财政部门对立案的案件，成立专项检查机构，指定专人负责，及时组织调查取证，与当事人有直接利害关系的应当回避。执法人员不得少于两人，调查时应出示执法证件，允许当事人辩解陈述。执法人员应保守有关秘密，出具调查报告。</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3、审查责任：审查案件调查报告，对案件违法事实、证据、调查取证程序、法律适用、处罚种类和幅度、当事人陈述和申辩理由等方面进行审查，提出处理意见。</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4、告知责任：作出行政处罚决定前，应制作《行政处罚告知书》送达当事人，告知违法事实及其享有的陈述、申辩、听证等权利。。</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5、决定责任：制作行政处罚决定书，载明行政处罚告知、当事人陈述申辩或者听证情况等内容。</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6、送达责任：行政处罚决定书按法律规定的方式送达当事人。</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执行责任：依照生效的行政处罚决定，由县级以上人民政府财政部门责令限期改正，对企业可以处3000元以上5万元以下的罚款；对直接负责的主管人员和其他直接责任人员，可以处2000元以上2万元以下的罚款；属于国家工作人员的，并依法给予行政处分或者纪律处分。会计人员有前款所列行为之一，情节严重的，由县级以上人民政府财政部门吊销会计从业资格证书。</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8、其他法律法规规章文件规定应履行的责任。</w:t>
            </w:r>
          </w:p>
        </w:tc>
        <w:tc>
          <w:tcPr>
            <w:tcW w:w="2668" w:type="dxa"/>
            <w:noWrap w:val="0"/>
            <w:vAlign w:val="center"/>
          </w:tcPr>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因不履行或不正确履行行政职责，有下列情形的，行政机关及相关工作人员应承担相应责任：</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1、应当依法移送追究刑事责任，而未依法移送有权机关的；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2、不具备行政执法资格实施行政处罚的；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3、没有法律和事实依据实施行政处罚的；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4、违反法定的行政处罚程序的；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5、擅自改变行政处罚种类、幅度的；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6、行政处罚显失公正的；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7、执法人员滥用职权，玩忽职守，徇私舞弊或者泄漏国家秘密、商业秘密；</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8、符合听证条件、行政管理相对人要求听证，应予组织听证而不组织听证的；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9、其他违反法律法规规章文件规定的行为。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jc w:val="center"/>
        </w:trPr>
        <w:tc>
          <w:tcPr>
            <w:tcW w:w="766"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818"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行政处罚</w:t>
            </w:r>
          </w:p>
        </w:tc>
        <w:tc>
          <w:tcPr>
            <w:tcW w:w="1574"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编制、对外提供虚假的或者隐瞒重要事实的财务会计报告的处罚</w:t>
            </w:r>
          </w:p>
        </w:tc>
        <w:tc>
          <w:tcPr>
            <w:tcW w:w="1416"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高阳县财政局</w:t>
            </w:r>
          </w:p>
          <w:p>
            <w:pPr>
              <w:tabs>
                <w:tab w:val="left" w:pos="7937"/>
              </w:tabs>
              <w:spacing w:line="240" w:lineRule="exact"/>
              <w:jc w:val="center"/>
              <w:rPr>
                <w:rFonts w:hint="eastAsia" w:ascii="宋体" w:hAnsi="宋体" w:eastAsia="宋体" w:cs="宋体"/>
                <w:sz w:val="18"/>
                <w:szCs w:val="18"/>
                <w:lang w:val="en-US" w:eastAsia="zh-CN"/>
              </w:rPr>
            </w:pPr>
          </w:p>
        </w:tc>
        <w:tc>
          <w:tcPr>
            <w:tcW w:w="1888"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企业财务会计报告条例》第四十条：“企业编制、对外提供虚假的或者隐瞒重要事实的财务会计报告，构成犯罪的，依法追究刑事责任。有前款行为，尚不构成犯罪的，由县级以上人民政府财政部门予以通报，对企业可以处5000元以上10万元以下的罚款；对直接负责的主管人员和其他直接责任人员，可以处3000元以上5万元以下的罚款；属于国家工作人员的，并依法给予撤职直至开除的行政处分或者纪律处分；对其中的会计人员，情节严重的，并由县级以上人民政府财政部门吊销会计从业资格证书。”</w:t>
            </w:r>
          </w:p>
        </w:tc>
        <w:tc>
          <w:tcPr>
            <w:tcW w:w="4722" w:type="dxa"/>
            <w:noWrap w:val="0"/>
            <w:vAlign w:val="center"/>
          </w:tcPr>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1、立案责任：发现编制、对外提供虚假的或者隐瞒重要事实的财务会计报告的违法事项，应由县级以上财政部门予以通报，并决定是否立案。</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调查责任：财政部门对立案的案件，成立专项检查机构，指定专人负责，及时组织调查取证，与当事人有直接利害关系的应当回避。执法人员不得少于两人，调查时应出示执法证件，允许当事人辩解陈述。执法人员应保守有关秘密，出具调查报告。</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3、审查责任：审查案件调查报告，对案件违法事实、证据、调查取证程序、法律适用、处罚种类和幅度、当事人陈述和申辩理由等方面进行审查，提出处理意见。</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4、告知责任：作出行政处罚决定前，应制作《行政处罚告知书》送达当事人，告知违法事实及其享有的陈述、申辩、听证等权利。。</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5、决定责任：制作行政处罚决定书，载明行政处罚告知、当事人陈述申辩或者听证情况等内容。</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6、送达责任：行政处罚决定书按法律规定的方式送达当事人。</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7、执行责任：依照生效的行政处罚决定，由县级以上人民政府财政部门予以通报，对企业可以处</w:t>
            </w:r>
            <w:bookmarkStart w:id="0" w:name="_GoBack"/>
            <w:bookmarkEnd w:id="0"/>
            <w:r>
              <w:rPr>
                <w:rFonts w:hint="eastAsia" w:ascii="宋体" w:hAnsi="宋体" w:eastAsia="宋体" w:cs="宋体"/>
                <w:sz w:val="18"/>
                <w:szCs w:val="18"/>
                <w:lang w:val="en-US" w:eastAsia="zh-CN"/>
              </w:rPr>
              <w:t>5000元以上10万元以下的罚款；对直接负责的主管人员和其他直接责任人员，可以处3000元以上5万元以下的罚款；属于国家工作人员的，并依法给予撤职直至开除的行政处分或者纪律处分；对其中的会计人员，情节严重的，并由县级以上人民政府财政部门吊销会计从业资格证书。</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8、其他法律法规规章文件规定应履行的责任。</w:t>
            </w:r>
          </w:p>
        </w:tc>
        <w:tc>
          <w:tcPr>
            <w:tcW w:w="2668" w:type="dxa"/>
            <w:noWrap w:val="0"/>
            <w:vAlign w:val="center"/>
          </w:tcPr>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因不履行或不正确履行行政职责，有下列情形的，行政机关及相关工作人员应承担相应责任：</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1、应当依法移送追究刑事责任，而未依法移送有权机关的；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2、不具备行政执法资格实施行政处罚的；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3、没有法律和事实依据实施行政处罚的；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4、违反法定的行政处罚程序的；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5、擅自改变行政处罚种类、幅度的；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6、行政处罚显失公正的；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7、执法人员滥用职权，玩忽职守，徇私舞弊或者泄漏国家秘密、商业秘密；</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8、符合听证条件、行政管理相对人要求听证，应予组织听证而不组织听证的；</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9、其他违反法律法规规章文件规定的行为。</w:t>
            </w:r>
          </w:p>
        </w:tc>
      </w:tr>
    </w:tbl>
    <w:p>
      <w:pPr>
        <w:spacing w:line="600" w:lineRule="exact"/>
        <w:jc w:val="both"/>
        <w:rPr>
          <w:rFonts w:hint="eastAsia" w:ascii="黑体" w:hAnsi="黑体" w:eastAsia="黑体"/>
        </w:rPr>
      </w:pPr>
    </w:p>
    <w:tbl>
      <w:tblPr>
        <w:tblStyle w:val="4"/>
        <w:tblW w:w="13717"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1247"/>
        <w:gridCol w:w="1247"/>
        <w:gridCol w:w="1544"/>
        <w:gridCol w:w="1778"/>
        <w:gridCol w:w="2921"/>
        <w:gridCol w:w="3050"/>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2" w:hRule="atLeast"/>
        </w:trPr>
        <w:tc>
          <w:tcPr>
            <w:tcW w:w="555" w:type="dxa"/>
            <w:noWrap w:val="0"/>
            <w:vAlign w:val="center"/>
          </w:tcPr>
          <w:p>
            <w:pPr>
              <w:tabs>
                <w:tab w:val="left" w:pos="7937"/>
              </w:tabs>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w:t>
            </w:r>
          </w:p>
        </w:tc>
        <w:tc>
          <w:tcPr>
            <w:tcW w:w="1247"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行政检查</w:t>
            </w:r>
          </w:p>
        </w:tc>
        <w:tc>
          <w:tcPr>
            <w:tcW w:w="1247"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会计监督检查</w:t>
            </w:r>
          </w:p>
        </w:tc>
        <w:tc>
          <w:tcPr>
            <w:tcW w:w="1544"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高阳县财政局</w:t>
            </w:r>
          </w:p>
          <w:p>
            <w:pPr>
              <w:tabs>
                <w:tab w:val="left" w:pos="7937"/>
              </w:tabs>
              <w:spacing w:line="240" w:lineRule="exact"/>
              <w:jc w:val="center"/>
              <w:rPr>
                <w:rFonts w:hint="eastAsia" w:ascii="宋体" w:hAnsi="宋体" w:eastAsia="宋体" w:cs="宋体"/>
                <w:sz w:val="18"/>
                <w:szCs w:val="18"/>
                <w:lang w:val="en-US" w:eastAsia="zh-CN"/>
              </w:rPr>
            </w:pPr>
          </w:p>
        </w:tc>
        <w:tc>
          <w:tcPr>
            <w:tcW w:w="1778" w:type="dxa"/>
            <w:noWrap w:val="0"/>
            <w:vAlign w:val="center"/>
          </w:tcPr>
          <w:p>
            <w:pPr>
              <w:tabs>
                <w:tab w:val="left" w:pos="7937"/>
              </w:tabs>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《中华人民共和国会计法》</w:t>
            </w:r>
          </w:p>
        </w:tc>
        <w:tc>
          <w:tcPr>
            <w:tcW w:w="2921" w:type="dxa"/>
            <w:noWrap w:val="0"/>
            <w:vAlign w:val="center"/>
          </w:tcPr>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1.检查责任：对本辖区内各单位及经济组织执行《中华人民共和国会计法》的情况进行监督检查；</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2.处置责任：对监督检查发现的问题，责令限期整改并根据整改报告组织验收，对拒不执行的单位和个人依法实施处罚；</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3.移送责任：对构成违法犯罪的移交司法机关；</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4.事后管理责任：建立问题跟踪机制，对出现的问题进行事后核查；</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5.其他责任：法律法规规章等规定应履行的责任。</w:t>
            </w:r>
          </w:p>
          <w:p>
            <w:pPr>
              <w:tabs>
                <w:tab w:val="left" w:pos="7937"/>
              </w:tabs>
              <w:spacing w:line="240" w:lineRule="exact"/>
              <w:jc w:val="left"/>
              <w:rPr>
                <w:rFonts w:hint="eastAsia" w:ascii="宋体" w:hAnsi="宋体" w:eastAsia="宋体" w:cs="宋体"/>
                <w:sz w:val="18"/>
                <w:szCs w:val="18"/>
                <w:lang w:val="en-US" w:eastAsia="zh-CN"/>
              </w:rPr>
            </w:pPr>
          </w:p>
        </w:tc>
        <w:tc>
          <w:tcPr>
            <w:tcW w:w="3050" w:type="dxa"/>
            <w:noWrap w:val="0"/>
            <w:vAlign w:val="center"/>
          </w:tcPr>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br w:type="textWrapping"/>
            </w:r>
            <w:r>
              <w:rPr>
                <w:rFonts w:hint="eastAsia" w:ascii="宋体" w:hAnsi="宋体" w:eastAsia="宋体" w:cs="宋体"/>
                <w:sz w:val="18"/>
                <w:szCs w:val="18"/>
                <w:lang w:val="en-US" w:eastAsia="zh-CN"/>
              </w:rPr>
              <w:t>因不履行或不正确履行行政职责，有下列情形的，行政机关及相关工作人员应承担相应责任：</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1.不对本县内各单位及经济组织会计工作情况组织监督检查；</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2.对在检查中发现的问题，不责令限期整改、不依法实施处罚；</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3.对构成违法犯罪的不移交司法机关；</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4.监督检查发现的问题整改完成后，不对整改情况进行核查；</w:t>
            </w:r>
          </w:p>
          <w:p>
            <w:pPr>
              <w:tabs>
                <w:tab w:val="left" w:pos="7937"/>
              </w:tabs>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5.其他违反法律法规规章文件规定的行为。</w:t>
            </w:r>
          </w:p>
          <w:p>
            <w:pPr>
              <w:tabs>
                <w:tab w:val="left" w:pos="7937"/>
              </w:tabs>
              <w:spacing w:line="240" w:lineRule="exact"/>
              <w:jc w:val="left"/>
              <w:rPr>
                <w:rFonts w:hint="eastAsia" w:ascii="宋体" w:hAnsi="宋体" w:eastAsia="宋体" w:cs="宋体"/>
                <w:sz w:val="18"/>
                <w:szCs w:val="18"/>
                <w:lang w:val="en-US" w:eastAsia="zh-CN"/>
              </w:rPr>
            </w:pPr>
          </w:p>
        </w:tc>
        <w:tc>
          <w:tcPr>
            <w:tcW w:w="1375" w:type="dxa"/>
            <w:noWrap w:val="0"/>
            <w:vAlign w:val="center"/>
          </w:tcPr>
          <w:p>
            <w:pPr>
              <w:tabs>
                <w:tab w:val="left" w:pos="7937"/>
              </w:tabs>
              <w:spacing w:line="240" w:lineRule="exact"/>
              <w:jc w:val="left"/>
              <w:rPr>
                <w:rFonts w:hint="eastAsia" w:ascii="宋体" w:hAnsi="宋体" w:eastAsia="宋体" w:cs="宋体"/>
                <w:sz w:val="18"/>
                <w:szCs w:val="18"/>
                <w:lang w:val="en-US" w:eastAsia="zh-CN"/>
              </w:rPr>
            </w:pPr>
          </w:p>
        </w:tc>
      </w:tr>
    </w:tbl>
    <w:p>
      <w:pPr>
        <w:spacing w:line="600" w:lineRule="exact"/>
        <w:jc w:val="center"/>
        <w:rPr>
          <w:rFonts w:hint="eastAsia" w:ascii="仿宋" w:hAnsi="仿宋" w:eastAsia="仿宋" w:cs="仿宋"/>
          <w:sz w:val="18"/>
          <w:szCs w:val="18"/>
        </w:rPr>
      </w:pPr>
    </w:p>
    <w:p>
      <w:pPr>
        <w:spacing w:line="600" w:lineRule="exact"/>
        <w:jc w:val="both"/>
        <w:rPr>
          <w:rFonts w:hint="eastAsia" w:ascii="仿宋_GB2312"/>
        </w:rPr>
      </w:pPr>
    </w:p>
    <w:tbl>
      <w:tblPr>
        <w:tblStyle w:val="4"/>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247"/>
        <w:gridCol w:w="1247"/>
        <w:gridCol w:w="1401"/>
        <w:gridCol w:w="3320"/>
        <w:gridCol w:w="2835"/>
        <w:gridCol w:w="2268"/>
        <w:gridCol w:w="1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trPr>
        <w:tc>
          <w:tcPr>
            <w:tcW w:w="690" w:type="dxa"/>
            <w:noWrap w:val="0"/>
            <w:vAlign w:val="center"/>
          </w:tcPr>
          <w:p>
            <w:pPr>
              <w:tabs>
                <w:tab w:val="left" w:pos="7937"/>
              </w:tabs>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1247" w:type="dxa"/>
            <w:noWrap w:val="0"/>
            <w:vAlign w:val="center"/>
          </w:tcPr>
          <w:p>
            <w:pPr>
              <w:tabs>
                <w:tab w:val="left" w:pos="7937"/>
              </w:tabs>
              <w:spacing w:line="260" w:lineRule="exact"/>
              <w:jc w:val="center"/>
              <w:rPr>
                <w:rFonts w:hint="eastAsia" w:ascii="宋体" w:hAnsi="宋体" w:eastAsia="宋体" w:cs="宋体"/>
                <w:sz w:val="18"/>
                <w:szCs w:val="18"/>
              </w:rPr>
            </w:pPr>
            <w:r>
              <w:rPr>
                <w:rFonts w:hint="eastAsia" w:ascii="宋体" w:hAnsi="宋体" w:eastAsia="宋体" w:cs="宋体"/>
                <w:sz w:val="18"/>
                <w:szCs w:val="18"/>
              </w:rPr>
              <w:t>行政裁决</w:t>
            </w:r>
          </w:p>
        </w:tc>
        <w:tc>
          <w:tcPr>
            <w:tcW w:w="1247" w:type="dxa"/>
            <w:noWrap w:val="0"/>
            <w:vAlign w:val="center"/>
          </w:tcPr>
          <w:p>
            <w:pPr>
              <w:tabs>
                <w:tab w:val="left" w:pos="7937"/>
              </w:tabs>
              <w:spacing w:line="260" w:lineRule="exact"/>
              <w:jc w:val="center"/>
              <w:rPr>
                <w:rFonts w:hint="eastAsia" w:ascii="宋体" w:hAnsi="宋体" w:eastAsia="宋体" w:cs="宋体"/>
                <w:sz w:val="18"/>
                <w:szCs w:val="18"/>
              </w:rPr>
            </w:pPr>
            <w:r>
              <w:rPr>
                <w:rFonts w:hint="eastAsia" w:ascii="宋体" w:hAnsi="宋体" w:eastAsia="宋体" w:cs="宋体"/>
                <w:sz w:val="18"/>
                <w:szCs w:val="18"/>
              </w:rPr>
              <w:t>政府采购供应商投诉处理</w:t>
            </w:r>
          </w:p>
        </w:tc>
        <w:tc>
          <w:tcPr>
            <w:tcW w:w="1401" w:type="dxa"/>
            <w:noWrap w:val="0"/>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lang w:eastAsia="zh-CN"/>
              </w:rPr>
              <w:t>高阳县</w:t>
            </w:r>
            <w:r>
              <w:rPr>
                <w:rFonts w:hint="eastAsia" w:ascii="宋体" w:hAnsi="宋体" w:eastAsia="宋体" w:cs="宋体"/>
                <w:sz w:val="18"/>
                <w:szCs w:val="18"/>
              </w:rPr>
              <w:t>财政局</w:t>
            </w:r>
          </w:p>
          <w:p>
            <w:pPr>
              <w:tabs>
                <w:tab w:val="left" w:pos="7937"/>
              </w:tabs>
              <w:spacing w:line="260" w:lineRule="exact"/>
              <w:jc w:val="center"/>
              <w:rPr>
                <w:rFonts w:hint="eastAsia" w:ascii="宋体" w:hAnsi="宋体" w:eastAsia="宋体" w:cs="宋体"/>
                <w:sz w:val="18"/>
                <w:szCs w:val="18"/>
                <w:lang w:eastAsia="zh-CN"/>
              </w:rPr>
            </w:pPr>
          </w:p>
        </w:tc>
        <w:tc>
          <w:tcPr>
            <w:tcW w:w="3320" w:type="dxa"/>
            <w:noWrap w:val="0"/>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1.《政府采购法实施条例》（2014年12月国务院令第658号）</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第五十六条　财政部门处理投诉事项采用书面审查的方式，必要时可以进行调查取证或者组织质证。对财政部门依法进行的调查取证，投诉人和与投诉事项有关的当事人应当如实反映情况，并提供相关材料。第五十七条　投诉人捏造事实、提供虚假材料或者以非法手段取得证明材料进行投诉的，财政部门应当予以驳回。财政部门受理投诉后，投诉人书面申请撤回投诉的，财政部门应当终止投诉处理程序。第五十八条　财政部门处理投诉事项，需要检验、检测、鉴定、专家评审以及需要投诉人补正材料的，所需时间不计算在投诉处理期限内。财政部门对投诉事项作出的处理决定，应当在省级以上人民政府财政部门指定的媒体上公告。</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2.</w:t>
            </w:r>
            <w:r>
              <w:rPr>
                <w:rFonts w:hint="eastAsia" w:ascii="宋体" w:hAnsi="宋体" w:eastAsia="宋体" w:cs="宋体"/>
                <w:sz w:val="18"/>
                <w:szCs w:val="18"/>
                <w:lang w:eastAsia="zh-CN"/>
              </w:rPr>
              <w:t>《中华人民共和国政府采购法》</w:t>
            </w:r>
            <w:r>
              <w:rPr>
                <w:rFonts w:hint="eastAsia" w:ascii="宋体" w:hAnsi="宋体" w:eastAsia="宋体" w:cs="宋体"/>
                <w:sz w:val="18"/>
                <w:szCs w:val="18"/>
              </w:rPr>
              <w:t>（2002年6月通过，2014年8月修订）</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第五十六条：“政府采购监督管理部门应当在收到投诉后三十个工作日内，对投诉事项作出处理决定，并以书面形式通知投诉人和与投诉事项有关的当事人。”</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3.《政府采购质疑投诉办法》（财政部令第94号）</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第六条 供应商投诉按照采购人所属预算级次，由本级财政部门处理。</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跨区域联合采购项目的投诉，采购人所属预算级次相同的，由采购文件事先约定的财政部门负责处理，事先未约定的，由最先收到投诉的财政部门负责处理；采购人所属预算级次不同的，由预算级次最高的财政部门负责处理。</w:t>
            </w:r>
          </w:p>
        </w:tc>
        <w:tc>
          <w:tcPr>
            <w:tcW w:w="2835" w:type="dxa"/>
            <w:noWrap w:val="0"/>
            <w:vAlign w:val="center"/>
          </w:tcPr>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1、受理责任: 在5个工作日内进行审查，审查后按照下列情况处理：（一）投诉书内容不符合94号令第十八条规定的，在收到投诉书5个工作日内一次性书面通知投诉人补正。载明需要补正的事项和合理的补正期限。未按照补正期限进行补正或者补正后仍不符合规定的，不予受理。（二）投诉不符合94号令第十九条规定条件的，在3个工作日内书面告知投诉人不予受理，并说明理由。（三）投诉不属于本部门管辖的，应当在3个工作日内书面告知投诉人向有管辖权的部门提起投诉。（四）投诉符合94号令第十八条、第十九条规定的，自收到投诉书之日起即为受理，并在收到投诉后8个工作日内向被投诉人和其他与投诉事项有关的当事人发出投诉答复通知书及投诉书副本。</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2、审理责任:投诉处理主要采用书面审查方式，必要时进行调查取证和组织质证。对投诉答复及提供的证据、依据进行审理</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3、裁决责任: 在收到投诉后三十个工作日内，对投诉事项作出处理决定，需要检验、检测、鉴定、专家评审以及需要投诉人补正材料的，所需时间不计算在投诉处理期限内。根据事实和法律、法规做出裁决，制作并向有关当事人送达的投诉处理决定书，说明查明的事实和相关依据，具体处理决定和法律依据，并告知当事人行政复议、向法院起诉的权利及行使权力的期限）。</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4、公告责任：将投诉处理结果在省级以上财政部门指定的政府采购信息发布媒体上公告。</w:t>
            </w:r>
          </w:p>
          <w:p>
            <w:pPr>
              <w:tabs>
                <w:tab w:val="left" w:pos="7937"/>
              </w:tabs>
              <w:spacing w:line="240" w:lineRule="exact"/>
              <w:jc w:val="left"/>
              <w:rPr>
                <w:rFonts w:hint="eastAsia" w:ascii="宋体" w:hAnsi="宋体" w:eastAsia="宋体" w:cs="宋体"/>
                <w:sz w:val="18"/>
                <w:szCs w:val="18"/>
              </w:rPr>
            </w:pPr>
            <w:r>
              <w:rPr>
                <w:rFonts w:hint="eastAsia" w:ascii="宋体" w:hAnsi="宋体" w:eastAsia="宋体" w:cs="宋体"/>
                <w:sz w:val="18"/>
                <w:szCs w:val="18"/>
              </w:rPr>
              <w:t>5、其他法律法规规章文件规定应履行的责任。</w:t>
            </w:r>
          </w:p>
        </w:tc>
        <w:tc>
          <w:tcPr>
            <w:tcW w:w="2268" w:type="dxa"/>
            <w:noWrap w:val="0"/>
            <w:vAlign w:val="center"/>
          </w:tcPr>
          <w:p>
            <w:pPr>
              <w:tabs>
                <w:tab w:val="left" w:pos="7937"/>
              </w:tabs>
              <w:spacing w:line="260" w:lineRule="exact"/>
              <w:jc w:val="lef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tabs>
                <w:tab w:val="left" w:pos="7937"/>
              </w:tabs>
              <w:spacing w:line="260" w:lineRule="exact"/>
              <w:jc w:val="left"/>
              <w:rPr>
                <w:rFonts w:hint="eastAsia" w:ascii="宋体" w:hAnsi="宋体" w:eastAsia="宋体" w:cs="宋体"/>
                <w:sz w:val="18"/>
                <w:szCs w:val="18"/>
              </w:rPr>
            </w:pPr>
            <w:r>
              <w:rPr>
                <w:rFonts w:hint="eastAsia" w:ascii="宋体" w:hAnsi="宋体" w:eastAsia="宋体" w:cs="宋体"/>
                <w:sz w:val="18"/>
                <w:szCs w:val="18"/>
              </w:rPr>
              <w:t>1、对符合条件的投诉不予受理、裁决的；</w:t>
            </w:r>
          </w:p>
          <w:p>
            <w:pPr>
              <w:tabs>
                <w:tab w:val="left" w:pos="7937"/>
              </w:tabs>
              <w:spacing w:line="260" w:lineRule="exact"/>
              <w:jc w:val="left"/>
              <w:rPr>
                <w:rFonts w:hint="eastAsia" w:ascii="宋体" w:hAnsi="宋体" w:eastAsia="宋体" w:cs="宋体"/>
                <w:sz w:val="18"/>
                <w:szCs w:val="18"/>
              </w:rPr>
            </w:pPr>
            <w:r>
              <w:rPr>
                <w:rFonts w:hint="eastAsia" w:ascii="宋体" w:hAnsi="宋体" w:eastAsia="宋体" w:cs="宋体"/>
                <w:sz w:val="18"/>
                <w:szCs w:val="18"/>
              </w:rPr>
              <w:t>2、对不符合法定条件的投诉受理、裁决的；</w:t>
            </w:r>
          </w:p>
          <w:p>
            <w:pPr>
              <w:tabs>
                <w:tab w:val="left" w:pos="7937"/>
              </w:tabs>
              <w:spacing w:line="260" w:lineRule="exact"/>
              <w:jc w:val="left"/>
              <w:rPr>
                <w:rFonts w:hint="eastAsia" w:ascii="宋体" w:hAnsi="宋体" w:eastAsia="宋体" w:cs="宋体"/>
                <w:sz w:val="18"/>
                <w:szCs w:val="18"/>
              </w:rPr>
            </w:pPr>
            <w:r>
              <w:rPr>
                <w:rFonts w:hint="eastAsia" w:ascii="宋体" w:hAnsi="宋体" w:eastAsia="宋体" w:cs="宋体"/>
                <w:sz w:val="18"/>
                <w:szCs w:val="18"/>
              </w:rPr>
              <w:t>3、因裁决不当给行政相对人造成损失的；</w:t>
            </w:r>
          </w:p>
          <w:p>
            <w:pPr>
              <w:tabs>
                <w:tab w:val="left" w:pos="7937"/>
              </w:tabs>
              <w:spacing w:line="260" w:lineRule="exact"/>
              <w:jc w:val="left"/>
              <w:rPr>
                <w:rFonts w:hint="eastAsia" w:ascii="宋体" w:hAnsi="宋体" w:eastAsia="宋体" w:cs="宋体"/>
                <w:sz w:val="18"/>
                <w:szCs w:val="18"/>
              </w:rPr>
            </w:pPr>
            <w:r>
              <w:rPr>
                <w:rFonts w:hint="eastAsia" w:ascii="宋体" w:hAnsi="宋体" w:eastAsia="宋体" w:cs="宋体"/>
                <w:sz w:val="18"/>
                <w:szCs w:val="18"/>
              </w:rPr>
              <w:t>4、没有法律和事实依据进行行政裁决的；</w:t>
            </w:r>
          </w:p>
          <w:p>
            <w:pPr>
              <w:tabs>
                <w:tab w:val="left" w:pos="7937"/>
              </w:tabs>
              <w:spacing w:line="260" w:lineRule="exact"/>
              <w:jc w:val="left"/>
              <w:rPr>
                <w:rFonts w:hint="eastAsia" w:ascii="宋体" w:hAnsi="宋体" w:eastAsia="宋体" w:cs="宋体"/>
                <w:sz w:val="18"/>
                <w:szCs w:val="18"/>
              </w:rPr>
            </w:pPr>
            <w:r>
              <w:rPr>
                <w:rFonts w:hint="eastAsia" w:ascii="宋体" w:hAnsi="宋体" w:eastAsia="宋体" w:cs="宋体"/>
                <w:sz w:val="18"/>
                <w:szCs w:val="18"/>
              </w:rPr>
              <w:t>5、符合听证条件、当事人要求听证，应予组织听证而不组织听证的；</w:t>
            </w:r>
          </w:p>
          <w:p>
            <w:pPr>
              <w:tabs>
                <w:tab w:val="left" w:pos="7937"/>
              </w:tabs>
              <w:spacing w:line="260" w:lineRule="exact"/>
              <w:jc w:val="left"/>
              <w:rPr>
                <w:rFonts w:hint="eastAsia" w:ascii="宋体" w:hAnsi="宋体" w:eastAsia="宋体" w:cs="宋体"/>
                <w:sz w:val="18"/>
                <w:szCs w:val="18"/>
              </w:rPr>
            </w:pPr>
            <w:r>
              <w:rPr>
                <w:rFonts w:hint="eastAsia" w:ascii="宋体" w:hAnsi="宋体" w:eastAsia="宋体" w:cs="宋体"/>
                <w:sz w:val="18"/>
                <w:szCs w:val="18"/>
              </w:rPr>
              <w:t>6、在处理投诉、裁决工作中玩忽职守、滥用职权的；</w:t>
            </w:r>
          </w:p>
          <w:p>
            <w:pPr>
              <w:tabs>
                <w:tab w:val="left" w:pos="7937"/>
              </w:tabs>
              <w:spacing w:line="260" w:lineRule="exact"/>
              <w:jc w:val="left"/>
              <w:rPr>
                <w:rFonts w:hint="eastAsia" w:ascii="宋体" w:hAnsi="宋体" w:eastAsia="宋体" w:cs="宋体"/>
                <w:sz w:val="18"/>
                <w:szCs w:val="18"/>
              </w:rPr>
            </w:pPr>
            <w:r>
              <w:rPr>
                <w:rFonts w:hint="eastAsia" w:ascii="宋体" w:hAnsi="宋体" w:eastAsia="宋体" w:cs="宋体"/>
                <w:sz w:val="18"/>
                <w:szCs w:val="18"/>
              </w:rPr>
              <w:t>7、在行政裁决过程中发生腐败行为的；</w:t>
            </w:r>
          </w:p>
          <w:p>
            <w:pPr>
              <w:tabs>
                <w:tab w:val="left" w:pos="7937"/>
              </w:tabs>
              <w:spacing w:line="260" w:lineRule="exact"/>
              <w:jc w:val="left"/>
              <w:rPr>
                <w:rFonts w:hint="eastAsia" w:ascii="宋体" w:hAnsi="宋体" w:eastAsia="宋体" w:cs="宋体"/>
                <w:sz w:val="18"/>
                <w:szCs w:val="18"/>
              </w:rPr>
            </w:pPr>
            <w:r>
              <w:rPr>
                <w:rFonts w:hint="eastAsia" w:ascii="宋体" w:hAnsi="宋体" w:eastAsia="宋体" w:cs="宋体"/>
                <w:sz w:val="18"/>
                <w:szCs w:val="18"/>
              </w:rPr>
              <w:t>8、其他违反法律法规规章文件规定的行为。</w:t>
            </w:r>
          </w:p>
        </w:tc>
        <w:tc>
          <w:tcPr>
            <w:tcW w:w="1316" w:type="dxa"/>
            <w:noWrap w:val="0"/>
            <w:vAlign w:val="center"/>
          </w:tcPr>
          <w:p>
            <w:pPr>
              <w:spacing w:line="400" w:lineRule="exact"/>
              <w:jc w:val="center"/>
              <w:rPr>
                <w:rFonts w:hint="eastAsia" w:ascii="宋体" w:hAnsi="宋体" w:eastAsia="宋体" w:cs="宋体"/>
                <w:sz w:val="18"/>
                <w:szCs w:val="18"/>
              </w:rPr>
            </w:pPr>
          </w:p>
        </w:tc>
      </w:tr>
    </w:tbl>
    <w:p>
      <w:pPr>
        <w:jc w:val="center"/>
        <w:rPr>
          <w:rFonts w:hint="eastAsia"/>
        </w:rPr>
      </w:pPr>
    </w:p>
    <w:p>
      <w:pPr>
        <w:jc w:val="center"/>
        <w:rPr>
          <w:rFonts w:hint="eastAsia"/>
        </w:rPr>
      </w:pPr>
    </w:p>
    <w:p>
      <w:pPr>
        <w:spacing w:line="600" w:lineRule="exact"/>
        <w:jc w:val="center"/>
        <w:rPr>
          <w:rFonts w:hint="eastAsia" w:ascii="黑体" w:hAnsi="黑体" w:eastAsia="黑体"/>
        </w:rPr>
      </w:pPr>
    </w:p>
    <w:p>
      <w:pPr>
        <w:spacing w:line="600" w:lineRule="exact"/>
        <w:jc w:val="center"/>
        <w:rPr>
          <w:rFonts w:hint="eastAsia" w:ascii="黑体" w:hAnsi="黑体" w:eastAsia="黑体"/>
        </w:rPr>
      </w:pPr>
    </w:p>
    <w:p>
      <w:pPr>
        <w:spacing w:line="600" w:lineRule="exact"/>
        <w:jc w:val="both"/>
        <w:rPr>
          <w:rFonts w:hint="eastAsia" w:ascii="黑体" w:hAnsi="黑体" w:eastAsia="黑体"/>
        </w:rPr>
      </w:pPr>
    </w:p>
    <w:tbl>
      <w:tblPr>
        <w:tblStyle w:val="4"/>
        <w:tblW w:w="13822" w:type="dxa"/>
        <w:tblInd w:w="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1247"/>
        <w:gridCol w:w="1247"/>
        <w:gridCol w:w="1544"/>
        <w:gridCol w:w="1778"/>
        <w:gridCol w:w="2921"/>
        <w:gridCol w:w="3050"/>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trPr>
        <w:tc>
          <w:tcPr>
            <w:tcW w:w="660" w:type="dxa"/>
            <w:noWrap w:val="0"/>
            <w:vAlign w:val="center"/>
          </w:tcPr>
          <w:p>
            <w:pPr>
              <w:tabs>
                <w:tab w:val="left" w:pos="7937"/>
              </w:tabs>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w:t>
            </w:r>
          </w:p>
        </w:tc>
        <w:tc>
          <w:tcPr>
            <w:tcW w:w="1247" w:type="dxa"/>
            <w:noWrap w:val="0"/>
            <w:vAlign w:val="center"/>
          </w:tcPr>
          <w:p>
            <w:pPr>
              <w:tabs>
                <w:tab w:val="left" w:pos="7937"/>
              </w:tabs>
              <w:spacing w:line="260" w:lineRule="exact"/>
              <w:jc w:val="center"/>
              <w:rPr>
                <w:rFonts w:hint="eastAsia" w:ascii="宋体" w:hAnsi="宋体" w:eastAsia="宋体" w:cs="宋体"/>
                <w:sz w:val="18"/>
                <w:szCs w:val="18"/>
              </w:rPr>
            </w:pPr>
            <w:r>
              <w:rPr>
                <w:rFonts w:hint="eastAsia" w:ascii="宋体" w:hAnsi="宋体" w:eastAsia="宋体" w:cs="宋体"/>
                <w:sz w:val="18"/>
                <w:szCs w:val="18"/>
              </w:rPr>
              <w:t>其他权力</w:t>
            </w:r>
          </w:p>
        </w:tc>
        <w:tc>
          <w:tcPr>
            <w:tcW w:w="1247" w:type="dxa"/>
            <w:noWrap w:val="0"/>
            <w:vAlign w:val="center"/>
          </w:tcPr>
          <w:p>
            <w:pPr>
              <w:tabs>
                <w:tab w:val="left" w:pos="7937"/>
              </w:tabs>
              <w:spacing w:line="260" w:lineRule="exact"/>
              <w:jc w:val="center"/>
              <w:rPr>
                <w:rFonts w:hint="eastAsia" w:ascii="宋体" w:hAnsi="宋体" w:eastAsia="宋体" w:cs="宋体"/>
                <w:sz w:val="18"/>
                <w:szCs w:val="18"/>
              </w:rPr>
            </w:pPr>
            <w:r>
              <w:rPr>
                <w:rFonts w:hint="eastAsia" w:ascii="宋体" w:hAnsi="宋体" w:eastAsia="宋体" w:cs="宋体"/>
                <w:sz w:val="18"/>
                <w:szCs w:val="18"/>
              </w:rPr>
              <w:t>会计专业技术资格考试</w:t>
            </w:r>
          </w:p>
        </w:tc>
        <w:tc>
          <w:tcPr>
            <w:tcW w:w="1544" w:type="dxa"/>
            <w:noWrap w:val="0"/>
            <w:vAlign w:val="center"/>
          </w:tcPr>
          <w:p>
            <w:pPr>
              <w:tabs>
                <w:tab w:val="left" w:pos="7937"/>
              </w:tabs>
              <w:spacing w:line="240" w:lineRule="exact"/>
              <w:jc w:val="center"/>
              <w:rPr>
                <w:rFonts w:hint="eastAsia" w:ascii="宋体" w:hAnsi="宋体" w:eastAsia="宋体" w:cs="宋体"/>
                <w:sz w:val="18"/>
                <w:szCs w:val="18"/>
              </w:rPr>
            </w:pPr>
            <w:r>
              <w:rPr>
                <w:rFonts w:hint="eastAsia" w:ascii="宋体" w:hAnsi="宋体" w:eastAsia="宋体" w:cs="宋体"/>
                <w:sz w:val="18"/>
                <w:szCs w:val="18"/>
                <w:lang w:eastAsia="zh-CN"/>
              </w:rPr>
              <w:t>高阳县</w:t>
            </w:r>
            <w:r>
              <w:rPr>
                <w:rFonts w:hint="eastAsia" w:ascii="宋体" w:hAnsi="宋体" w:eastAsia="宋体" w:cs="宋体"/>
                <w:sz w:val="18"/>
                <w:szCs w:val="18"/>
              </w:rPr>
              <w:t>财政局</w:t>
            </w:r>
          </w:p>
          <w:p>
            <w:pPr>
              <w:tabs>
                <w:tab w:val="left" w:pos="7937"/>
              </w:tabs>
              <w:spacing w:line="260" w:lineRule="exact"/>
              <w:jc w:val="center"/>
              <w:rPr>
                <w:rFonts w:hint="eastAsia" w:ascii="宋体" w:hAnsi="宋体" w:eastAsia="宋体" w:cs="宋体"/>
                <w:sz w:val="18"/>
                <w:szCs w:val="18"/>
              </w:rPr>
            </w:pPr>
          </w:p>
        </w:tc>
        <w:tc>
          <w:tcPr>
            <w:tcW w:w="1778" w:type="dxa"/>
            <w:noWrap w:val="0"/>
            <w:vAlign w:val="center"/>
          </w:tcPr>
          <w:p>
            <w:pPr>
              <w:tabs>
                <w:tab w:val="left" w:pos="7937"/>
              </w:tabs>
              <w:spacing w:line="260" w:lineRule="exact"/>
              <w:jc w:val="center"/>
              <w:rPr>
                <w:rFonts w:hint="eastAsia" w:ascii="宋体" w:hAnsi="宋体" w:eastAsia="宋体" w:cs="宋体"/>
                <w:sz w:val="18"/>
                <w:szCs w:val="18"/>
              </w:rPr>
            </w:pPr>
            <w:r>
              <w:rPr>
                <w:rFonts w:hint="eastAsia" w:ascii="宋体" w:hAnsi="宋体" w:eastAsia="宋体" w:cs="宋体"/>
                <w:sz w:val="18"/>
                <w:szCs w:val="18"/>
              </w:rPr>
              <w:t>《会计专业技术资格考试暂行规定》</w:t>
            </w:r>
          </w:p>
          <w:p>
            <w:pPr>
              <w:tabs>
                <w:tab w:val="left" w:pos="7937"/>
              </w:tabs>
              <w:spacing w:line="260" w:lineRule="exact"/>
              <w:jc w:val="center"/>
              <w:rPr>
                <w:rFonts w:hint="eastAsia" w:ascii="宋体" w:hAnsi="宋体" w:eastAsia="宋体" w:cs="宋体"/>
                <w:sz w:val="18"/>
                <w:szCs w:val="18"/>
              </w:rPr>
            </w:pPr>
            <w:r>
              <w:rPr>
                <w:rFonts w:hint="eastAsia" w:ascii="宋体" w:hAnsi="宋体" w:eastAsia="宋体" w:cs="宋体"/>
                <w:sz w:val="18"/>
                <w:szCs w:val="18"/>
              </w:rPr>
              <w:t>《会计专业技术资格考试实施办法》</w:t>
            </w:r>
          </w:p>
        </w:tc>
        <w:tc>
          <w:tcPr>
            <w:tcW w:w="2921" w:type="dxa"/>
            <w:noWrap w:val="0"/>
            <w:vAlign w:val="center"/>
          </w:tcPr>
          <w:p>
            <w:pPr>
              <w:tabs>
                <w:tab w:val="left" w:pos="7937"/>
              </w:tabs>
              <w:spacing w:line="260" w:lineRule="exact"/>
              <w:jc w:val="left"/>
              <w:rPr>
                <w:rFonts w:hint="eastAsia" w:ascii="宋体" w:hAnsi="宋体" w:eastAsia="宋体" w:cs="宋体"/>
                <w:sz w:val="18"/>
                <w:szCs w:val="18"/>
              </w:rPr>
            </w:pPr>
            <w:r>
              <w:rPr>
                <w:rFonts w:hint="eastAsia" w:ascii="宋体" w:hAnsi="宋体" w:eastAsia="宋体" w:cs="宋体"/>
                <w:sz w:val="18"/>
                <w:szCs w:val="18"/>
              </w:rPr>
              <w:t>直接实施责任：按照上级要求组织辖区内考试报名、证书发放等各环节工作，并对信息公开、投诉等事项进行处理。</w:t>
            </w:r>
          </w:p>
        </w:tc>
        <w:tc>
          <w:tcPr>
            <w:tcW w:w="3050" w:type="dxa"/>
            <w:noWrap w:val="0"/>
            <w:vAlign w:val="center"/>
          </w:tcPr>
          <w:p>
            <w:pPr>
              <w:tabs>
                <w:tab w:val="left" w:pos="7937"/>
              </w:tabs>
              <w:spacing w:line="260" w:lineRule="exact"/>
              <w:jc w:val="left"/>
              <w:rPr>
                <w:rFonts w:hint="eastAsia" w:ascii="宋体" w:hAnsi="宋体" w:eastAsia="宋体" w:cs="宋体"/>
                <w:sz w:val="18"/>
                <w:szCs w:val="18"/>
              </w:rPr>
            </w:pPr>
            <w:r>
              <w:rPr>
                <w:rFonts w:hint="eastAsia" w:ascii="宋体" w:hAnsi="宋体" w:eastAsia="宋体" w:cs="宋体"/>
                <w:sz w:val="18"/>
                <w:szCs w:val="18"/>
              </w:rPr>
              <w:t>因不履行或不正确履行行政职责，有下列情形的，行政机关及相关工作人员应承担相应责任：</w:t>
            </w:r>
          </w:p>
          <w:p>
            <w:pPr>
              <w:numPr>
                <w:ilvl w:val="0"/>
                <w:numId w:val="1"/>
              </w:numPr>
              <w:tabs>
                <w:tab w:val="left" w:pos="7937"/>
              </w:tabs>
              <w:spacing w:line="260" w:lineRule="exact"/>
              <w:jc w:val="left"/>
              <w:rPr>
                <w:rFonts w:hint="eastAsia" w:ascii="宋体" w:hAnsi="宋体" w:eastAsia="宋体" w:cs="宋体"/>
                <w:sz w:val="18"/>
                <w:szCs w:val="18"/>
                <w:lang w:eastAsia="zh-CN"/>
              </w:rPr>
            </w:pPr>
            <w:r>
              <w:rPr>
                <w:rFonts w:hint="eastAsia" w:ascii="宋体" w:hAnsi="宋体" w:eastAsia="宋体" w:cs="宋体"/>
                <w:sz w:val="18"/>
                <w:szCs w:val="18"/>
              </w:rPr>
              <w:t>未能严格执行</w:t>
            </w:r>
            <w:r>
              <w:rPr>
                <w:rFonts w:hint="eastAsia" w:ascii="宋体" w:hAnsi="宋体" w:eastAsia="宋体" w:cs="宋体"/>
                <w:sz w:val="18"/>
                <w:szCs w:val="18"/>
                <w:lang w:eastAsia="zh-CN"/>
              </w:rPr>
              <w:t>审核报名</w:t>
            </w:r>
            <w:r>
              <w:rPr>
                <w:rFonts w:hint="eastAsia" w:ascii="宋体" w:hAnsi="宋体" w:eastAsia="宋体" w:cs="宋体"/>
                <w:sz w:val="18"/>
                <w:szCs w:val="18"/>
              </w:rPr>
              <w:t>工作的有关规章和纪律</w:t>
            </w:r>
            <w:r>
              <w:rPr>
                <w:rFonts w:hint="eastAsia" w:ascii="宋体" w:hAnsi="宋体" w:eastAsia="宋体" w:cs="宋体"/>
                <w:sz w:val="18"/>
                <w:szCs w:val="18"/>
                <w:lang w:eastAsia="zh-CN"/>
              </w:rPr>
              <w:t>。</w:t>
            </w:r>
          </w:p>
          <w:p>
            <w:pPr>
              <w:numPr>
                <w:ilvl w:val="0"/>
                <w:numId w:val="1"/>
              </w:numPr>
              <w:tabs>
                <w:tab w:val="left" w:pos="7937"/>
              </w:tabs>
              <w:spacing w:line="260" w:lineRule="exact"/>
              <w:jc w:val="left"/>
              <w:rPr>
                <w:rFonts w:hint="eastAsia" w:ascii="宋体" w:hAnsi="宋体" w:eastAsia="宋体" w:cs="宋体"/>
                <w:sz w:val="18"/>
                <w:szCs w:val="18"/>
              </w:rPr>
            </w:pPr>
            <w:r>
              <w:rPr>
                <w:rFonts w:hint="eastAsia" w:ascii="宋体" w:hAnsi="宋体" w:eastAsia="宋体" w:cs="宋体"/>
                <w:spacing w:val="-4"/>
                <w:sz w:val="18"/>
                <w:szCs w:val="18"/>
              </w:rPr>
              <w:t>其他违反法律法规规章文件规定的行为。</w:t>
            </w:r>
          </w:p>
        </w:tc>
        <w:tc>
          <w:tcPr>
            <w:tcW w:w="1375" w:type="dxa"/>
            <w:noWrap w:val="0"/>
            <w:vAlign w:val="center"/>
          </w:tcPr>
          <w:p>
            <w:pPr>
              <w:spacing w:line="400" w:lineRule="exact"/>
              <w:jc w:val="left"/>
              <w:rPr>
                <w:rFonts w:hint="eastAsia" w:ascii="仿宋" w:hAnsi="仿宋" w:eastAsia="仿宋" w:cs="仿宋"/>
                <w:sz w:val="18"/>
                <w:szCs w:val="18"/>
              </w:rPr>
            </w:pPr>
          </w:p>
        </w:tc>
      </w:tr>
    </w:tbl>
    <w:tbl>
      <w:tblPr>
        <w:tblStyle w:val="4"/>
        <w:tblpPr w:leftFromText="180" w:rightFromText="180" w:vertAnchor="page" w:horzAnchor="page" w:tblpX="1535" w:tblpY="2498"/>
        <w:tblOverlap w:val="never"/>
        <w:tblW w:w="13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1159"/>
        <w:gridCol w:w="1213"/>
        <w:gridCol w:w="1637"/>
        <w:gridCol w:w="1827"/>
        <w:gridCol w:w="3305"/>
        <w:gridCol w:w="2600"/>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4" w:hRule="exact"/>
        </w:trPr>
        <w:tc>
          <w:tcPr>
            <w:tcW w:w="673" w:type="dxa"/>
            <w:noWrap w:val="0"/>
            <w:vAlign w:val="center"/>
          </w:tcPr>
          <w:p>
            <w:pPr>
              <w:tabs>
                <w:tab w:val="left" w:pos="7937"/>
              </w:tabs>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159" w:type="dxa"/>
            <w:noWrap w:val="0"/>
            <w:vAlign w:val="center"/>
          </w:tcPr>
          <w:p>
            <w:pPr>
              <w:tabs>
                <w:tab w:val="left" w:pos="7937"/>
              </w:tabs>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其他权力</w:t>
            </w:r>
          </w:p>
        </w:tc>
        <w:tc>
          <w:tcPr>
            <w:tcW w:w="1213" w:type="dxa"/>
            <w:noWrap w:val="0"/>
            <w:vAlign w:val="center"/>
          </w:tcPr>
          <w:p>
            <w:pPr>
              <w:tabs>
                <w:tab w:val="left" w:pos="7937"/>
              </w:tabs>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中央、省、市下达的各类财政资金绩效评价</w:t>
            </w:r>
          </w:p>
        </w:tc>
        <w:tc>
          <w:tcPr>
            <w:tcW w:w="1637" w:type="dxa"/>
            <w:noWrap w:val="0"/>
            <w:vAlign w:val="center"/>
          </w:tcPr>
          <w:p>
            <w:pPr>
              <w:tabs>
                <w:tab w:val="left" w:pos="7937"/>
              </w:tabs>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高阳县财政局</w:t>
            </w:r>
          </w:p>
        </w:tc>
        <w:tc>
          <w:tcPr>
            <w:tcW w:w="1827" w:type="dxa"/>
            <w:noWrap w:val="0"/>
            <w:vAlign w:val="center"/>
          </w:tcPr>
          <w:p>
            <w:pPr>
              <w:tabs>
                <w:tab w:val="left" w:pos="7937"/>
              </w:tabs>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1、《中华人民共和国预算法》第五十七条：第三款各级政府、各部门、各单位应当对预算支出情况开展绩效评价。</w:t>
            </w:r>
          </w:p>
          <w:p>
            <w:pPr>
              <w:tabs>
                <w:tab w:val="left" w:pos="7937"/>
              </w:tabs>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2、《中华人民共和国会计法》</w:t>
            </w:r>
            <w:r>
              <w:rPr>
                <w:rFonts w:hint="eastAsia" w:ascii="宋体" w:hAnsi="宋体" w:eastAsia="宋体" w:cs="宋体"/>
                <w:color w:val="auto"/>
                <w:sz w:val="18"/>
                <w:szCs w:val="18"/>
                <w:u w:val="none"/>
                <w:lang w:val="en-US" w:eastAsia="zh-CN"/>
              </w:rPr>
              <w:t>第三十二条</w:t>
            </w:r>
            <w:r>
              <w:rPr>
                <w:rFonts w:hint="eastAsia" w:ascii="宋体" w:hAnsi="宋体" w:eastAsia="宋体" w:cs="宋体"/>
                <w:sz w:val="18"/>
                <w:szCs w:val="18"/>
                <w:lang w:val="en-US" w:eastAsia="zh-CN"/>
              </w:rPr>
              <w:t>　财政部门对各单位的下列情况实施监督：（一）是否依法设置会计账簿；（二）会计凭证、会计账簿、财务会计报告和其他会计资料是否真实、完整；会计核算是否符合本法和国家统一的会计制度的规定；（四）从事会计工作的人员是否具备专业能力、遵守职业道德。</w:t>
            </w:r>
          </w:p>
          <w:p>
            <w:pPr>
              <w:tabs>
                <w:tab w:val="left" w:pos="7937"/>
              </w:tabs>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3、中共中央国务院关于全面实施预算绩效管理的意见（中发[2018]34号）第四条第九款：开展绩效评价和结果应用。 逐步开展部门整体绩效评价，对下级政府财政运行情况实施综合绩效评价。健全绩效评价结果反馈制度和绩效问题整改责任制，加强绩效评价结果应用。</w:t>
            </w:r>
          </w:p>
          <w:p>
            <w:pPr>
              <w:tabs>
                <w:tab w:val="left" w:pos="7937"/>
              </w:tabs>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4、《财政违法行为处罚处分条例》（国务院令第427号）第二条 县级以上人民政府财政部门及审计机关在各自职权范围内，依法对财政违法行为作出处理、处罚决定。</w:t>
            </w:r>
          </w:p>
          <w:p>
            <w:pPr>
              <w:tabs>
                <w:tab w:val="left" w:pos="7937"/>
              </w:tabs>
              <w:spacing w:line="260" w:lineRule="exact"/>
              <w:jc w:val="center"/>
              <w:rPr>
                <w:rFonts w:hint="eastAsia" w:ascii="宋体" w:hAnsi="宋体" w:eastAsia="宋体" w:cs="宋体"/>
                <w:sz w:val="18"/>
                <w:szCs w:val="18"/>
                <w:lang w:val="en-US" w:eastAsia="zh-CN"/>
              </w:rPr>
            </w:pPr>
          </w:p>
        </w:tc>
        <w:tc>
          <w:tcPr>
            <w:tcW w:w="3305" w:type="dxa"/>
            <w:noWrap w:val="0"/>
            <w:vAlign w:val="center"/>
          </w:tcPr>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1、立项，起草、印发文件责任：选取重点绩效评价项目，按时制定重点评价计划，及时印发《通知》并下发到相关部门（单位）。</w:t>
            </w:r>
          </w:p>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2、开展绩效评价责任：聘请中介机构，沿资金走向并盯紧项目实施效果，拓展绩效评价深度，开展绩效评价工作。</w:t>
            </w:r>
          </w:p>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3、上报重点绩效评价结果责任：按时向预算绩效管理领导小组办公室上报重点绩效评价结果。</w:t>
            </w:r>
          </w:p>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4、分项目逐一建立绩效评价档案。</w:t>
            </w:r>
          </w:p>
          <w:p>
            <w:pPr>
              <w:tabs>
                <w:tab w:val="left" w:pos="7937"/>
              </w:tabs>
              <w:spacing w:line="260" w:lineRule="exact"/>
              <w:jc w:val="left"/>
              <w:rPr>
                <w:rFonts w:hint="eastAsia" w:ascii="宋体" w:hAnsi="宋体" w:eastAsia="宋体" w:cs="宋体"/>
                <w:sz w:val="18"/>
                <w:szCs w:val="18"/>
                <w:lang w:val="en-US" w:eastAsia="zh-CN"/>
              </w:rPr>
            </w:pPr>
          </w:p>
          <w:p>
            <w:pPr>
              <w:tabs>
                <w:tab w:val="left" w:pos="7937"/>
              </w:tabs>
              <w:spacing w:line="260" w:lineRule="exact"/>
              <w:jc w:val="left"/>
              <w:rPr>
                <w:rFonts w:hint="eastAsia" w:ascii="宋体" w:hAnsi="宋体" w:eastAsia="宋体" w:cs="宋体"/>
                <w:sz w:val="18"/>
                <w:szCs w:val="18"/>
                <w:lang w:val="en-US" w:eastAsia="zh-CN"/>
              </w:rPr>
            </w:pPr>
          </w:p>
        </w:tc>
        <w:tc>
          <w:tcPr>
            <w:tcW w:w="2600" w:type="dxa"/>
            <w:noWrap w:val="0"/>
            <w:vAlign w:val="center"/>
          </w:tcPr>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因不履行或不正确履行行政职责，有下列情形的，行政机关及相关工作人员应承担相应责任：</w:t>
            </w:r>
          </w:p>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1、对不符合规定条件的部门、项目纳入了县级财政重点绩效评价范围的；</w:t>
            </w:r>
          </w:p>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2、绩效评价过程中，未依法实施评价，因组织不力，出现玩忽职守、滥用职权的；</w:t>
            </w:r>
          </w:p>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3、未按时上报绩效评价结果，给预算绩效管理工作造成影响的；</w:t>
            </w:r>
          </w:p>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4、未按相关要求建立并完善绩效评价档案，实施统一归口管理的；</w:t>
            </w:r>
          </w:p>
          <w:p>
            <w:pPr>
              <w:tabs>
                <w:tab w:val="left" w:pos="7937"/>
              </w:tabs>
              <w:spacing w:line="260" w:lineRule="exact"/>
              <w:jc w:val="left"/>
              <w:rPr>
                <w:rFonts w:hint="eastAsia" w:ascii="宋体" w:hAnsi="宋体" w:eastAsia="宋体" w:cs="宋体"/>
                <w:sz w:val="18"/>
                <w:szCs w:val="18"/>
                <w:lang w:val="en-US" w:eastAsia="zh-CN"/>
              </w:rPr>
            </w:pPr>
          </w:p>
        </w:tc>
        <w:tc>
          <w:tcPr>
            <w:tcW w:w="1554" w:type="dxa"/>
            <w:noWrap w:val="0"/>
            <w:vAlign w:val="center"/>
          </w:tcPr>
          <w:p>
            <w:pPr>
              <w:tabs>
                <w:tab w:val="left" w:pos="7937"/>
              </w:tabs>
              <w:spacing w:line="260" w:lineRule="exact"/>
              <w:jc w:val="left"/>
              <w:rPr>
                <w:rFonts w:hint="eastAsia" w:ascii="宋体" w:hAnsi="宋体" w:eastAsia="宋体" w:cs="宋体"/>
                <w:sz w:val="18"/>
                <w:szCs w:val="18"/>
                <w:lang w:val="en-US" w:eastAsia="zh-CN"/>
              </w:rPr>
            </w:pPr>
          </w:p>
        </w:tc>
      </w:tr>
    </w:tbl>
    <w:tbl>
      <w:tblPr>
        <w:tblStyle w:val="4"/>
        <w:tblW w:w="138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247"/>
        <w:gridCol w:w="1247"/>
        <w:gridCol w:w="1247"/>
        <w:gridCol w:w="2765"/>
        <w:gridCol w:w="2231"/>
        <w:gridCol w:w="3050"/>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2" w:hRule="atLeast"/>
        </w:trPr>
        <w:tc>
          <w:tcPr>
            <w:tcW w:w="690" w:type="dxa"/>
            <w:noWrap w:val="0"/>
            <w:vAlign w:val="center"/>
          </w:tcPr>
          <w:p>
            <w:pPr>
              <w:tabs>
                <w:tab w:val="center" w:pos="297"/>
                <w:tab w:val="left" w:pos="447"/>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b/>
            </w:r>
            <w:r>
              <w:rPr>
                <w:rFonts w:hint="eastAsia" w:ascii="宋体" w:hAnsi="宋体" w:eastAsia="宋体" w:cs="宋体"/>
                <w:sz w:val="18"/>
                <w:szCs w:val="18"/>
                <w:lang w:val="en-US" w:eastAsia="zh-CN"/>
              </w:rPr>
              <w:t>11</w:t>
            </w:r>
          </w:p>
        </w:tc>
        <w:tc>
          <w:tcPr>
            <w:tcW w:w="1247" w:type="dxa"/>
            <w:noWrap w:val="0"/>
            <w:vAlign w:val="center"/>
          </w:tcPr>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其他权力</w:t>
            </w:r>
          </w:p>
        </w:tc>
        <w:tc>
          <w:tcPr>
            <w:tcW w:w="1247" w:type="dxa"/>
            <w:noWrap w:val="0"/>
            <w:vAlign w:val="center"/>
          </w:tcPr>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应采用公开招标方式而采用其他方式审批</w:t>
            </w:r>
          </w:p>
        </w:tc>
        <w:tc>
          <w:tcPr>
            <w:tcW w:w="1247" w:type="dxa"/>
            <w:noWrap w:val="0"/>
            <w:vAlign w:val="center"/>
          </w:tcPr>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高阳县财政局</w:t>
            </w:r>
          </w:p>
        </w:tc>
        <w:tc>
          <w:tcPr>
            <w:tcW w:w="2765" w:type="dxa"/>
            <w:noWrap w:val="0"/>
            <w:vAlign w:val="center"/>
          </w:tcPr>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政府采购法</w:t>
            </w:r>
          </w:p>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第二十七条 采购人采购货物或者服务应当采用公开招标方式的，其具体数额标准，属于中央预算的政府采购项目，由国务院规定；属于地方预算的政府采购项目，由省、自治区、直辖市人民政府规定；因特殊情况需要采用公开招标以外的采购方式的，应当在采购活动开始前获得设区的市、自治州以上人民政府采购监督管理部门的批准。</w:t>
            </w:r>
          </w:p>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政府采购法实施条例</w:t>
            </w:r>
          </w:p>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第二十三条　采购人采购公开招标数额标准以上的货物或者服务，符合政府采购法第二十九条、第三十条、第三十一条、第三十二条规定情形或者有需要执行政府采购政策等特殊情况的，经设区的市级以上人民政府财政部门批准，可以依法采用公开招标以外的采购方式。</w:t>
            </w:r>
          </w:p>
        </w:tc>
        <w:tc>
          <w:tcPr>
            <w:tcW w:w="2231" w:type="dxa"/>
            <w:noWrap w:val="0"/>
            <w:vAlign w:val="center"/>
          </w:tcPr>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审查责任：</w:t>
            </w:r>
          </w:p>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对采购人上报的应采用公开招标方式而采用其他方式的申请材料进行审查，对申报理由的合理性、材料完整性审查。</w:t>
            </w:r>
          </w:p>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批复责任：对资料完整、理由充分的申请批复</w:t>
            </w:r>
          </w:p>
          <w:p>
            <w:pPr>
              <w:tabs>
                <w:tab w:val="left" w:pos="7937"/>
              </w:tabs>
              <w:spacing w:line="260" w:lineRule="exact"/>
              <w:jc w:val="left"/>
              <w:rPr>
                <w:rFonts w:hint="eastAsia" w:ascii="宋体" w:hAnsi="宋体" w:eastAsia="宋体" w:cs="宋体"/>
                <w:sz w:val="18"/>
                <w:szCs w:val="18"/>
                <w:lang w:val="en-US" w:eastAsia="zh-CN"/>
              </w:rPr>
            </w:pPr>
          </w:p>
        </w:tc>
        <w:tc>
          <w:tcPr>
            <w:tcW w:w="3050" w:type="dxa"/>
            <w:noWrap w:val="0"/>
            <w:vAlign w:val="center"/>
          </w:tcPr>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因不履行或不正确履行行政职责，有下列情形的，行政机关及相关工作人员应承担相应责任：</w:t>
            </w:r>
          </w:p>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1．对资料完整和理由充分的申请没有及时批复的；</w:t>
            </w:r>
          </w:p>
          <w:p>
            <w:pPr>
              <w:tabs>
                <w:tab w:val="left" w:pos="7937"/>
              </w:tabs>
              <w:spacing w:line="26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2.对资料不完整或理由不充分的申请进行批复的</w:t>
            </w:r>
          </w:p>
        </w:tc>
        <w:tc>
          <w:tcPr>
            <w:tcW w:w="1375" w:type="dxa"/>
            <w:noWrap w:val="0"/>
            <w:vAlign w:val="center"/>
          </w:tcPr>
          <w:p>
            <w:pPr>
              <w:tabs>
                <w:tab w:val="left" w:pos="7937"/>
              </w:tabs>
              <w:spacing w:line="260" w:lineRule="exact"/>
              <w:jc w:val="left"/>
              <w:rPr>
                <w:rFonts w:hint="eastAsia" w:ascii="宋体" w:hAnsi="宋体" w:eastAsia="宋体" w:cs="宋体"/>
                <w:sz w:val="18"/>
                <w:szCs w:val="18"/>
                <w:lang w:val="en-US" w:eastAsia="zh-CN"/>
              </w:rPr>
            </w:pPr>
          </w:p>
        </w:tc>
      </w:tr>
    </w:tbl>
    <w:p>
      <w:pPr>
        <w:rPr>
          <w:rFonts w:hint="eastAsia" w:ascii="楷体_GB2312" w:hAnsi="楷体_GB2312" w:eastAsia="楷体_GB2312"/>
          <w:lang w:val="en-US" w:eastAsia="zh-CN"/>
        </w:rPr>
      </w:pPr>
    </w:p>
    <w:sectPr>
      <w:pgSz w:w="16838" w:h="11906" w:orient="landscape"/>
      <w:pgMar w:top="1009" w:right="1440" w:bottom="1803" w:left="1440" w:header="851" w:footer="992" w:gutter="0"/>
      <w:cols w:space="0" w:num="1"/>
      <w:rtlGutter w:val="0"/>
      <w:docGrid w:type="lines" w:linePitch="45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BA2C17"/>
    <w:multiLevelType w:val="singleLevel"/>
    <w:tmpl w:val="E8BA2C1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22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3695A"/>
    <w:rsid w:val="033944F9"/>
    <w:rsid w:val="115646B8"/>
    <w:rsid w:val="1F310776"/>
    <w:rsid w:val="1F98091D"/>
    <w:rsid w:val="23CF1DD1"/>
    <w:rsid w:val="282860C4"/>
    <w:rsid w:val="2FB945F9"/>
    <w:rsid w:val="30643861"/>
    <w:rsid w:val="39DF32B0"/>
    <w:rsid w:val="43A02342"/>
    <w:rsid w:val="530B3109"/>
    <w:rsid w:val="5A725BDC"/>
    <w:rsid w:val="5B13695A"/>
    <w:rsid w:val="60E21264"/>
    <w:rsid w:val="61456FA7"/>
    <w:rsid w:val="67E952D6"/>
    <w:rsid w:val="693C1675"/>
    <w:rsid w:val="7A38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2"/>
    <w:basedOn w:val="1"/>
    <w:next w:val="1"/>
    <w:semiHidden/>
    <w:qFormat/>
    <w:uiPriority w:val="0"/>
    <w:pPr>
      <w:adjustRightInd w:val="0"/>
      <w:snapToGrid w:val="0"/>
      <w:spacing w:line="560" w:lineRule="exact"/>
      <w:jc w:val="center"/>
    </w:pPr>
    <w:rPr>
      <w:rFonts w:ascii="仿宋_GB2312" w:hAnsi="黑体" w:eastAsia="仿宋_GB2312"/>
      <w:sz w:val="32"/>
      <w:szCs w:val="32"/>
    </w:rPr>
  </w:style>
  <w:style w:type="paragraph" w:styleId="3">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2020-12-29T06:59:00Z</dcterms:created>
  <dc:creator>小瑞的姐姐</dc:creator>
  <cp:lastModifiedBy>Administratorgy0312</cp:lastModifiedBy>
  <dcterms:modified xsi:type="dcterms:W3CDTF">2025-03-24T13:44:02Z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B227FADD5C444275B0F85C0DDAA7FB7C</vt:lpwstr>
  </property>
</Properties>
</file>