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286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附件5</w:t>
      </w:r>
    </w:p>
    <w:p w14:paraId="253F3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outlineLvl w:val="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/>
          <w:sz w:val="32"/>
          <w:szCs w:val="32"/>
          <w:lang w:val="en-US" w:eastAsia="zh-CN"/>
        </w:rPr>
        <w:t>庞口镇镇区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土地级别与基准地价表</w:t>
      </w:r>
    </w:p>
    <w:p w14:paraId="2BBBB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庞口镇镇区基准地价成果一览表</w:t>
      </w:r>
    </w:p>
    <w:tbl>
      <w:tblPr>
        <w:tblStyle w:val="3"/>
        <w:tblW w:w="5091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56"/>
        <w:gridCol w:w="1483"/>
        <w:gridCol w:w="1532"/>
        <w:gridCol w:w="1455"/>
        <w:gridCol w:w="1376"/>
      </w:tblGrid>
      <w:tr w14:paraId="1ACC9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237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vAlign w:val="center"/>
          </w:tcPr>
          <w:p w14:paraId="4814D7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土地级别</w:t>
            </w:r>
          </w:p>
          <w:p w14:paraId="65192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用地类型</w:t>
            </w:r>
          </w:p>
        </w:tc>
        <w:tc>
          <w:tcPr>
            <w:tcW w:w="9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3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Ⅰ级</w:t>
            </w:r>
          </w:p>
        </w:tc>
        <w:tc>
          <w:tcPr>
            <w:tcW w:w="8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Ⅱ级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E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Ⅲ级</w:t>
            </w:r>
          </w:p>
        </w:tc>
      </w:tr>
      <w:tr w14:paraId="63D65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7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72F0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03CA1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31F09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E1EF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65CF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0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商服用地</w:t>
            </w:r>
          </w:p>
        </w:tc>
        <w:tc>
          <w:tcPr>
            <w:tcW w:w="8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8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8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A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DB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F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</w:tr>
      <w:tr w14:paraId="72502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C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D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3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C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66.3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7D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58.1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00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49.9</w:t>
            </w:r>
          </w:p>
        </w:tc>
      </w:tr>
      <w:tr w14:paraId="5470B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71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2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地价幅度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D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D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1095-885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6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972-797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3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847-589</w:t>
            </w:r>
          </w:p>
        </w:tc>
      </w:tr>
      <w:tr w14:paraId="58F53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6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0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7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7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73-59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64.8-53.1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56.5-39.3</w:t>
            </w:r>
          </w:p>
        </w:tc>
      </w:tr>
      <w:tr w14:paraId="045C3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2A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E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楼面地价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0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元/建筑平米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8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B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</w:tr>
      <w:tr w14:paraId="1D84E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2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D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楼面地价幅度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F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元/建筑平米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D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547.5-442.5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6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486-398.5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4D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423.5-294.5</w:t>
            </w:r>
          </w:p>
        </w:tc>
      </w:tr>
      <w:tr w14:paraId="06DB9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C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住宅用地</w:t>
            </w:r>
          </w:p>
        </w:tc>
        <w:tc>
          <w:tcPr>
            <w:tcW w:w="8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F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5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5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92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</w:tr>
      <w:tr w14:paraId="75500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E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0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8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9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58.1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B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50.2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39.4</w:t>
            </w:r>
          </w:p>
        </w:tc>
      </w:tr>
      <w:tr w14:paraId="2DD6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B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2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地价幅度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7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3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1016-776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C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862-636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CF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710-462</w:t>
            </w:r>
          </w:p>
        </w:tc>
      </w:tr>
      <w:tr w14:paraId="35C98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4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DF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67.7-51.7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F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57.5-42.4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47.3-30.8</w:t>
            </w:r>
          </w:p>
        </w:tc>
      </w:tr>
      <w:tr w14:paraId="6D7C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0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6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楼面地价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A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元/建筑平米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F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580.7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B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D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</w:tr>
      <w:tr w14:paraId="4D2E2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3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1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楼面地价幅度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5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元/建筑平米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5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677.3-517.3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8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574.7-424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3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473.3-308</w:t>
            </w:r>
          </w:p>
        </w:tc>
      </w:tr>
      <w:tr w14:paraId="740C2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6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工业用地</w:t>
            </w:r>
          </w:p>
        </w:tc>
        <w:tc>
          <w:tcPr>
            <w:tcW w:w="8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基准地价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C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C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04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</w:tr>
      <w:tr w14:paraId="4A78E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D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E3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D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BE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31.9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BB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24.3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7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15.4</w:t>
            </w:r>
          </w:p>
        </w:tc>
      </w:tr>
      <w:tr w14:paraId="7BAA6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9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9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地价幅度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99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元/平方米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547-389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D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432-284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6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311-163</w:t>
            </w:r>
          </w:p>
        </w:tc>
      </w:tr>
      <w:tr w14:paraId="2ECE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8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2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C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万元/亩</w:t>
            </w:r>
          </w:p>
        </w:tc>
        <w:tc>
          <w:tcPr>
            <w:tcW w:w="9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0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36.5-25.9</w:t>
            </w:r>
          </w:p>
        </w:tc>
        <w:tc>
          <w:tcPr>
            <w:tcW w:w="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28.8-18.9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8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20.7-10.9</w:t>
            </w:r>
          </w:p>
        </w:tc>
      </w:tr>
    </w:tbl>
    <w:p w14:paraId="7E851628">
      <w:pPr>
        <w:pStyle w:val="2"/>
        <w:snapToGrid w:val="0"/>
        <w:spacing w:line="360" w:lineRule="auto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内涵：</w:t>
      </w:r>
    </w:p>
    <w:p w14:paraId="7A926EA4">
      <w:pPr>
        <w:pStyle w:val="2"/>
        <w:snapToGrid w:val="0"/>
        <w:spacing w:line="360" w:lineRule="auto"/>
        <w:ind w:firstLine="480" w:firstLineChars="200"/>
        <w:jc w:val="both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1.评估基准日为202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年1月1日；</w:t>
      </w:r>
    </w:p>
    <w:p w14:paraId="1E232C38">
      <w:pPr>
        <w:pStyle w:val="2"/>
        <w:snapToGrid w:val="0"/>
        <w:spacing w:line="360" w:lineRule="auto"/>
        <w:ind w:firstLine="480" w:firstLineChars="200"/>
        <w:jc w:val="both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2.权利状况：土地权利状况为基于出让的国有建设用地土地使用权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；</w:t>
      </w:r>
    </w:p>
    <w:p w14:paraId="6C64C0EF">
      <w:pPr>
        <w:pStyle w:val="2"/>
        <w:snapToGrid w:val="0"/>
        <w:spacing w:line="360" w:lineRule="auto"/>
        <w:ind w:firstLine="480" w:firstLineChars="200"/>
        <w:jc w:val="both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3</w:t>
      </w: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.开发程度为五通一平（通水、通电、通路、通讯、排水及场地平整）；</w:t>
      </w:r>
    </w:p>
    <w:p w14:paraId="58DA180B">
      <w:pPr>
        <w:pStyle w:val="2"/>
        <w:snapToGrid w:val="0"/>
        <w:spacing w:line="360" w:lineRule="auto"/>
        <w:ind w:firstLine="480" w:firstLineChars="200"/>
        <w:jc w:val="both"/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4</w:t>
      </w: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.土地使用年限为各用途法定最高出让年限（商服用地40年、住宅用地70年、工业用地50年）；</w:t>
      </w:r>
    </w:p>
    <w:p w14:paraId="1E3800DF">
      <w:pPr>
        <w:pStyle w:val="2"/>
        <w:snapToGrid w:val="0"/>
        <w:spacing w:line="360" w:lineRule="auto"/>
        <w:ind w:firstLine="480" w:firstLineChars="200"/>
        <w:jc w:val="both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yellow"/>
        </w:rPr>
        <w:sectPr>
          <w:pgSz w:w="11907" w:h="16840"/>
          <w:pgMar w:top="1440" w:right="1800" w:bottom="1440" w:left="1800" w:header="851" w:footer="992" w:gutter="0"/>
          <w:pgBorders w:zOrder="back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5</w:t>
      </w: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.容积率为各用途平均容积率：商服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2.0</w:t>
      </w: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、住宅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1.5</w:t>
      </w:r>
      <w:r>
        <w:rPr>
          <w:rFonts w:ascii="Times New Roman" w:hAnsi="Times New Roman" w:eastAsia="仿宋_GB2312" w:cs="Times New Roman"/>
          <w:color w:val="auto"/>
          <w:sz w:val="24"/>
          <w:szCs w:val="24"/>
          <w:highlight w:val="none"/>
        </w:rPr>
        <w:t>、工业1.0。</w:t>
      </w:r>
    </w:p>
    <w:p w14:paraId="29B9D09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B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utoSpaceDE/>
      <w:autoSpaceDN/>
      <w:jc w:val="both"/>
    </w:pPr>
    <w:rPr>
      <w:rFonts w:ascii="宋体" w:hAnsi="Courier New" w:eastAsia="宋体" w:cs="Times New Roman"/>
      <w:kern w:val="2"/>
      <w:sz w:val="21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2026-04-22T20:35:35Z</dcterms:created>
  <dc:creator>Administrator</dc:creator>
  <cp:lastModifiedBy>Administrator</cp:lastModifiedBy>
  <dcterms:modified xsi:type="dcterms:W3CDTF">2026-04-22T20:35:45Z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9B8D71FAA710484B935631BFDAD89194_12</vt:lpwstr>
  </property>
</Properties>
</file>