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D6C498">
      <w:pPr>
        <w:snapToGrid w:val="0"/>
        <w:spacing w:line="580" w:lineRule="exact"/>
        <w:jc w:val="center"/>
        <w:rPr>
          <w:rFonts w:hint="eastAsia" w:ascii="方正小标宋_GBK" w:hAnsi="宋体" w:eastAsia="方正小标宋_GBK" w:cs="Tahoma"/>
          <w:kern w:val="0"/>
          <w:sz w:val="44"/>
          <w:szCs w:val="44"/>
          <w:lang w:val="en-US" w:eastAsia="zh-CN"/>
        </w:rPr>
      </w:pPr>
      <w:r>
        <w:rPr>
          <w:rFonts w:hint="eastAsia" w:ascii="方正小标宋_GBK" w:hAnsi="宋体" w:eastAsia="方正小标宋_GBK" w:cs="Tahoma"/>
          <w:kern w:val="0"/>
          <w:sz w:val="44"/>
          <w:szCs w:val="44"/>
        </w:rPr>
        <w:t>2022年度</w:t>
      </w:r>
      <w:r>
        <w:rPr>
          <w:rFonts w:hint="eastAsia" w:ascii="方正小标宋_GBK" w:hAnsi="宋体" w:eastAsia="方正小标宋_GBK" w:cs="Tahoma"/>
          <w:kern w:val="0"/>
          <w:sz w:val="44"/>
          <w:szCs w:val="44"/>
          <w:lang w:val="en-US" w:eastAsia="zh-CN"/>
        </w:rPr>
        <w:t>高阳县文化广电和旅游局</w:t>
      </w:r>
    </w:p>
    <w:p w14:paraId="6563C6F9">
      <w:pPr>
        <w:snapToGrid w:val="0"/>
        <w:spacing w:line="580" w:lineRule="exact"/>
        <w:jc w:val="center"/>
        <w:rPr>
          <w:rFonts w:ascii="方正小标宋_GBK" w:hAnsi="宋体" w:eastAsia="方正小标宋_GBK"/>
          <w:sz w:val="44"/>
          <w:szCs w:val="44"/>
        </w:rPr>
      </w:pPr>
      <w:r>
        <w:rPr>
          <w:rFonts w:hint="eastAsia" w:ascii="方正小标宋_GBK" w:hAnsi="宋体" w:eastAsia="方正小标宋_GBK" w:cs="Tahoma"/>
          <w:kern w:val="0"/>
          <w:sz w:val="44"/>
          <w:szCs w:val="44"/>
        </w:rPr>
        <w:t>整体</w:t>
      </w:r>
      <w:r>
        <w:rPr>
          <w:rFonts w:hint="eastAsia" w:ascii="方正小标宋_GBK" w:hAnsi="宋体" w:eastAsia="方正小标宋_GBK"/>
          <w:sz w:val="44"/>
          <w:szCs w:val="44"/>
        </w:rPr>
        <w:t>绩效自评工作报告</w:t>
      </w:r>
    </w:p>
    <w:p w14:paraId="7D136057">
      <w:pPr>
        <w:snapToGrid w:val="0"/>
        <w:spacing w:line="580" w:lineRule="exact"/>
        <w:jc w:val="center"/>
        <w:rPr>
          <w:rFonts w:ascii="方正仿宋_GBK" w:hAnsi="宋体" w:eastAsia="方正仿宋_GBK"/>
          <w:sz w:val="32"/>
          <w:szCs w:val="32"/>
        </w:rPr>
      </w:pPr>
    </w:p>
    <w:p w14:paraId="09863F96">
      <w:pPr>
        <w:snapToGrid w:val="0"/>
        <w:spacing w:line="400" w:lineRule="exact"/>
        <w:ind w:firstLine="643" w:firstLineChars="200"/>
        <w:rPr>
          <w:rFonts w:ascii="仿宋_GB2312" w:hAnsi="宋体" w:eastAsia="仿宋_GB2312"/>
          <w:b/>
          <w:sz w:val="32"/>
          <w:szCs w:val="32"/>
        </w:rPr>
      </w:pPr>
    </w:p>
    <w:p w14:paraId="6F3485A2">
      <w:pPr>
        <w:snapToGrid w:val="0"/>
        <w:spacing w:line="580" w:lineRule="exact"/>
        <w:ind w:firstLine="640" w:firstLineChars="200"/>
        <w:rPr>
          <w:rFonts w:ascii="方正黑体_GBK" w:hAnsi="宋体" w:eastAsia="方正黑体_GBK"/>
          <w:sz w:val="32"/>
          <w:szCs w:val="32"/>
        </w:rPr>
      </w:pPr>
      <w:r>
        <w:rPr>
          <w:rFonts w:hint="eastAsia" w:ascii="方正黑体_GBK" w:hAnsi="宋体" w:eastAsia="方正黑体_GBK"/>
          <w:sz w:val="32"/>
          <w:szCs w:val="32"/>
        </w:rPr>
        <w:t>一、绩效自评工作组织开展情况</w:t>
      </w:r>
    </w:p>
    <w:p w14:paraId="372E7E87">
      <w:pPr>
        <w:snapToGrid w:val="0"/>
        <w:spacing w:line="58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为开展好本次部门绩效自评工作，根据《高阳县县级部门预算项目绩效自评管理办法》（高财监[2020]6号），以及高阳县财政局《关于做好2022年度县级预算</w:t>
      </w:r>
      <w:r>
        <w:rPr>
          <w:rFonts w:hint="eastAsia" w:ascii="仿宋_GB2312" w:eastAsia="仿宋_GB2312" w:cs="仿宋_GB2312"/>
          <w:sz w:val="32"/>
          <w:szCs w:val="32"/>
          <w:lang w:val="en-US" w:eastAsia="zh-CN"/>
        </w:rPr>
        <w:t>项目</w:t>
      </w:r>
      <w:r>
        <w:rPr>
          <w:rFonts w:hint="eastAsia" w:ascii="仿宋_GB2312" w:eastAsia="仿宋_GB2312" w:cs="仿宋_GB2312"/>
          <w:sz w:val="32"/>
          <w:szCs w:val="32"/>
        </w:rPr>
        <w:t>绩效自评工作的通知》（高财稽查[202</w:t>
      </w:r>
      <w:r>
        <w:rPr>
          <w:rFonts w:hint="eastAsia" w:ascii="仿宋_GB2312" w:eastAsia="仿宋_GB2312" w:cs="仿宋_GB2312"/>
          <w:sz w:val="32"/>
          <w:szCs w:val="32"/>
          <w:lang w:val="en-US" w:eastAsia="zh-CN"/>
        </w:rPr>
        <w:t>3</w:t>
      </w:r>
      <w:r>
        <w:rPr>
          <w:rFonts w:hint="eastAsia" w:ascii="仿宋_GB2312" w:eastAsia="仿宋_GB2312" w:cs="仿宋_GB2312"/>
          <w:sz w:val="32"/>
          <w:szCs w:val="32"/>
        </w:rPr>
        <w:t>]</w:t>
      </w:r>
      <w:r>
        <w:rPr>
          <w:rFonts w:hint="eastAsia" w:ascii="仿宋_GB2312" w:eastAsia="仿宋_GB2312" w:cs="仿宋_GB2312"/>
          <w:sz w:val="32"/>
          <w:szCs w:val="32"/>
          <w:lang w:val="en-US" w:eastAsia="zh-CN"/>
        </w:rPr>
        <w:t>1</w:t>
      </w:r>
      <w:r>
        <w:rPr>
          <w:rFonts w:hint="eastAsia" w:ascii="仿宋_GB2312" w:eastAsia="仿宋_GB2312" w:cs="仿宋_GB2312"/>
          <w:sz w:val="32"/>
          <w:szCs w:val="32"/>
        </w:rPr>
        <w:t>号）等文件要求，本部门按以下步骤对预算项目开展绩效评价：</w:t>
      </w:r>
    </w:p>
    <w:p w14:paraId="6328E46A">
      <w:pPr>
        <w:snapToGrid w:val="0"/>
        <w:spacing w:line="58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（1）组织成立部门整体支出自评工作领导小组；</w:t>
      </w:r>
    </w:p>
    <w:p w14:paraId="5DBA35E0">
      <w:pPr>
        <w:snapToGrid w:val="0"/>
        <w:spacing w:line="58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（2）收集绩效信息。绩效自评小组从项目管理部门和财务部门收集项目相关资料，如预算资料，财务资料，合同资料等等，组织召开座谈会，最终形成整体支出绩效评价资料；</w:t>
      </w:r>
    </w:p>
    <w:p w14:paraId="5C69C367">
      <w:pPr>
        <w:snapToGrid w:val="0"/>
        <w:spacing w:line="58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（3）开展绩效评价。</w:t>
      </w:r>
    </w:p>
    <w:p w14:paraId="64A24DCC">
      <w:pPr>
        <w:snapToGrid w:val="0"/>
        <w:spacing w:line="58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（4）自评情况总结，形成专题报告。</w:t>
      </w:r>
    </w:p>
    <w:p w14:paraId="0116A5A5">
      <w:pPr>
        <w:numPr>
          <w:ilvl w:val="0"/>
          <w:numId w:val="1"/>
        </w:numPr>
        <w:snapToGrid w:val="0"/>
        <w:spacing w:line="580" w:lineRule="exact"/>
        <w:ind w:firstLine="640" w:firstLineChars="200"/>
        <w:rPr>
          <w:rFonts w:hint="eastAsia" w:ascii="方正黑体_GBK" w:hAnsi="宋体" w:eastAsia="方正黑体_GBK"/>
          <w:sz w:val="32"/>
          <w:szCs w:val="32"/>
        </w:rPr>
      </w:pPr>
      <w:r>
        <w:rPr>
          <w:rFonts w:hint="eastAsia" w:ascii="方正黑体_GBK" w:hAnsi="宋体" w:eastAsia="方正黑体_GBK"/>
          <w:sz w:val="32"/>
          <w:szCs w:val="32"/>
        </w:rPr>
        <w:t>绩效目标实现情况</w:t>
      </w:r>
    </w:p>
    <w:p w14:paraId="5AE5CA4F">
      <w:pPr>
        <w:numPr>
          <w:ilvl w:val="0"/>
          <w:numId w:val="2"/>
        </w:numPr>
        <w:rPr>
          <w:rFonts w:ascii="Arial" w:hAnsi="Arial" w:cs="Arial"/>
          <w:b/>
          <w:bCs/>
          <w:color w:val="333333"/>
          <w:sz w:val="28"/>
          <w:szCs w:val="28"/>
          <w:shd w:val="clear" w:color="auto" w:fill="FFFFFF"/>
        </w:rPr>
      </w:pPr>
      <w:r>
        <w:rPr>
          <w:rFonts w:hint="eastAsia" w:ascii="Arial" w:hAnsi="Arial" w:cs="Arial"/>
          <w:b/>
          <w:bCs/>
          <w:color w:val="333333"/>
          <w:sz w:val="28"/>
          <w:szCs w:val="28"/>
          <w:shd w:val="clear" w:color="auto" w:fill="FFFFFF"/>
        </w:rPr>
        <w:t>部门总体工作开展情况</w:t>
      </w:r>
    </w:p>
    <w:p w14:paraId="61AD0341">
      <w:pPr>
        <w:spacing w:line="560" w:lineRule="exact"/>
        <w:ind w:firstLine="640" w:firstLineChars="200"/>
        <w:jc w:val="left"/>
        <w:rPr>
          <w:rFonts w:ascii="黑体" w:eastAsia="黑体" w:cs="仿宋_GB2312"/>
          <w:sz w:val="32"/>
          <w:szCs w:val="32"/>
        </w:rPr>
      </w:pPr>
      <w:r>
        <w:rPr>
          <w:rFonts w:hint="eastAsia" w:ascii="黑体" w:eastAsia="黑体" w:cs="仿宋_GB2312"/>
          <w:sz w:val="32"/>
          <w:szCs w:val="32"/>
          <w:lang w:val="en-US" w:eastAsia="zh-CN"/>
        </w:rPr>
        <w:t>1、</w:t>
      </w:r>
      <w:r>
        <w:rPr>
          <w:rFonts w:hint="eastAsia" w:ascii="黑体" w:eastAsia="黑体" w:cs="仿宋_GB2312"/>
          <w:sz w:val="32"/>
          <w:szCs w:val="32"/>
        </w:rPr>
        <w:t>文物保护工作</w:t>
      </w:r>
    </w:p>
    <w:p w14:paraId="4F85C448">
      <w:pPr>
        <w:adjustRightInd w:val="0"/>
        <w:snapToGrid w:val="0"/>
        <w:spacing w:line="560" w:lineRule="exact"/>
        <w:ind w:firstLine="640" w:firstLineChars="200"/>
        <w:jc w:val="left"/>
        <w:rPr>
          <w:rFonts w:ascii="仿宋" w:eastAsia="仿宋" w:cs="仿宋_GB2312"/>
          <w:sz w:val="32"/>
          <w:szCs w:val="32"/>
        </w:rPr>
      </w:pPr>
      <w:r>
        <w:rPr>
          <w:rFonts w:hint="eastAsia" w:ascii="仿宋" w:eastAsia="仿宋" w:cs="仿宋_GB2312"/>
          <w:sz w:val="32"/>
          <w:szCs w:val="32"/>
        </w:rPr>
        <w:t>文物遗存是古城高阳的历史记忆，也是文化高阳的基因传承，进一步加强文物保护修缮利用,对传承优秀传统文化、扩大高阳文化影响力、满足人民群众精神文化需求、促进经济社会发展等都具有重要意义。</w:t>
      </w:r>
    </w:p>
    <w:p w14:paraId="11D31546">
      <w:pPr>
        <w:keepNext w:val="0"/>
        <w:keepLines w:val="0"/>
        <w:pageBreakBefore w:val="0"/>
        <w:widowControl/>
        <w:kinsoku/>
        <w:wordWrap/>
        <w:overflowPunct/>
        <w:topLinePunct w:val="0"/>
        <w:autoSpaceDE/>
        <w:autoSpaceDN/>
        <w:bidi w:val="0"/>
        <w:adjustRightInd w:val="0"/>
        <w:snapToGrid w:val="0"/>
        <w:spacing w:line="560" w:lineRule="exact"/>
        <w:ind w:left="0" w:firstLine="640" w:firstLineChars="200"/>
        <w:jc w:val="left"/>
        <w:textAlignment w:val="auto"/>
        <w:rPr>
          <w:rFonts w:hint="eastAsia" w:ascii="仿宋" w:eastAsia="仿宋" w:cs="仿宋_GB2312"/>
          <w:sz w:val="32"/>
          <w:szCs w:val="32"/>
          <w:lang w:val="en-US" w:eastAsia="zh-CN"/>
        </w:rPr>
      </w:pPr>
      <w:r>
        <w:rPr>
          <w:rFonts w:hint="eastAsia" w:ascii="仿宋" w:eastAsia="仿宋" w:cs="仿宋_GB2312"/>
          <w:sz w:val="32"/>
          <w:szCs w:val="32"/>
        </w:rPr>
        <w:t>按照工作部署，</w:t>
      </w:r>
      <w:r>
        <w:rPr>
          <w:rFonts w:hint="eastAsia" w:ascii="仿宋" w:eastAsia="仿宋" w:cs="仿宋_GB2312"/>
          <w:sz w:val="32"/>
          <w:szCs w:val="32"/>
          <w:lang w:val="en-US" w:eastAsia="zh-CN"/>
        </w:rPr>
        <w:t>今年已完成省保单位—李氏家族墓安防工程技术验收，</w:t>
      </w:r>
      <w:r>
        <w:rPr>
          <w:rFonts w:hint="eastAsia" w:ascii="仿宋" w:eastAsia="仿宋" w:cs="仿宋_GB2312"/>
          <w:sz w:val="32"/>
          <w:szCs w:val="32"/>
        </w:rPr>
        <w:t>布里留法工艺学校旧址</w:t>
      </w:r>
      <w:r>
        <w:rPr>
          <w:rFonts w:hint="eastAsia" w:ascii="仿宋" w:eastAsia="仿宋" w:cs="仿宋_GB2312"/>
          <w:sz w:val="32"/>
          <w:szCs w:val="32"/>
          <w:lang w:val="en-US" w:eastAsia="zh-CN"/>
        </w:rPr>
        <w:t>因历经百年沧桑、风雨侵蚀，部分墙体外凸现象严重，我们委托河北天博建设科技有限公司出具了《检测鉴定报告》，河北木石古代建筑设计有限公司编制了《抢险加固工程设计</w:t>
      </w:r>
      <w:r>
        <w:rPr>
          <w:rFonts w:ascii="仿宋" w:eastAsia="仿宋" w:cs="仿宋_GB2312"/>
          <w:sz w:val="32"/>
          <w:szCs w:val="32"/>
          <w:lang w:val="en-US" w:eastAsia="zh-CN"/>
        </w:rPr>
        <w:t>方</w:t>
      </w:r>
      <w:r>
        <w:rPr>
          <w:rFonts w:hint="eastAsia" w:ascii="仿宋" w:eastAsia="仿宋" w:cs="仿宋_GB2312"/>
          <w:sz w:val="32"/>
          <w:szCs w:val="32"/>
          <w:lang w:val="en-US" w:eastAsia="zh-CN"/>
        </w:rPr>
        <w:t>案》，国家文物局已经批复，目前已根据国家文物</w:t>
      </w:r>
      <w:bookmarkStart w:id="0" w:name="_GoBack"/>
      <w:bookmarkEnd w:id="0"/>
      <w:r>
        <w:rPr>
          <w:rFonts w:hint="eastAsia" w:ascii="仿宋" w:eastAsia="仿宋" w:cs="仿宋_GB2312"/>
          <w:sz w:val="32"/>
          <w:szCs w:val="32"/>
          <w:lang w:val="en-US" w:eastAsia="zh-CN"/>
        </w:rPr>
        <w:t>局意见修改完善提交省文物局审批。</w:t>
      </w:r>
    </w:p>
    <w:p w14:paraId="3692367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eastAsia="黑体" w:cs="仿宋_GB2312"/>
          <w:i w:val="0"/>
          <w:color w:val="000000"/>
          <w:kern w:val="0"/>
          <w:sz w:val="32"/>
          <w:szCs w:val="32"/>
          <w:u w:val="none"/>
          <w:lang w:val="en-US" w:eastAsia="zh-CN"/>
        </w:rPr>
      </w:pPr>
      <w:r>
        <w:rPr>
          <w:rFonts w:hint="eastAsia" w:ascii="黑体" w:eastAsia="黑体" w:cs="仿宋_GB2312"/>
          <w:i w:val="0"/>
          <w:color w:val="000000"/>
          <w:kern w:val="0"/>
          <w:sz w:val="32"/>
          <w:szCs w:val="32"/>
          <w:u w:val="none"/>
          <w:lang w:val="en-US" w:eastAsia="zh-CN"/>
        </w:rPr>
        <w:t>2、“两馆一站一中心”建设</w:t>
      </w:r>
    </w:p>
    <w:p w14:paraId="34949F02">
      <w:pPr>
        <w:keepNext w:val="0"/>
        <w:keepLines w:val="0"/>
        <w:pageBreakBefore w:val="0"/>
        <w:widowControl w:val="0"/>
        <w:kinsoku/>
        <w:wordWrap/>
        <w:overflowPunct/>
        <w:topLinePunct w:val="0"/>
        <w:autoSpaceDE/>
        <w:autoSpaceDN/>
        <w:adjustRightInd/>
        <w:snapToGrid/>
        <w:spacing w:line="560" w:lineRule="exact"/>
        <w:ind w:firstLine="640" w:firstLineChars="200"/>
        <w:jc w:val="left"/>
        <w:rPr>
          <w:rFonts w:ascii="仿宋_GB2312" w:eastAsia="仿宋_GB2312" w:cs="仿宋_GB2312"/>
          <w:sz w:val="32"/>
          <w:szCs w:val="32"/>
        </w:rPr>
      </w:pPr>
      <w:r>
        <w:rPr>
          <w:rFonts w:ascii="仿宋_GB2312" w:eastAsia="仿宋_GB2312" w:cs="仿宋_GB2312"/>
          <w:sz w:val="32"/>
          <w:szCs w:val="32"/>
        </w:rPr>
        <w:t>2022年，</w:t>
      </w:r>
      <w:r>
        <w:rPr>
          <w:rFonts w:hint="eastAsia" w:ascii="仿宋_GB2312" w:eastAsia="仿宋_GB2312" w:cs="仿宋_GB2312"/>
          <w:sz w:val="32"/>
          <w:szCs w:val="32"/>
        </w:rPr>
        <w:t>投资</w:t>
      </w:r>
      <w:r>
        <w:rPr>
          <w:rFonts w:ascii="仿宋_GB2312" w:eastAsia="仿宋_GB2312" w:cs="仿宋_GB2312"/>
          <w:sz w:val="32"/>
          <w:szCs w:val="32"/>
        </w:rPr>
        <w:t>100余</w:t>
      </w:r>
      <w:r>
        <w:rPr>
          <w:rFonts w:hint="eastAsia" w:ascii="仿宋_GB2312" w:eastAsia="仿宋_GB2312" w:cs="仿宋_GB2312"/>
          <w:sz w:val="32"/>
          <w:szCs w:val="32"/>
        </w:rPr>
        <w:t>万元对公共图书馆进行了改造提升，</w:t>
      </w:r>
      <w:r>
        <w:rPr>
          <w:rFonts w:ascii="仿宋_GB2312" w:eastAsia="仿宋_GB2312" w:cs="仿宋_GB2312"/>
          <w:sz w:val="32"/>
          <w:szCs w:val="32"/>
        </w:rPr>
        <w:t>已按</w:t>
      </w:r>
      <w:r>
        <w:rPr>
          <w:rFonts w:hint="eastAsia" w:ascii="仿宋_GB2312" w:eastAsia="仿宋_GB2312" w:cs="仿宋_GB2312"/>
          <w:sz w:val="32"/>
          <w:szCs w:val="32"/>
        </w:rPr>
        <w:t>国家</w:t>
      </w:r>
      <w:r>
        <w:rPr>
          <w:rFonts w:ascii="仿宋_GB2312" w:eastAsia="仿宋_GB2312" w:cs="仿宋_GB2312"/>
          <w:sz w:val="32"/>
          <w:szCs w:val="32"/>
        </w:rPr>
        <w:t>一</w:t>
      </w:r>
      <w:r>
        <w:rPr>
          <w:rFonts w:hint="eastAsia" w:ascii="仿宋_GB2312" w:eastAsia="仿宋_GB2312" w:cs="仿宋_GB2312"/>
          <w:sz w:val="32"/>
          <w:szCs w:val="32"/>
        </w:rPr>
        <w:t>级馆标准</w:t>
      </w:r>
      <w:r>
        <w:rPr>
          <w:rFonts w:ascii="仿宋_GB2312" w:eastAsia="仿宋_GB2312" w:cs="仿宋_GB2312"/>
          <w:sz w:val="32"/>
          <w:szCs w:val="32"/>
        </w:rPr>
        <w:t>运营管理，已完成全国第七次图书馆评估定级材料上报，并建设完成</w:t>
      </w:r>
      <w:r>
        <w:rPr>
          <w:rFonts w:hint="eastAsia" w:ascii="仿宋_GB2312" w:eastAsia="仿宋_GB2312" w:cs="仿宋_GB2312"/>
          <w:sz w:val="32"/>
          <w:szCs w:val="32"/>
        </w:rPr>
        <w:t>“24小时”</w:t>
      </w:r>
      <w:r>
        <w:rPr>
          <w:rFonts w:ascii="仿宋_GB2312" w:eastAsia="仿宋_GB2312" w:cs="仿宋_GB2312"/>
          <w:sz w:val="32"/>
          <w:szCs w:val="32"/>
        </w:rPr>
        <w:t>图书馆。</w:t>
      </w:r>
      <w:r>
        <w:rPr>
          <w:rFonts w:ascii="仿宋_GB2312" w:eastAsia="仿宋_GB2312" w:cs="仿宋_GB2312"/>
          <w:i w:val="0"/>
          <w:color w:val="000000"/>
          <w:kern w:val="0"/>
          <w:sz w:val="32"/>
          <w:szCs w:val="32"/>
          <w:u w:val="none"/>
          <w:lang w:val="en-US" w:eastAsia="zh-CN"/>
        </w:rPr>
        <w:t>投资80万元对文化馆进行升级改造，</w:t>
      </w:r>
      <w:r>
        <w:rPr>
          <w:rFonts w:hint="eastAsia" w:ascii="仿宋_GB2312" w:eastAsia="仿宋_GB2312" w:cs="仿宋_GB2312"/>
          <w:sz w:val="32"/>
          <w:szCs w:val="32"/>
        </w:rPr>
        <w:t>在第五次全国文化馆评估定级</w:t>
      </w:r>
      <w:r>
        <w:rPr>
          <w:rFonts w:ascii="仿宋_GB2312" w:eastAsia="仿宋_GB2312" w:cs="仿宋_GB2312"/>
          <w:sz w:val="32"/>
          <w:szCs w:val="32"/>
        </w:rPr>
        <w:t>中评</w:t>
      </w:r>
      <w:r>
        <w:rPr>
          <w:rFonts w:hint="eastAsia" w:ascii="仿宋_GB2312" w:eastAsia="仿宋_GB2312" w:cs="仿宋_GB2312"/>
          <w:sz w:val="32"/>
          <w:szCs w:val="32"/>
        </w:rPr>
        <w:t>为三级馆</w:t>
      </w:r>
      <w:r>
        <w:rPr>
          <w:rFonts w:ascii="仿宋_GB2312" w:eastAsia="仿宋_GB2312" w:cs="仿宋_GB2312"/>
          <w:sz w:val="32"/>
          <w:szCs w:val="32"/>
        </w:rPr>
        <w:t>；</w:t>
      </w:r>
      <w:r>
        <w:rPr>
          <w:rFonts w:hint="eastAsia" w:ascii="仿宋_GB2312" w:eastAsia="仿宋_GB2312" w:cs="仿宋_GB2312"/>
          <w:sz w:val="32"/>
          <w:szCs w:val="32"/>
        </w:rPr>
        <w:t>镇（街道）综合文化站</w:t>
      </w:r>
      <w:r>
        <w:rPr>
          <w:rFonts w:ascii="仿宋_GB2312" w:eastAsia="仿宋_GB2312" w:cs="仿宋_GB2312"/>
          <w:sz w:val="32"/>
          <w:szCs w:val="32"/>
        </w:rPr>
        <w:t>按</w:t>
      </w:r>
      <w:r>
        <w:rPr>
          <w:rFonts w:hint="eastAsia" w:ascii="仿宋_GB2312" w:eastAsia="仿宋_GB2312" w:cs="仿宋_GB2312"/>
          <w:sz w:val="32"/>
          <w:szCs w:val="32"/>
        </w:rPr>
        <w:t>“五个一”</w:t>
      </w:r>
      <w:r>
        <w:rPr>
          <w:rFonts w:ascii="仿宋_GB2312" w:eastAsia="仿宋_GB2312" w:cs="仿宋_GB2312"/>
          <w:sz w:val="32"/>
          <w:szCs w:val="32"/>
        </w:rPr>
        <w:t>标准进行了升级改造，</w:t>
      </w:r>
      <w:r>
        <w:rPr>
          <w:rFonts w:hint="eastAsia" w:ascii="仿宋_GB2312" w:eastAsia="仿宋_GB2312" w:cs="仿宋_GB2312"/>
          <w:sz w:val="32"/>
          <w:szCs w:val="32"/>
        </w:rPr>
        <w:t>村（社区）综合性文化服务中心覆盖率达到100%。投资</w:t>
      </w:r>
      <w:r>
        <w:rPr>
          <w:rFonts w:ascii="仿宋_GB2312" w:eastAsia="仿宋_GB2312" w:cs="仿宋_GB2312"/>
          <w:sz w:val="32"/>
          <w:szCs w:val="32"/>
        </w:rPr>
        <w:t>建设</w:t>
      </w:r>
      <w:r>
        <w:rPr>
          <w:rFonts w:hint="eastAsia" w:ascii="仿宋_GB2312" w:eastAsia="仿宋_GB2312" w:cs="仿宋_GB2312"/>
          <w:sz w:val="32"/>
          <w:szCs w:val="32"/>
        </w:rPr>
        <w:t>完成</w:t>
      </w:r>
      <w:r>
        <w:rPr>
          <w:rFonts w:ascii="仿宋_GB2312" w:eastAsia="仿宋_GB2312" w:cs="仿宋_GB2312"/>
          <w:sz w:val="32"/>
          <w:szCs w:val="32"/>
        </w:rPr>
        <w:t>了</w:t>
      </w:r>
      <w:r>
        <w:rPr>
          <w:rFonts w:hint="eastAsia" w:ascii="仿宋_GB2312" w:eastAsia="仿宋_GB2312" w:cs="仿宋_GB2312"/>
          <w:sz w:val="32"/>
          <w:szCs w:val="32"/>
        </w:rPr>
        <w:t>2座乡村大舞台、9个村文化广场</w:t>
      </w:r>
      <w:r>
        <w:rPr>
          <w:rFonts w:ascii="仿宋_GB2312" w:eastAsia="仿宋_GB2312" w:cs="仿宋_GB2312"/>
          <w:sz w:val="32"/>
          <w:szCs w:val="32"/>
        </w:rPr>
        <w:t>。</w:t>
      </w:r>
    </w:p>
    <w:p w14:paraId="46C6E71E">
      <w:pPr>
        <w:spacing w:line="560" w:lineRule="exact"/>
        <w:ind w:firstLine="640" w:firstLineChars="200"/>
        <w:jc w:val="left"/>
        <w:rPr>
          <w:rFonts w:ascii="仿宋_GB2312" w:eastAsia="仿宋_GB2312" w:cs="仿宋_GB2312"/>
          <w:sz w:val="32"/>
          <w:szCs w:val="32"/>
        </w:rPr>
      </w:pPr>
      <w:r>
        <w:rPr>
          <w:rFonts w:ascii="仿宋_GB2312" w:eastAsia="仿宋_GB2312" w:cs="仿宋_GB2312"/>
          <w:sz w:val="32"/>
          <w:szCs w:val="32"/>
          <w:lang w:val="en-US" w:eastAsia="zh-CN"/>
        </w:rPr>
        <w:t>文旅云平台建设项目完成了三期建设，已投入运营，此项工作走在了全市公共数字文化建设的前列，得到市局充分肯定。</w:t>
      </w:r>
    </w:p>
    <w:p w14:paraId="52D10A95">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eastAsia="仿宋_GB2312" w:cs="黑体"/>
          <w:b/>
          <w:bCs/>
          <w:color w:val="auto"/>
          <w:sz w:val="32"/>
          <w:szCs w:val="32"/>
        </w:rPr>
      </w:pPr>
      <w:r>
        <w:rPr>
          <w:rFonts w:hint="eastAsia" w:ascii="黑体" w:eastAsia="黑体" w:cs="仿宋_GB2312"/>
          <w:sz w:val="32"/>
          <w:szCs w:val="32"/>
          <w:lang w:val="en-US" w:eastAsia="zh-CN"/>
        </w:rPr>
        <w:t>3</w:t>
      </w:r>
      <w:r>
        <w:rPr>
          <w:rFonts w:hint="eastAsia" w:ascii="黑体" w:eastAsia="黑体" w:cs="仿宋_GB2312"/>
          <w:sz w:val="32"/>
          <w:szCs w:val="32"/>
        </w:rPr>
        <w:t>、</w:t>
      </w:r>
      <w:r>
        <w:rPr>
          <w:rFonts w:hint="eastAsia" w:ascii="黑体" w:eastAsia="黑体" w:cs="黑体"/>
          <w:color w:val="auto"/>
          <w:sz w:val="32"/>
          <w:szCs w:val="32"/>
        </w:rPr>
        <w:t>文化惠民</w:t>
      </w:r>
      <w:r>
        <w:rPr>
          <w:rFonts w:ascii="黑体" w:eastAsia="黑体" w:cs="黑体"/>
          <w:color w:val="auto"/>
          <w:sz w:val="32"/>
          <w:szCs w:val="32"/>
        </w:rPr>
        <w:t>工作</w:t>
      </w:r>
    </w:p>
    <w:p w14:paraId="167385B4">
      <w:pPr>
        <w:spacing w:line="560" w:lineRule="exact"/>
        <w:ind w:firstLine="640" w:firstLineChars="200"/>
        <w:jc w:val="left"/>
        <w:rPr>
          <w:rFonts w:hint="eastAsia" w:ascii="仿宋_GB2312" w:eastAsia="仿宋_GB2312" w:cs="仿宋_GB2312"/>
          <w:sz w:val="32"/>
          <w:szCs w:val="32"/>
        </w:rPr>
      </w:pPr>
      <w:r>
        <w:rPr>
          <w:rFonts w:hint="eastAsia" w:ascii="仿宋_GB2312" w:eastAsia="仿宋_GB2312" w:cs="仿宋_GB2312"/>
          <w:sz w:val="32"/>
          <w:szCs w:val="32"/>
        </w:rPr>
        <w:t>我县</w:t>
      </w:r>
      <w:r>
        <w:rPr>
          <w:rFonts w:ascii="仿宋_GB2312" w:eastAsia="仿宋_GB2312" w:cs="仿宋_GB2312"/>
          <w:sz w:val="32"/>
          <w:szCs w:val="32"/>
        </w:rPr>
        <w:t>文化惠民卡发放任务690张，</w:t>
      </w:r>
      <w:r>
        <w:rPr>
          <w:rFonts w:hint="eastAsia" w:ascii="仿宋_GB2312" w:eastAsia="仿宋_GB2312" w:cs="仿宋_GB2312"/>
          <w:sz w:val="32"/>
          <w:szCs w:val="32"/>
        </w:rPr>
        <w:t>文化惠民券发放任务</w:t>
      </w:r>
      <w:r>
        <w:rPr>
          <w:rFonts w:ascii="仿宋_GB2312" w:eastAsia="仿宋_GB2312" w:cs="仿宋_GB2312"/>
          <w:sz w:val="32"/>
          <w:szCs w:val="32"/>
        </w:rPr>
        <w:t>3.11</w:t>
      </w:r>
      <w:r>
        <w:rPr>
          <w:rFonts w:hint="eastAsia" w:ascii="仿宋_GB2312" w:eastAsia="仿宋_GB2312" w:cs="仿宋_GB2312"/>
          <w:sz w:val="32"/>
          <w:szCs w:val="32"/>
        </w:rPr>
        <w:t>万张，</w:t>
      </w:r>
      <w:r>
        <w:rPr>
          <w:rFonts w:ascii="仿宋_GB2312" w:eastAsia="仿宋_GB2312" w:cs="仿宋_GB2312"/>
          <w:sz w:val="32"/>
          <w:szCs w:val="32"/>
        </w:rPr>
        <w:t>截</w:t>
      </w:r>
      <w:r>
        <w:rPr>
          <w:rFonts w:hint="eastAsia" w:ascii="仿宋_GB2312" w:eastAsia="仿宋_GB2312" w:cs="仿宋_GB2312"/>
          <w:sz w:val="32"/>
          <w:szCs w:val="32"/>
          <w:lang w:val="en-US" w:eastAsia="zh-CN"/>
        </w:rPr>
        <w:t>至</w:t>
      </w:r>
      <w:r>
        <w:rPr>
          <w:rFonts w:ascii="仿宋_GB2312" w:eastAsia="仿宋_GB2312" w:cs="仿宋_GB2312"/>
          <w:sz w:val="32"/>
          <w:szCs w:val="32"/>
        </w:rPr>
        <w:t>目前，</w:t>
      </w:r>
      <w:r>
        <w:rPr>
          <w:rFonts w:hint="eastAsia" w:ascii="仿宋_GB2312" w:eastAsia="仿宋_GB2312" w:cs="仿宋_GB2312"/>
          <w:caps w:val="0"/>
          <w:smallCaps w:val="0"/>
          <w:color w:val="000000"/>
          <w:kern w:val="2"/>
          <w:sz w:val="32"/>
          <w:szCs w:val="32"/>
          <w:lang w:val="en-US" w:eastAsia="zh-CN" w:bidi="ar-SA"/>
        </w:rPr>
        <w:t>累计发放文旅惠民卡1</w:t>
      </w:r>
      <w:r>
        <w:rPr>
          <w:rFonts w:ascii="仿宋_GB2312" w:eastAsia="仿宋_GB2312" w:cs="仿宋_GB2312"/>
          <w:caps w:val="0"/>
          <w:smallCaps w:val="0"/>
          <w:color w:val="000000"/>
          <w:kern w:val="2"/>
          <w:sz w:val="32"/>
          <w:szCs w:val="32"/>
          <w:lang w:val="en-US" w:eastAsia="zh-CN" w:bidi="ar-SA"/>
        </w:rPr>
        <w:t>470</w:t>
      </w:r>
      <w:r>
        <w:rPr>
          <w:rFonts w:hint="eastAsia" w:ascii="仿宋_GB2312" w:eastAsia="仿宋_GB2312" w:cs="仿宋_GB2312"/>
          <w:caps w:val="0"/>
          <w:smallCaps w:val="0"/>
          <w:color w:val="000000"/>
          <w:kern w:val="2"/>
          <w:sz w:val="32"/>
          <w:szCs w:val="32"/>
          <w:lang w:val="en-US" w:eastAsia="zh-CN" w:bidi="ar-SA"/>
        </w:rPr>
        <w:t>张（完成全年任务的</w:t>
      </w:r>
      <w:r>
        <w:rPr>
          <w:rFonts w:ascii="仿宋_GB2312" w:eastAsia="仿宋_GB2312" w:cs="仿宋_GB2312"/>
          <w:caps w:val="0"/>
          <w:smallCaps w:val="0"/>
          <w:color w:val="000000"/>
          <w:kern w:val="2"/>
          <w:sz w:val="32"/>
          <w:szCs w:val="32"/>
          <w:lang w:val="en-US" w:eastAsia="zh-CN" w:bidi="ar-SA"/>
        </w:rPr>
        <w:t>213</w:t>
      </w:r>
      <w:r>
        <w:rPr>
          <w:rFonts w:hint="eastAsia" w:ascii="仿宋_GB2312" w:eastAsia="仿宋_GB2312" w:cs="仿宋_GB2312"/>
          <w:caps w:val="0"/>
          <w:smallCaps w:val="0"/>
          <w:color w:val="000000"/>
          <w:kern w:val="2"/>
          <w:sz w:val="32"/>
          <w:szCs w:val="32"/>
          <w:lang w:val="en-US" w:eastAsia="zh-CN" w:bidi="ar-SA"/>
        </w:rPr>
        <w:t>%）</w:t>
      </w:r>
      <w:r>
        <w:rPr>
          <w:rFonts w:ascii="仿宋_GB2312" w:eastAsia="仿宋_GB2312" w:cs="仿宋_GB2312"/>
          <w:caps w:val="0"/>
          <w:smallCaps w:val="0"/>
          <w:color w:val="000000"/>
          <w:kern w:val="2"/>
          <w:sz w:val="32"/>
          <w:szCs w:val="32"/>
          <w:lang w:val="en-US" w:eastAsia="zh-CN" w:bidi="ar-SA"/>
        </w:rPr>
        <w:t>，发放文化惠民券</w:t>
      </w:r>
      <w:r>
        <w:rPr>
          <w:rFonts w:ascii="仿宋_GB2312" w:eastAsia="仿宋_GB2312" w:cs="仿宋_GB2312"/>
          <w:sz w:val="32"/>
          <w:szCs w:val="32"/>
        </w:rPr>
        <w:t>54135</w:t>
      </w:r>
      <w:r>
        <w:rPr>
          <w:rFonts w:hint="eastAsia" w:ascii="仿宋_GB2312" w:eastAsia="仿宋_GB2312" w:cs="仿宋_GB2312"/>
          <w:sz w:val="32"/>
          <w:szCs w:val="32"/>
        </w:rPr>
        <w:t>张</w:t>
      </w:r>
      <w:r>
        <w:rPr>
          <w:rFonts w:hint="eastAsia" w:ascii="仿宋_GB2312" w:eastAsia="仿宋_GB2312" w:cs="仿宋_GB2312"/>
          <w:caps w:val="0"/>
          <w:smallCaps w:val="0"/>
          <w:color w:val="000000"/>
          <w:kern w:val="2"/>
          <w:sz w:val="32"/>
          <w:szCs w:val="32"/>
          <w:lang w:val="en-US" w:eastAsia="zh-CN" w:bidi="ar-SA"/>
        </w:rPr>
        <w:t>（完成市定任务的</w:t>
      </w:r>
      <w:r>
        <w:rPr>
          <w:rFonts w:ascii="仿宋_GB2312" w:eastAsia="仿宋_GB2312" w:cs="仿宋_GB2312"/>
          <w:caps w:val="0"/>
          <w:smallCaps w:val="0"/>
          <w:color w:val="000000"/>
          <w:kern w:val="2"/>
          <w:sz w:val="32"/>
          <w:szCs w:val="32"/>
          <w:lang w:val="en-US" w:eastAsia="zh-CN" w:bidi="ar-SA"/>
        </w:rPr>
        <w:t>174</w:t>
      </w:r>
      <w:r>
        <w:rPr>
          <w:rFonts w:hint="eastAsia" w:ascii="仿宋_GB2312" w:eastAsia="仿宋_GB2312" w:cs="仿宋_GB2312"/>
          <w:caps w:val="0"/>
          <w:smallCaps w:val="0"/>
          <w:color w:val="000000"/>
          <w:kern w:val="2"/>
          <w:sz w:val="32"/>
          <w:szCs w:val="32"/>
          <w:lang w:val="en-US" w:eastAsia="zh-CN" w:bidi="ar-SA"/>
        </w:rPr>
        <w:t>%，县</w:t>
      </w:r>
      <w:r>
        <w:rPr>
          <w:rFonts w:ascii="仿宋_GB2312" w:eastAsia="仿宋_GB2312" w:cs="仿宋_GB2312"/>
          <w:caps w:val="0"/>
          <w:smallCaps w:val="0"/>
          <w:color w:val="000000"/>
          <w:kern w:val="2"/>
          <w:sz w:val="32"/>
          <w:szCs w:val="32"/>
          <w:lang w:val="en-US" w:eastAsia="zh-CN" w:bidi="ar-SA"/>
        </w:rPr>
        <w:t>定</w:t>
      </w:r>
      <w:r>
        <w:rPr>
          <w:rFonts w:hint="eastAsia" w:ascii="仿宋_GB2312" w:eastAsia="仿宋_GB2312" w:cs="仿宋_GB2312"/>
          <w:caps w:val="0"/>
          <w:smallCaps w:val="0"/>
          <w:color w:val="000000"/>
          <w:kern w:val="2"/>
          <w:sz w:val="32"/>
          <w:szCs w:val="32"/>
          <w:lang w:val="en-US" w:eastAsia="zh-CN" w:bidi="ar-SA"/>
        </w:rPr>
        <w:t>任务的</w:t>
      </w:r>
      <w:r>
        <w:rPr>
          <w:rFonts w:ascii="仿宋_GB2312" w:eastAsia="仿宋_GB2312" w:cs="仿宋_GB2312"/>
          <w:caps w:val="0"/>
          <w:smallCaps w:val="0"/>
          <w:color w:val="000000"/>
          <w:kern w:val="2"/>
          <w:sz w:val="32"/>
          <w:szCs w:val="32"/>
          <w:lang w:val="en-US" w:eastAsia="zh-CN" w:bidi="ar-SA"/>
        </w:rPr>
        <w:t>108</w:t>
      </w:r>
      <w:r>
        <w:rPr>
          <w:rFonts w:hint="eastAsia" w:ascii="仿宋_GB2312" w:eastAsia="仿宋_GB2312" w:cs="仿宋_GB2312"/>
          <w:caps w:val="0"/>
          <w:smallCaps w:val="0"/>
          <w:color w:val="000000"/>
          <w:kern w:val="2"/>
          <w:sz w:val="32"/>
          <w:szCs w:val="32"/>
          <w:lang w:val="en-US" w:eastAsia="zh-CN" w:bidi="ar-SA"/>
        </w:rPr>
        <w:t>%）</w:t>
      </w:r>
      <w:r>
        <w:rPr>
          <w:rFonts w:hint="eastAsia" w:ascii="仿宋_GB2312" w:eastAsia="仿宋_GB2312" w:cs="仿宋_GB2312"/>
          <w:sz w:val="32"/>
          <w:szCs w:val="32"/>
        </w:rPr>
        <w:t>，开展十进演出</w:t>
      </w:r>
      <w:r>
        <w:rPr>
          <w:rFonts w:ascii="仿宋_GB2312" w:eastAsia="仿宋_GB2312" w:cs="仿宋_GB2312"/>
          <w:sz w:val="32"/>
          <w:szCs w:val="32"/>
        </w:rPr>
        <w:t>55</w:t>
      </w:r>
      <w:r>
        <w:rPr>
          <w:rFonts w:hint="eastAsia" w:ascii="仿宋_GB2312" w:eastAsia="仿宋_GB2312" w:cs="仿宋_GB2312"/>
          <w:sz w:val="32"/>
          <w:szCs w:val="32"/>
        </w:rPr>
        <w:t>场，戏曲下乡</w:t>
      </w:r>
      <w:r>
        <w:rPr>
          <w:rFonts w:ascii="仿宋_GB2312" w:eastAsia="仿宋_GB2312" w:cs="仿宋_GB2312"/>
          <w:sz w:val="32"/>
          <w:szCs w:val="32"/>
        </w:rPr>
        <w:t>40</w:t>
      </w:r>
      <w:r>
        <w:rPr>
          <w:rFonts w:hint="eastAsia" w:ascii="仿宋_GB2312" w:eastAsia="仿宋_GB2312" w:cs="仿宋_GB2312"/>
          <w:sz w:val="32"/>
          <w:szCs w:val="32"/>
        </w:rPr>
        <w:t>场，</w:t>
      </w:r>
      <w:r>
        <w:rPr>
          <w:rFonts w:ascii="仿宋_GB2312" w:eastAsia="仿宋_GB2312" w:cs="仿宋_GB2312"/>
          <w:sz w:val="32"/>
          <w:szCs w:val="32"/>
        </w:rPr>
        <w:t>组织</w:t>
      </w:r>
      <w:r>
        <w:rPr>
          <w:rFonts w:hint="eastAsia" w:ascii="仿宋_GB2312" w:eastAsia="仿宋_GB2312" w:cs="仿宋_GB2312"/>
          <w:sz w:val="32"/>
          <w:szCs w:val="32"/>
        </w:rPr>
        <w:t>各类群众性文艺演出</w:t>
      </w:r>
      <w:r>
        <w:rPr>
          <w:rFonts w:ascii="仿宋_GB2312" w:eastAsia="仿宋_GB2312" w:cs="仿宋_GB2312"/>
          <w:sz w:val="32"/>
          <w:szCs w:val="32"/>
        </w:rPr>
        <w:t>50</w:t>
      </w:r>
      <w:r>
        <w:rPr>
          <w:rFonts w:hint="eastAsia" w:ascii="仿宋_GB2312" w:eastAsia="仿宋_GB2312" w:cs="仿宋_GB2312"/>
          <w:sz w:val="32"/>
          <w:szCs w:val="32"/>
        </w:rPr>
        <w:t>场，</w:t>
      </w:r>
      <w:r>
        <w:rPr>
          <w:rFonts w:ascii="仿宋_GB2312" w:eastAsia="仿宋_GB2312" w:cs="仿宋_GB2312"/>
          <w:sz w:val="32"/>
          <w:szCs w:val="32"/>
        </w:rPr>
        <w:t>同时，利用传统节假日开展各类文化活动30场，</w:t>
      </w:r>
      <w:r>
        <w:rPr>
          <w:rFonts w:hint="eastAsia" w:ascii="仿宋_GB2312" w:eastAsia="仿宋_GB2312" w:cs="仿宋_GB2312"/>
          <w:sz w:val="32"/>
          <w:szCs w:val="32"/>
        </w:rPr>
        <w:t>观看演出群众</w:t>
      </w:r>
      <w:r>
        <w:rPr>
          <w:rFonts w:ascii="仿宋_GB2312" w:eastAsia="仿宋_GB2312" w:cs="仿宋_GB2312"/>
          <w:sz w:val="32"/>
          <w:szCs w:val="32"/>
        </w:rPr>
        <w:t>近10</w:t>
      </w:r>
      <w:r>
        <w:rPr>
          <w:rFonts w:hint="eastAsia" w:ascii="仿宋_GB2312" w:eastAsia="仿宋_GB2312" w:cs="仿宋_GB2312"/>
          <w:sz w:val="32"/>
          <w:szCs w:val="32"/>
        </w:rPr>
        <w:t>万余人。得到广大群众的赞誉。</w:t>
      </w:r>
    </w:p>
    <w:p w14:paraId="4A7E7980">
      <w:pPr>
        <w:spacing w:line="560" w:lineRule="exact"/>
        <w:ind w:firstLine="562" w:firstLineChars="200"/>
        <w:jc w:val="left"/>
        <w:rPr>
          <w:rFonts w:hint="eastAsia" w:ascii="方正黑体_GBK" w:hAnsi="宋体" w:eastAsia="方正黑体_GBK"/>
          <w:sz w:val="32"/>
          <w:szCs w:val="32"/>
        </w:rPr>
      </w:pPr>
      <w:r>
        <w:rPr>
          <w:rFonts w:hint="eastAsia" w:ascii="Arial" w:hAnsi="Arial" w:cs="Arial"/>
          <w:b/>
          <w:bCs/>
          <w:color w:val="333333"/>
          <w:sz w:val="28"/>
          <w:szCs w:val="28"/>
          <w:shd w:val="clear" w:color="auto" w:fill="FFFFFF"/>
          <w:lang w:eastAsia="zh-CN"/>
        </w:rPr>
        <w:t>（</w:t>
      </w:r>
      <w:r>
        <w:rPr>
          <w:rFonts w:hint="eastAsia" w:ascii="Arial" w:hAnsi="Arial" w:cs="Arial"/>
          <w:b/>
          <w:bCs/>
          <w:color w:val="333333"/>
          <w:sz w:val="28"/>
          <w:szCs w:val="28"/>
          <w:shd w:val="clear" w:color="auto" w:fill="FFFFFF"/>
        </w:rPr>
        <w:t>二）整体支出绩效目标完成情况</w:t>
      </w:r>
    </w:p>
    <w:p w14:paraId="08C82F5E">
      <w:pPr>
        <w:ind w:firstLine="640" w:firstLineChars="200"/>
        <w:rPr>
          <w:rFonts w:hint="eastAsia" w:eastAsia="仿宋_GB2312"/>
          <w:color w:val="000000"/>
          <w:sz w:val="32"/>
          <w:szCs w:val="32"/>
          <w:highlight w:val="yellow"/>
          <w:lang w:val="en-US" w:eastAsia="zh-CN"/>
        </w:rPr>
      </w:pPr>
      <w:r>
        <w:rPr>
          <w:rFonts w:hint="eastAsia" w:eastAsia="仿宋_GB2312"/>
          <w:color w:val="000000"/>
          <w:sz w:val="32"/>
          <w:szCs w:val="32"/>
          <w:highlight w:val="none"/>
        </w:rPr>
        <w:t>202</w:t>
      </w:r>
      <w:r>
        <w:rPr>
          <w:rFonts w:hint="eastAsia" w:eastAsia="仿宋_GB2312"/>
          <w:color w:val="000000"/>
          <w:sz w:val="32"/>
          <w:szCs w:val="32"/>
          <w:highlight w:val="none"/>
          <w:lang w:val="en-US" w:eastAsia="zh-CN"/>
        </w:rPr>
        <w:t>2</w:t>
      </w:r>
      <w:r>
        <w:rPr>
          <w:rFonts w:hint="eastAsia" w:eastAsia="仿宋_GB2312"/>
          <w:color w:val="000000"/>
          <w:sz w:val="32"/>
          <w:szCs w:val="32"/>
          <w:highlight w:val="none"/>
        </w:rPr>
        <w:t>年度本部门调整后项目预算数</w:t>
      </w:r>
      <w:r>
        <w:rPr>
          <w:rFonts w:hint="eastAsia" w:eastAsia="仿宋_GB2312"/>
          <w:color w:val="000000"/>
          <w:sz w:val="32"/>
          <w:szCs w:val="32"/>
          <w:highlight w:val="none"/>
          <w:lang w:val="en-US" w:eastAsia="zh-CN"/>
        </w:rPr>
        <w:t>9496.03</w:t>
      </w:r>
      <w:r>
        <w:rPr>
          <w:rFonts w:hint="eastAsia" w:eastAsia="仿宋_GB2312"/>
          <w:color w:val="000000"/>
          <w:sz w:val="32"/>
          <w:szCs w:val="32"/>
          <w:highlight w:val="none"/>
        </w:rPr>
        <w:t>万元，预算项目执行数</w:t>
      </w:r>
      <w:r>
        <w:rPr>
          <w:rFonts w:hint="eastAsia" w:eastAsia="仿宋_GB2312"/>
          <w:color w:val="000000"/>
          <w:sz w:val="32"/>
          <w:szCs w:val="32"/>
          <w:highlight w:val="none"/>
          <w:lang w:val="en-US" w:eastAsia="zh-CN"/>
        </w:rPr>
        <w:t>1763.26</w:t>
      </w:r>
      <w:r>
        <w:rPr>
          <w:rFonts w:hint="eastAsia" w:eastAsia="仿宋_GB2312"/>
          <w:color w:val="000000"/>
          <w:sz w:val="32"/>
          <w:szCs w:val="32"/>
          <w:highlight w:val="none"/>
        </w:rPr>
        <w:t>万元</w:t>
      </w:r>
      <w:r>
        <w:rPr>
          <w:rFonts w:hint="eastAsia" w:eastAsia="仿宋_GB2312"/>
          <w:color w:val="000000"/>
          <w:sz w:val="32"/>
          <w:szCs w:val="32"/>
          <w:highlight w:val="none"/>
          <w:lang w:eastAsia="zh-CN"/>
        </w:rPr>
        <w:t>，</w:t>
      </w:r>
      <w:r>
        <w:rPr>
          <w:rFonts w:hint="eastAsia" w:eastAsia="仿宋_GB2312"/>
          <w:color w:val="000000"/>
          <w:sz w:val="32"/>
          <w:szCs w:val="32"/>
        </w:rPr>
        <w:t>预算执行率</w:t>
      </w:r>
      <w:r>
        <w:rPr>
          <w:rFonts w:hint="eastAsia" w:eastAsia="仿宋_GB2312"/>
          <w:color w:val="000000"/>
          <w:sz w:val="32"/>
          <w:szCs w:val="32"/>
          <w:lang w:val="en-US" w:eastAsia="zh-CN"/>
        </w:rPr>
        <w:t>92.03</w:t>
      </w:r>
      <w:r>
        <w:rPr>
          <w:rFonts w:hint="eastAsia" w:eastAsia="仿宋_GB2312"/>
          <w:color w:val="000000"/>
          <w:sz w:val="32"/>
          <w:szCs w:val="32"/>
        </w:rPr>
        <w:t>%</w:t>
      </w:r>
    </w:p>
    <w:p w14:paraId="1C3DF958">
      <w:pPr>
        <w:ind w:firstLine="640" w:firstLineChars="200"/>
        <w:rPr>
          <w:rFonts w:eastAsia="仿宋_GB2312"/>
          <w:color w:val="000000"/>
          <w:sz w:val="32"/>
          <w:szCs w:val="32"/>
          <w:highlight w:val="none"/>
        </w:rPr>
      </w:pPr>
      <w:r>
        <w:rPr>
          <w:rFonts w:hint="eastAsia" w:eastAsia="仿宋_GB2312"/>
          <w:color w:val="000000"/>
          <w:sz w:val="32"/>
          <w:szCs w:val="32"/>
          <w:highlight w:val="none"/>
        </w:rPr>
        <w:t>本部门按照财务管理制度和资金管理办法对全部财政资金进行管理和支出，未列入预算的项目不得支出，未超预算安排支出。经费开支坚持“先审批、后开支，谁开支、谁负责，谁分管、谁把关”的原则，对预算项目资金做到单独核算、专款专用。</w:t>
      </w:r>
    </w:p>
    <w:p w14:paraId="7BA97C0B">
      <w:pPr>
        <w:pStyle w:val="8"/>
        <w:ind w:left="420" w:leftChars="200" w:firstLine="320" w:firstLineChars="100"/>
        <w:rPr>
          <w:rFonts w:hint="eastAsia" w:eastAsia="仿宋_GB2312"/>
          <w:color w:val="000000"/>
          <w:sz w:val="32"/>
          <w:szCs w:val="32"/>
          <w:highlight w:val="none"/>
        </w:rPr>
      </w:pPr>
      <w:r>
        <w:rPr>
          <w:rFonts w:hint="eastAsia" w:eastAsia="仿宋_GB2312"/>
          <w:color w:val="000000"/>
          <w:sz w:val="32"/>
          <w:szCs w:val="32"/>
          <w:highlight w:val="none"/>
        </w:rPr>
        <w:t>总体而言，本部门202</w:t>
      </w:r>
      <w:r>
        <w:rPr>
          <w:rFonts w:hint="eastAsia" w:eastAsia="仿宋_GB2312"/>
          <w:color w:val="000000"/>
          <w:sz w:val="32"/>
          <w:szCs w:val="32"/>
          <w:highlight w:val="none"/>
          <w:lang w:val="en-US" w:eastAsia="zh-CN"/>
        </w:rPr>
        <w:t>2</w:t>
      </w:r>
      <w:r>
        <w:rPr>
          <w:rFonts w:hint="eastAsia" w:eastAsia="仿宋_GB2312"/>
          <w:color w:val="000000"/>
          <w:sz w:val="32"/>
          <w:szCs w:val="32"/>
          <w:highlight w:val="none"/>
        </w:rPr>
        <w:t>年度整体支出情况良好，绩效目标基</w:t>
      </w:r>
    </w:p>
    <w:p w14:paraId="1021E1AD">
      <w:pPr>
        <w:rPr>
          <w:rFonts w:eastAsia="仿宋_GB2312"/>
          <w:color w:val="000000"/>
          <w:sz w:val="32"/>
          <w:szCs w:val="32"/>
          <w:highlight w:val="none"/>
        </w:rPr>
      </w:pPr>
      <w:r>
        <w:rPr>
          <w:rFonts w:hint="eastAsia" w:eastAsia="仿宋_GB2312"/>
          <w:color w:val="000000"/>
          <w:sz w:val="32"/>
          <w:szCs w:val="32"/>
          <w:highlight w:val="none"/>
        </w:rPr>
        <w:t>本完成。从项目支出来看，预算项目绩效目标设置合理、明确，项目资金及时拨付到位，在预算执行中加强了对资金支出进度的监控，对支出进度较慢的预算项目进行了整改，在12月底前资金应支尽支，资金使用效率有所提升，较好地完成了绩效目标。其中，要特别说明的是：保财教[2022]69号-2022年旅游发展专项资金（旅游厕所革命补助）</w:t>
      </w:r>
      <w:r>
        <w:rPr>
          <w:rFonts w:hint="eastAsia" w:eastAsia="仿宋_GB2312"/>
          <w:color w:val="000000"/>
          <w:sz w:val="32"/>
          <w:szCs w:val="32"/>
          <w:highlight w:val="none"/>
          <w:lang w:eastAsia="zh-CN"/>
        </w:rPr>
        <w:t>、冀财教[2022]81号-2022年中央支持地方公共文化服务体系建设补助资金</w:t>
      </w:r>
      <w:r>
        <w:rPr>
          <w:rFonts w:hint="eastAsia" w:eastAsia="仿宋_GB2312"/>
          <w:color w:val="000000"/>
          <w:sz w:val="32"/>
          <w:szCs w:val="32"/>
          <w:highlight w:val="none"/>
          <w:lang w:val="en-US" w:eastAsia="zh-CN"/>
        </w:rPr>
        <w:t>等</w:t>
      </w:r>
      <w:r>
        <w:rPr>
          <w:rFonts w:hint="eastAsia" w:eastAsia="仿宋_GB2312"/>
          <w:color w:val="000000"/>
          <w:sz w:val="32"/>
          <w:szCs w:val="32"/>
          <w:highlight w:val="none"/>
        </w:rPr>
        <w:t>项目预算执行率较低主要是因为工作尚未开展，未形成支出。执法队运行经费预算执行率低是因为年初预算中包含非税收入40万元，因受疫情等各种因素影响，本部门202</w:t>
      </w:r>
      <w:r>
        <w:rPr>
          <w:rFonts w:hint="eastAsia" w:eastAsia="仿宋_GB2312"/>
          <w:color w:val="000000"/>
          <w:sz w:val="32"/>
          <w:szCs w:val="32"/>
          <w:highlight w:val="none"/>
          <w:lang w:val="en-US" w:eastAsia="zh-CN"/>
        </w:rPr>
        <w:t>2</w:t>
      </w:r>
      <w:r>
        <w:rPr>
          <w:rFonts w:hint="eastAsia" w:eastAsia="仿宋_GB2312"/>
          <w:color w:val="000000"/>
          <w:sz w:val="32"/>
          <w:szCs w:val="32"/>
          <w:highlight w:val="none"/>
        </w:rPr>
        <w:t>年无罚没收入，导致资金到位率和预算值执行率低。</w:t>
      </w:r>
    </w:p>
    <w:p w14:paraId="34362971">
      <w:pPr>
        <w:snapToGrid w:val="0"/>
        <w:spacing w:line="580" w:lineRule="exact"/>
        <w:ind w:firstLine="640" w:firstLineChars="200"/>
        <w:rPr>
          <w:rFonts w:ascii="方正仿宋_GBK" w:hAnsi="宋体" w:eastAsia="方正仿宋_GBK"/>
          <w:sz w:val="32"/>
          <w:szCs w:val="32"/>
        </w:rPr>
      </w:pPr>
    </w:p>
    <w:p w14:paraId="0C6C76D1">
      <w:pPr>
        <w:snapToGrid w:val="0"/>
        <w:spacing w:line="580" w:lineRule="exact"/>
        <w:ind w:firstLine="640" w:firstLineChars="200"/>
        <w:rPr>
          <w:rFonts w:ascii="方正黑体_GBK" w:hAnsi="宋体" w:eastAsia="方正黑体_GBK"/>
          <w:sz w:val="32"/>
          <w:szCs w:val="32"/>
        </w:rPr>
      </w:pPr>
      <w:r>
        <w:rPr>
          <w:rFonts w:hint="eastAsia" w:ascii="方正黑体_GBK" w:hAnsi="宋体" w:eastAsia="方正黑体_GBK"/>
          <w:sz w:val="32"/>
          <w:szCs w:val="32"/>
        </w:rPr>
        <w:t>三、绩效目标设定质量情况</w:t>
      </w:r>
    </w:p>
    <w:p w14:paraId="606F2A54">
      <w:pPr>
        <w:snapToGrid w:val="0"/>
        <w:spacing w:line="580" w:lineRule="exact"/>
        <w:ind w:firstLine="640" w:firstLineChars="200"/>
        <w:rPr>
          <w:rFonts w:hint="eastAsia" w:eastAsia="仿宋_GB2312"/>
          <w:color w:val="000000"/>
          <w:sz w:val="32"/>
          <w:szCs w:val="32"/>
        </w:rPr>
      </w:pPr>
      <w:r>
        <w:rPr>
          <w:rFonts w:hint="eastAsia" w:eastAsia="仿宋_GB2312"/>
          <w:color w:val="000000"/>
          <w:sz w:val="32"/>
          <w:szCs w:val="32"/>
        </w:rPr>
        <w:t>通过与绩效自评结果对比， 202</w:t>
      </w:r>
      <w:r>
        <w:rPr>
          <w:rFonts w:hint="eastAsia" w:eastAsia="仿宋_GB2312"/>
          <w:color w:val="000000"/>
          <w:sz w:val="32"/>
          <w:szCs w:val="32"/>
          <w:lang w:val="en-US" w:eastAsia="zh-CN"/>
        </w:rPr>
        <w:t>2</w:t>
      </w:r>
      <w:r>
        <w:rPr>
          <w:rFonts w:hint="eastAsia" w:eastAsia="仿宋_GB2312"/>
          <w:color w:val="000000"/>
          <w:sz w:val="32"/>
          <w:szCs w:val="32"/>
        </w:rPr>
        <w:t>年度部门整体支出绩效目标设定较为清晰明确，绩效指标较为合理，绩效标准设定也比较恰当，但仍存在一些不足：一是绩效目标的设定。因业务工作的特殊性和复杂性，年初绩效目标设定还不够具体，在易于评价方面还需进一步改善，今后在设定绩效目标时，应尽可能量化绩效目标，继续加强财务部门与业务部门之间的信息交流，进而提升绩效目标设定质量。二是绩效评价指标的设定。绩效指标设置有些宽泛，产出指标和效益指标操作性有待加强。三绩效监控方面。预算执行过程中，对全部资金和预算项目进展情况的动态监控有待进一步加强。</w:t>
      </w:r>
    </w:p>
    <w:p w14:paraId="195F4198">
      <w:pPr>
        <w:snapToGrid w:val="0"/>
        <w:spacing w:line="580" w:lineRule="exact"/>
        <w:ind w:firstLine="640" w:firstLineChars="200"/>
        <w:rPr>
          <w:rFonts w:ascii="方正黑体_GBK" w:hAnsi="宋体" w:eastAsia="方正黑体_GBK"/>
          <w:sz w:val="32"/>
          <w:szCs w:val="32"/>
        </w:rPr>
      </w:pPr>
      <w:r>
        <w:rPr>
          <w:rFonts w:hint="eastAsia" w:ascii="方正黑体_GBK" w:hAnsi="宋体" w:eastAsia="方正黑体_GBK"/>
          <w:sz w:val="32"/>
          <w:szCs w:val="32"/>
        </w:rPr>
        <w:t>四、整改措施及结果应用</w:t>
      </w:r>
    </w:p>
    <w:p w14:paraId="3E71A534">
      <w:pPr>
        <w:ind w:left="638" w:leftChars="304" w:firstLine="0" w:firstLineChars="0"/>
        <w:rPr>
          <w:rFonts w:eastAsia="仿宋_GB2312"/>
          <w:color w:val="000000"/>
          <w:sz w:val="32"/>
          <w:szCs w:val="32"/>
        </w:rPr>
      </w:pPr>
      <w:r>
        <w:rPr>
          <w:rFonts w:hint="eastAsia" w:eastAsia="仿宋_GB2312"/>
          <w:color w:val="000000"/>
          <w:sz w:val="32"/>
          <w:szCs w:val="32"/>
        </w:rPr>
        <w:t>本部门对202</w:t>
      </w:r>
      <w:r>
        <w:rPr>
          <w:rFonts w:hint="eastAsia" w:eastAsia="仿宋_GB2312"/>
          <w:color w:val="000000"/>
          <w:sz w:val="32"/>
          <w:szCs w:val="32"/>
          <w:lang w:val="en-US" w:eastAsia="zh-CN"/>
        </w:rPr>
        <w:t>2</w:t>
      </w:r>
      <w:r>
        <w:rPr>
          <w:rFonts w:hint="eastAsia" w:eastAsia="仿宋_GB2312"/>
          <w:color w:val="000000"/>
          <w:sz w:val="32"/>
          <w:szCs w:val="32"/>
        </w:rPr>
        <w:t>年绩效自评结果的运用主要是以下几个方面：</w:t>
      </w:r>
      <w:r>
        <w:rPr>
          <w:rFonts w:hint="eastAsia" w:eastAsia="仿宋_GB2312"/>
          <w:color w:val="000000"/>
          <w:sz w:val="32"/>
          <w:szCs w:val="32"/>
          <w:lang w:eastAsia="zh-CN"/>
        </w:rPr>
        <w:t>（</w:t>
      </w:r>
      <w:r>
        <w:rPr>
          <w:rFonts w:hint="eastAsia" w:eastAsia="仿宋_GB2312"/>
          <w:color w:val="000000"/>
          <w:sz w:val="32"/>
          <w:szCs w:val="32"/>
        </w:rPr>
        <w:t>一</w:t>
      </w:r>
      <w:r>
        <w:rPr>
          <w:rFonts w:hint="eastAsia" w:eastAsia="仿宋_GB2312"/>
          <w:color w:val="000000"/>
          <w:sz w:val="32"/>
          <w:szCs w:val="32"/>
          <w:lang w:eastAsia="zh-CN"/>
        </w:rPr>
        <w:t>）</w:t>
      </w:r>
      <w:r>
        <w:rPr>
          <w:rFonts w:hint="eastAsia" w:eastAsia="仿宋_GB2312"/>
          <w:color w:val="000000"/>
          <w:sz w:val="32"/>
          <w:szCs w:val="32"/>
        </w:rPr>
        <w:t>增强本单位的绩效评价主体责任意识。二是促进单位规范使用项目资金。三是不断完善绩效管理工作。</w:t>
      </w:r>
    </w:p>
    <w:p w14:paraId="1AA573F0">
      <w:pPr>
        <w:ind w:firstLine="640" w:firstLineChars="200"/>
        <w:rPr>
          <w:rFonts w:eastAsia="仿宋_GB2312"/>
          <w:color w:val="000000"/>
          <w:sz w:val="32"/>
          <w:szCs w:val="32"/>
        </w:rPr>
      </w:pPr>
      <w:r>
        <w:rPr>
          <w:rFonts w:hint="eastAsia" w:eastAsia="仿宋_GB2312"/>
          <w:color w:val="000000"/>
          <w:sz w:val="32"/>
          <w:szCs w:val="32"/>
        </w:rPr>
        <w:t>本部门今后将结合业务工作实际情况，通过以下几点措施更好地提高部门绩效。一是</w:t>
      </w:r>
      <w:r>
        <w:rPr>
          <w:rFonts w:hint="eastAsia" w:ascii="仿宋" w:hAnsi="仿宋" w:eastAsia="仿宋" w:cs="仿宋"/>
          <w:sz w:val="30"/>
          <w:szCs w:val="30"/>
        </w:rPr>
        <w:t>加强学习，提高思想认识。组织人员认真学习预算法等相关法律法规，提高单位领导对部门绩效管理的重视程度，树立全体人员的预算绩效观念</w:t>
      </w:r>
      <w:r>
        <w:rPr>
          <w:rFonts w:hint="eastAsia" w:eastAsia="仿宋_GB2312"/>
          <w:color w:val="000000"/>
          <w:sz w:val="32"/>
          <w:szCs w:val="32"/>
        </w:rPr>
        <w:t>。</w:t>
      </w:r>
    </w:p>
    <w:p w14:paraId="65A01856">
      <w:pPr>
        <w:ind w:firstLine="640" w:firstLineChars="200"/>
        <w:rPr>
          <w:rFonts w:ascii="仿宋" w:hAnsi="仿宋" w:eastAsia="仿宋" w:cs="仿宋"/>
          <w:sz w:val="30"/>
          <w:szCs w:val="30"/>
        </w:rPr>
      </w:pPr>
      <w:r>
        <w:rPr>
          <w:rFonts w:hint="eastAsia" w:eastAsia="仿宋_GB2312"/>
          <w:color w:val="000000"/>
          <w:sz w:val="32"/>
          <w:szCs w:val="32"/>
          <w:lang w:eastAsia="zh-CN"/>
        </w:rPr>
        <w:t>（</w:t>
      </w:r>
      <w:r>
        <w:rPr>
          <w:rFonts w:hint="eastAsia" w:eastAsia="仿宋_GB2312"/>
          <w:color w:val="000000"/>
          <w:sz w:val="32"/>
          <w:szCs w:val="32"/>
        </w:rPr>
        <w:t>二</w:t>
      </w:r>
      <w:r>
        <w:rPr>
          <w:rFonts w:hint="eastAsia" w:eastAsia="仿宋_GB2312"/>
          <w:color w:val="000000"/>
          <w:sz w:val="32"/>
          <w:szCs w:val="32"/>
          <w:lang w:eastAsia="zh-CN"/>
        </w:rPr>
        <w:t>）</w:t>
      </w:r>
      <w:r>
        <w:rPr>
          <w:rFonts w:hint="eastAsia" w:eastAsia="仿宋_GB2312"/>
          <w:color w:val="000000"/>
          <w:sz w:val="32"/>
          <w:szCs w:val="32"/>
        </w:rPr>
        <w:t>推动相关制度建设。从项目绩效评价制度入手，借鉴其他部门在绩效管理方面的经验和做法，制定统一的绩效考评制度，建立绩效预算激励机制。</w:t>
      </w:r>
      <w:r>
        <w:rPr>
          <w:rFonts w:hint="eastAsia" w:ascii="仿宋" w:hAnsi="仿宋" w:eastAsia="仿宋" w:cs="仿宋"/>
          <w:sz w:val="30"/>
          <w:szCs w:val="30"/>
        </w:rPr>
        <w:t>建立健全各项财务制度，规范财务运行，加强预算支出管理，严格在财政局批复资金范围内使用。加强内部控制，确保支出合法、真实。</w:t>
      </w:r>
    </w:p>
    <w:p w14:paraId="15F184C3">
      <w:pPr>
        <w:ind w:firstLine="640" w:firstLineChars="200"/>
        <w:rPr>
          <w:rFonts w:eastAsia="仿宋_GB2312"/>
          <w:color w:val="000000"/>
          <w:sz w:val="32"/>
          <w:szCs w:val="32"/>
        </w:rPr>
      </w:pPr>
      <w:r>
        <w:rPr>
          <w:rFonts w:hint="eastAsia" w:eastAsia="仿宋_GB2312"/>
          <w:color w:val="000000"/>
          <w:sz w:val="32"/>
          <w:szCs w:val="32"/>
          <w:lang w:eastAsia="zh-CN"/>
        </w:rPr>
        <w:t>（</w:t>
      </w:r>
      <w:r>
        <w:rPr>
          <w:rFonts w:hint="eastAsia" w:eastAsia="仿宋_GB2312"/>
          <w:color w:val="000000"/>
          <w:sz w:val="32"/>
          <w:szCs w:val="32"/>
        </w:rPr>
        <w:t>三</w:t>
      </w:r>
      <w:r>
        <w:rPr>
          <w:rFonts w:hint="eastAsia" w:eastAsia="仿宋_GB2312"/>
          <w:color w:val="000000"/>
          <w:sz w:val="32"/>
          <w:szCs w:val="32"/>
          <w:lang w:eastAsia="zh-CN"/>
        </w:rPr>
        <w:t>）</w:t>
      </w:r>
      <w:r>
        <w:rPr>
          <w:rFonts w:hint="eastAsia" w:eastAsia="仿宋_GB2312"/>
          <w:color w:val="000000"/>
          <w:sz w:val="32"/>
          <w:szCs w:val="32"/>
        </w:rPr>
        <w:t>完善绩效评价体系，加强监督检查和考核工作。进一步探索完善项目绩效评价指标体系，进一步完善项目绩效评价指标体系，增强绩效评价结果的可比性、可信度。加强对绩效管理工作的跟踪督查，做到绩效管理有依据、按程序、有奖惩，实现绩效管理的规范化、常态化。</w:t>
      </w:r>
    </w:p>
    <w:p w14:paraId="71BFD951">
      <w:pPr>
        <w:snapToGrid w:val="0"/>
        <w:spacing w:line="580" w:lineRule="exact"/>
        <w:ind w:firstLine="640" w:firstLineChars="200"/>
        <w:rPr>
          <w:rFonts w:ascii="方正仿宋_GBK" w:eastAsia="方正仿宋_GBK"/>
        </w:rPr>
      </w:pPr>
      <w:r>
        <w:rPr>
          <w:rFonts w:hint="eastAsia" w:eastAsia="仿宋_GB2312"/>
          <w:color w:val="000000"/>
          <w:sz w:val="32"/>
          <w:szCs w:val="32"/>
          <w:lang w:eastAsia="zh-CN"/>
        </w:rPr>
        <w:t>（</w:t>
      </w:r>
      <w:r>
        <w:rPr>
          <w:rFonts w:hint="eastAsia" w:eastAsia="仿宋_GB2312"/>
          <w:color w:val="000000"/>
          <w:sz w:val="32"/>
          <w:szCs w:val="32"/>
        </w:rPr>
        <w:t>四</w:t>
      </w:r>
      <w:r>
        <w:rPr>
          <w:rFonts w:hint="eastAsia" w:eastAsia="仿宋_GB2312"/>
          <w:color w:val="000000"/>
          <w:sz w:val="32"/>
          <w:szCs w:val="32"/>
          <w:lang w:eastAsia="zh-CN"/>
        </w:rPr>
        <w:t>）</w:t>
      </w:r>
      <w:r>
        <w:rPr>
          <w:rFonts w:hint="eastAsia" w:eastAsia="仿宋_GB2312"/>
          <w:color w:val="000000"/>
          <w:sz w:val="32"/>
          <w:szCs w:val="32"/>
        </w:rPr>
        <w:t>统筹协调，厘定提高资金使用绩效的关节点。切实提高资金使用绩效，找到突破口与关节点。在资金使用上严格按照规定执行，做到资金使用的安全规范，对项目经费实行专项管理，保证经费及时到位和合理使用。采取得力措施，降低行政运行成本，提高资金使用绩效。</w:t>
      </w:r>
    </w:p>
    <w:sectPr>
      <w:pgSz w:w="11906" w:h="16838"/>
      <w:pgMar w:top="2098" w:right="1418" w:bottom="1531"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仿宋_GBK">
    <w:altName w:val="微软雅黑"/>
    <w:panose1 w:val="03000509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ADEBDB"/>
    <w:multiLevelType w:val="singleLevel"/>
    <w:tmpl w:val="CBADEBDB"/>
    <w:lvl w:ilvl="0" w:tentative="0">
      <w:start w:val="1"/>
      <w:numFmt w:val="chineseCounting"/>
      <w:suff w:val="nothing"/>
      <w:lvlText w:val="（%1）"/>
      <w:lvlJc w:val="left"/>
      <w:rPr>
        <w:rFonts w:hint="eastAsia"/>
      </w:rPr>
    </w:lvl>
  </w:abstractNum>
  <w:abstractNum w:abstractNumId="1">
    <w:nsid w:val="F1153BF5"/>
    <w:multiLevelType w:val="singleLevel"/>
    <w:tmpl w:val="F1153BF5"/>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3OWM3MTVlM2RjNTRhNTU4YzY2OWI5YTJhMzNmNzIifQ=="/>
  </w:docVars>
  <w:rsids>
    <w:rsidRoot w:val="00EF16A3"/>
    <w:rsid w:val="0003266D"/>
    <w:rsid w:val="000B5213"/>
    <w:rsid w:val="001627CF"/>
    <w:rsid w:val="00172022"/>
    <w:rsid w:val="00176210"/>
    <w:rsid w:val="001D2D4C"/>
    <w:rsid w:val="002B509A"/>
    <w:rsid w:val="003444DB"/>
    <w:rsid w:val="00383AC5"/>
    <w:rsid w:val="003A03E0"/>
    <w:rsid w:val="003B412A"/>
    <w:rsid w:val="00432709"/>
    <w:rsid w:val="0047487F"/>
    <w:rsid w:val="00491FCD"/>
    <w:rsid w:val="004E6C05"/>
    <w:rsid w:val="004F6F9F"/>
    <w:rsid w:val="00546BCB"/>
    <w:rsid w:val="005C236C"/>
    <w:rsid w:val="005C5417"/>
    <w:rsid w:val="005E6EC9"/>
    <w:rsid w:val="00665896"/>
    <w:rsid w:val="00693A60"/>
    <w:rsid w:val="006E7D57"/>
    <w:rsid w:val="0071336C"/>
    <w:rsid w:val="0071475B"/>
    <w:rsid w:val="00793214"/>
    <w:rsid w:val="007D43DA"/>
    <w:rsid w:val="007E50DB"/>
    <w:rsid w:val="007E661D"/>
    <w:rsid w:val="007F4797"/>
    <w:rsid w:val="007F5EE6"/>
    <w:rsid w:val="0081530B"/>
    <w:rsid w:val="008C31C3"/>
    <w:rsid w:val="008E0E58"/>
    <w:rsid w:val="00941865"/>
    <w:rsid w:val="00986803"/>
    <w:rsid w:val="0099577A"/>
    <w:rsid w:val="009F1522"/>
    <w:rsid w:val="00A06D88"/>
    <w:rsid w:val="00A909F6"/>
    <w:rsid w:val="00AB70A8"/>
    <w:rsid w:val="00AF5C06"/>
    <w:rsid w:val="00B0713E"/>
    <w:rsid w:val="00B20499"/>
    <w:rsid w:val="00B27489"/>
    <w:rsid w:val="00B8177D"/>
    <w:rsid w:val="00B86365"/>
    <w:rsid w:val="00BA723B"/>
    <w:rsid w:val="00BE032C"/>
    <w:rsid w:val="00BE07DC"/>
    <w:rsid w:val="00C242EC"/>
    <w:rsid w:val="00CE156F"/>
    <w:rsid w:val="00D23678"/>
    <w:rsid w:val="00D43ED6"/>
    <w:rsid w:val="00DA1AC7"/>
    <w:rsid w:val="00DC2768"/>
    <w:rsid w:val="00DE50A2"/>
    <w:rsid w:val="00DF6FF4"/>
    <w:rsid w:val="00E57322"/>
    <w:rsid w:val="00E841B7"/>
    <w:rsid w:val="00E963F0"/>
    <w:rsid w:val="00ED5E84"/>
    <w:rsid w:val="00EE0B52"/>
    <w:rsid w:val="00EF16A3"/>
    <w:rsid w:val="00F57E52"/>
    <w:rsid w:val="1264713E"/>
    <w:rsid w:val="28EC743C"/>
    <w:rsid w:val="2D0610F9"/>
    <w:rsid w:val="3B4E55DD"/>
    <w:rsid w:val="57A2286E"/>
    <w:rsid w:val="6C85454E"/>
    <w:rsid w:val="79B336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5</Pages>
  <Words>2237</Words>
  <Characters>2347</Characters>
  <Lines>3</Lines>
  <Paragraphs>1</Paragraphs>
  <TotalTime>11</TotalTime>
  <ScaleCrop>false</ScaleCrop>
  <LinksUpToDate>false</LinksUpToDate>
  <CharactersWithSpaces>2348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2019-11-14T00:58:00Z</dcterms:created>
  <dc:creator>user</dc:creator>
  <cp:lastModifiedBy>WPS_1623401684</cp:lastModifiedBy>
  <cp:lastPrinted>2020-01-06T00:47:00Z</cp:lastPrinted>
  <dcterms:modified xsi:type="dcterms:W3CDTF">2025-07-22T02:27:54Z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09D171EC89334AC5BE7145FCA9109009_13</vt:lpwstr>
  </property>
  <property fmtid="{D5CDD505-2E9C-101B-9397-08002B2CF9AE}" pid="4" name="KSOTemplateDocerSaveRecord">
    <vt:lpwstr>eyJoZGlkIjoiM2Y3OWM3MTVlM2RjNTRhNTU4YzY2OWI5YTJhMzNmNzIiLCJ1c2VySWQiOiIxMjE1ODExNTg0In0=</vt:lpwstr>
  </property>
</Properties>
</file>