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方正小标宋_GBK" w:hAnsi="宋体" w:eastAsia="方正小标宋_GBK" w:cs="Tahoma"/>
          <w:kern w:val="0"/>
          <w:sz w:val="44"/>
          <w:szCs w:val="44"/>
          <w:lang w:val="en-US" w:eastAsia="zh-CN"/>
        </w:rPr>
      </w:pPr>
      <w:r>
        <w:rPr>
          <w:rFonts w:hint="eastAsia" w:ascii="方正小标宋_GBK" w:hAnsi="宋体" w:eastAsia="方正小标宋_GBK" w:cs="Tahoma"/>
          <w:kern w:val="0"/>
          <w:sz w:val="44"/>
          <w:szCs w:val="44"/>
        </w:rPr>
        <w:t>202</w:t>
      </w:r>
      <w:r>
        <w:rPr>
          <w:rFonts w:hint="eastAsia" w:ascii="方正小标宋_GBK" w:hAnsi="宋体" w:eastAsia="方正小标宋_GBK" w:cs="Tahoma"/>
          <w:kern w:val="0"/>
          <w:sz w:val="44"/>
          <w:szCs w:val="44"/>
          <w:lang w:val="en-US" w:eastAsia="zh-CN"/>
        </w:rPr>
        <w:t>3</w:t>
      </w:r>
      <w:r>
        <w:rPr>
          <w:rFonts w:hint="eastAsia" w:ascii="方正小标宋_GBK" w:hAnsi="宋体" w:eastAsia="方正小标宋_GBK" w:cs="Tahoma"/>
          <w:kern w:val="0"/>
          <w:sz w:val="44"/>
          <w:szCs w:val="44"/>
        </w:rPr>
        <w:t>年度</w:t>
      </w:r>
      <w:r>
        <w:rPr>
          <w:rFonts w:hint="eastAsia" w:ascii="方正小标宋_GBK" w:hAnsi="宋体" w:eastAsia="方正小标宋_GBK" w:cs="Tahoma"/>
          <w:kern w:val="0"/>
          <w:sz w:val="44"/>
          <w:szCs w:val="44"/>
          <w:lang w:val="en-US" w:eastAsia="zh-CN"/>
        </w:rPr>
        <w:t>高阳县文化广电和旅游局</w:t>
      </w:r>
    </w:p>
    <w:p>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pPr>
        <w:snapToGrid w:val="0"/>
        <w:spacing w:line="580" w:lineRule="exact"/>
        <w:jc w:val="center"/>
        <w:rPr>
          <w:rFonts w:ascii="方正仿宋_GBK" w:hAnsi="宋体" w:eastAsia="方正仿宋_GBK"/>
          <w:sz w:val="32"/>
          <w:szCs w:val="32"/>
        </w:rPr>
      </w:pPr>
    </w:p>
    <w:p>
      <w:pPr>
        <w:snapToGrid w:val="0"/>
        <w:spacing w:line="400" w:lineRule="exact"/>
        <w:ind w:firstLine="643" w:firstLineChars="200"/>
        <w:rPr>
          <w:rFonts w:ascii="仿宋_GB2312" w:hAnsi="宋体" w:eastAsia="仿宋_GB2312"/>
          <w:b/>
          <w:sz w:val="32"/>
          <w:szCs w:val="32"/>
        </w:rPr>
      </w:pP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为开展好本次部门绩效自评工作，根据《高阳县县级部门预算项目绩效自评管理办法》（高财监[2020]6号），以及高阳县财政局《关于做好202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年度县级预算</w:t>
      </w:r>
      <w:r>
        <w:rPr>
          <w:rFonts w:hint="eastAsia" w:ascii="仿宋_GB2312" w:eastAsia="仿宋_GB2312" w:cs="仿宋_GB2312"/>
          <w:sz w:val="32"/>
          <w:szCs w:val="32"/>
          <w:lang w:val="en-US" w:eastAsia="zh-CN"/>
        </w:rPr>
        <w:t>项目</w:t>
      </w:r>
      <w:r>
        <w:rPr>
          <w:rFonts w:hint="eastAsia" w:ascii="仿宋_GB2312" w:eastAsia="仿宋_GB2312" w:cs="仿宋_GB2312"/>
          <w:sz w:val="32"/>
          <w:szCs w:val="32"/>
        </w:rPr>
        <w:t>绩效自评工作的通知》（高财稽查[202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号）等文件要求，本部门按以下步骤对预算项目开展绩效评价：</w:t>
      </w:r>
    </w:p>
    <w:p>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（1）组织成立部门整体支出自评工作领导小组；</w:t>
      </w:r>
    </w:p>
    <w:p>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（2）收集绩效信息。绩效自评小组从项目管理部门和财务部门收集项目相关资料，如预算资料，财务资料，合同资料等等，组织召开座谈会，最终形成整体支出绩效评价资料；</w:t>
      </w:r>
    </w:p>
    <w:p>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（3）开展绩效评价。</w:t>
      </w:r>
    </w:p>
    <w:p>
      <w:pPr>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（4）自评情况总结，形成专题报告。</w:t>
      </w:r>
    </w:p>
    <w:p>
      <w:pPr>
        <w:numPr>
          <w:ilvl w:val="0"/>
          <w:numId w:val="1"/>
        </w:numPr>
        <w:snapToGrid w:val="0"/>
        <w:spacing w:line="580" w:lineRule="exact"/>
        <w:ind w:firstLine="640" w:firstLineChars="200"/>
        <w:rPr>
          <w:rFonts w:hint="eastAsia" w:ascii="方正黑体_GBK" w:hAnsi="宋体" w:eastAsia="方正黑体_GBK"/>
          <w:sz w:val="32"/>
          <w:szCs w:val="32"/>
        </w:rPr>
      </w:pPr>
      <w:r>
        <w:rPr>
          <w:rFonts w:hint="eastAsia" w:ascii="方正黑体_GBK" w:hAnsi="宋体" w:eastAsia="方正黑体_GBK"/>
          <w:sz w:val="32"/>
          <w:szCs w:val="32"/>
        </w:rPr>
        <w:t>绩效目标实现情况</w:t>
      </w:r>
    </w:p>
    <w:p>
      <w:pPr>
        <w:numPr>
          <w:ilvl w:val="0"/>
          <w:numId w:val="2"/>
        </w:numPr>
        <w:rPr>
          <w:rFonts w:ascii="Arial" w:hAnsi="Arial" w:cs="Arial"/>
          <w:b/>
          <w:bCs/>
          <w:color w:val="333333"/>
          <w:sz w:val="28"/>
          <w:szCs w:val="28"/>
          <w:shd w:val="clear" w:color="auto" w:fill="FFFFFF"/>
        </w:rPr>
      </w:pPr>
      <w:r>
        <w:rPr>
          <w:rFonts w:hint="eastAsia" w:ascii="Arial" w:hAnsi="Arial" w:cs="Arial"/>
          <w:b/>
          <w:bCs/>
          <w:color w:val="333333"/>
          <w:sz w:val="28"/>
          <w:szCs w:val="28"/>
          <w:shd w:val="clear" w:color="auto" w:fill="FFFFFF"/>
        </w:rPr>
        <w:t>部门总体工作开展情况</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黑体"/>
          <w:color w:val="auto"/>
          <w:sz w:val="32"/>
          <w:szCs w:val="32"/>
          <w:lang w:bidi="ar-SA"/>
        </w:rPr>
      </w:pPr>
      <w:r>
        <w:rPr>
          <w:rFonts w:hint="eastAsia"/>
          <w:sz w:val="32"/>
          <w:szCs w:val="32"/>
          <w:lang w:val="en-US" w:eastAsia="zh-CN"/>
        </w:rPr>
        <w:t>1</w:t>
      </w:r>
      <w:r>
        <w:rPr>
          <w:rFonts w:hint="eastAsia" w:ascii="楷体_GB2312" w:eastAsia="楷体_GB2312"/>
          <w:sz w:val="32"/>
          <w:szCs w:val="32"/>
        </w:rPr>
        <w:t>、</w:t>
      </w:r>
      <w:r>
        <w:rPr>
          <w:rFonts w:hint="eastAsia" w:ascii="楷体_GB2312" w:eastAsia="楷体_GB2312" w:cs="黑体"/>
          <w:color w:val="auto"/>
          <w:sz w:val="32"/>
          <w:szCs w:val="32"/>
          <w:lang w:bidi="ar-SA"/>
        </w:rPr>
        <w:t>数字文化中心建设</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土地不动产权登记证、建设用地规划许可证、建设工程规划许可证办理完成，于2023年3月20日开标，合同正在审核、洽谈中，基础开挖已经完成，B座基槽清理完成。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cs="黑体"/>
          <w:color w:val="auto"/>
          <w:sz w:val="32"/>
          <w:szCs w:val="32"/>
          <w:lang w:bidi="ar-SA"/>
        </w:rPr>
      </w:pPr>
      <w:r>
        <w:rPr>
          <w:rFonts w:hint="eastAsia" w:ascii="楷体_GB2312" w:eastAsia="楷体_GB2312"/>
          <w:sz w:val="32"/>
          <w:szCs w:val="32"/>
          <w:lang w:val="en-US" w:eastAsia="zh-CN"/>
        </w:rPr>
        <w:t>2</w:t>
      </w:r>
      <w:r>
        <w:rPr>
          <w:rFonts w:hint="eastAsia" w:ascii="楷体_GB2312" w:eastAsia="楷体_GB2312"/>
          <w:sz w:val="32"/>
          <w:szCs w:val="32"/>
        </w:rPr>
        <w:t>、</w:t>
      </w:r>
      <w:r>
        <w:rPr>
          <w:rFonts w:hint="eastAsia" w:ascii="楷体_GB2312" w:eastAsia="楷体_GB2312" w:cs="黑体"/>
          <w:color w:val="auto"/>
          <w:sz w:val="32"/>
          <w:szCs w:val="32"/>
          <w:lang w:bidi="ar-SA"/>
        </w:rPr>
        <w:t>文化惠民服务活动</w:t>
      </w:r>
    </w:p>
    <w:p>
      <w:pPr>
        <w:keepNext w:val="0"/>
        <w:keepLines w:val="0"/>
        <w:pageBreakBefore w:val="0"/>
        <w:widowControl w:val="0"/>
        <w:kinsoku/>
        <w:wordWrap/>
        <w:overflowPunct/>
        <w:topLinePunct w:val="0"/>
        <w:autoSpaceDE/>
        <w:autoSpaceDN/>
        <w:adjustRightInd/>
        <w:snapToGrid/>
        <w:spacing w:line="560" w:lineRule="exact"/>
        <w:ind w:left="0" w:firstLine="640" w:firstLineChars="200"/>
        <w:jc w:val="left"/>
        <w:rPr>
          <w:rFonts w:hint="eastAsia" w:ascii="仿宋_GB2312" w:eastAsia="仿宋_GB2312" w:cs="仿宋_GB2312"/>
          <w:sz w:val="32"/>
          <w:szCs w:val="32"/>
        </w:rPr>
      </w:pPr>
      <w:r>
        <w:rPr>
          <w:rFonts w:hint="eastAsia" w:ascii="仿宋_GB2312" w:eastAsia="仿宋_GB2312" w:cs="黑体"/>
          <w:color w:val="auto"/>
          <w:sz w:val="32"/>
          <w:szCs w:val="32"/>
          <w:lang w:bidi="ar-SA"/>
        </w:rPr>
        <w:t>组织</w:t>
      </w:r>
      <w:r>
        <w:rPr>
          <w:rFonts w:ascii="仿宋_GB2312" w:eastAsia="仿宋_GB2312" w:cs="仿宋_GB2312"/>
          <w:color w:val="auto"/>
          <w:sz w:val="32"/>
          <w:szCs w:val="32"/>
          <w:lang w:bidi="ar-SA"/>
        </w:rPr>
        <w:t>开展文化惠民演出活动，累计发放文旅惠民卡345张（完成全年任务的100%），发放文旅惠民券55610张（完成全件任务的201%），</w:t>
      </w:r>
      <w:r>
        <w:rPr>
          <w:rFonts w:hint="eastAsia" w:ascii="仿宋_GB2312" w:eastAsia="仿宋_GB2312" w:cs="仿宋_GB2312"/>
          <w:color w:val="auto"/>
          <w:sz w:val="32"/>
          <w:szCs w:val="32"/>
          <w:lang w:bidi="ar-SA"/>
        </w:rPr>
        <w:t>群众性大型文艺活动</w:t>
      </w:r>
      <w:r>
        <w:rPr>
          <w:rFonts w:ascii="仿宋_GB2312" w:eastAsia="仿宋_GB2312" w:cs="仿宋_GB2312"/>
          <w:color w:val="auto"/>
          <w:sz w:val="32"/>
          <w:szCs w:val="32"/>
          <w:lang w:bidi="ar-SA"/>
        </w:rPr>
        <w:t>22</w:t>
      </w:r>
      <w:r>
        <w:rPr>
          <w:rFonts w:hint="eastAsia" w:ascii="仿宋_GB2312" w:eastAsia="仿宋_GB2312" w:cs="仿宋_GB2312"/>
          <w:color w:val="auto"/>
          <w:sz w:val="32"/>
          <w:szCs w:val="32"/>
          <w:lang w:bidi="ar-SA"/>
        </w:rPr>
        <w:t>场，</w:t>
      </w:r>
      <w:r>
        <w:rPr>
          <w:rFonts w:ascii="仿宋_GB2312" w:eastAsia="仿宋_GB2312" w:cs="仿宋_GB2312"/>
          <w:color w:val="auto"/>
          <w:sz w:val="32"/>
          <w:szCs w:val="32"/>
          <w:lang w:bidi="ar-SA"/>
        </w:rPr>
        <w:t>完成</w:t>
      </w:r>
      <w:r>
        <w:rPr>
          <w:rFonts w:hint="eastAsia" w:ascii="仿宋_GB2312" w:eastAsia="仿宋_GB2312" w:cs="仿宋_GB2312"/>
          <w:color w:val="auto"/>
          <w:sz w:val="32"/>
          <w:szCs w:val="32"/>
          <w:lang w:bidi="ar-SA"/>
        </w:rPr>
        <w:t>戏曲下乡</w:t>
      </w:r>
      <w:r>
        <w:rPr>
          <w:rFonts w:ascii="仿宋_GB2312" w:eastAsia="仿宋_GB2312" w:cs="仿宋_GB2312"/>
          <w:color w:val="auto"/>
          <w:sz w:val="32"/>
          <w:szCs w:val="32"/>
          <w:lang w:bidi="ar-SA"/>
        </w:rPr>
        <w:t>46</w:t>
      </w:r>
      <w:r>
        <w:rPr>
          <w:rFonts w:hint="eastAsia" w:ascii="仿宋_GB2312" w:eastAsia="仿宋_GB2312" w:cs="仿宋_GB2312"/>
          <w:color w:val="auto"/>
          <w:sz w:val="32"/>
          <w:szCs w:val="32"/>
          <w:lang w:bidi="ar-SA"/>
        </w:rPr>
        <w:t>场。立足基层群众文化需求，开展书画、舞蹈、戏曲等文艺培训</w:t>
      </w:r>
      <w:r>
        <w:rPr>
          <w:rFonts w:ascii="仿宋_GB2312" w:eastAsia="仿宋_GB2312" w:cs="仿宋_GB2312"/>
          <w:color w:val="auto"/>
          <w:sz w:val="32"/>
          <w:szCs w:val="32"/>
          <w:lang w:bidi="ar-SA"/>
        </w:rPr>
        <w:t>15</w:t>
      </w:r>
      <w:r>
        <w:rPr>
          <w:rFonts w:hint="eastAsia" w:ascii="仿宋_GB2312" w:eastAsia="仿宋_GB2312" w:cs="仿宋_GB2312"/>
          <w:color w:val="auto"/>
          <w:sz w:val="32"/>
          <w:szCs w:val="32"/>
          <w:lang w:bidi="ar-SA"/>
        </w:rPr>
        <w:t>期</w:t>
      </w:r>
      <w:r>
        <w:rPr>
          <w:rFonts w:ascii="仿宋_GB2312" w:eastAsia="仿宋_GB2312" w:cs="仿宋_GB2312"/>
          <w:color w:val="auto"/>
          <w:sz w:val="32"/>
          <w:szCs w:val="32"/>
          <w:lang w:bidi="ar-SA"/>
        </w:rPr>
        <w:t>，利用国庆、中秋、元旦等传统节假日开展各种系列文化惠民演出活动。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sz w:val="32"/>
          <w:szCs w:val="32"/>
        </w:rPr>
      </w:pPr>
      <w:r>
        <w:rPr>
          <w:rFonts w:hint="eastAsia" w:ascii="楷体_GB2312" w:eastAsia="楷体_GB2312"/>
          <w:sz w:val="32"/>
          <w:szCs w:val="32"/>
          <w:lang w:val="en-US" w:eastAsia="zh-CN"/>
        </w:rPr>
        <w:t>3</w:t>
      </w:r>
      <w:r>
        <w:rPr>
          <w:rFonts w:hint="eastAsia" w:ascii="楷体_GB2312" w:eastAsia="楷体_GB2312"/>
          <w:sz w:val="32"/>
          <w:szCs w:val="32"/>
        </w:rPr>
        <w:t>、打造中国式现代化高阳篇章。</w:t>
      </w:r>
    </w:p>
    <w:p>
      <w:pPr>
        <w:keepNext w:val="0"/>
        <w:keepLines w:val="0"/>
        <w:widowControl/>
        <w:suppressLineNumbers w:val="0"/>
        <w:spacing w:line="560" w:lineRule="exact"/>
        <w:ind w:firstLine="480" w:firstLineChars="150"/>
        <w:jc w:val="left"/>
        <w:textAlignment w:val="center"/>
        <w:rPr>
          <w:rFonts w:hint="eastAsia" w:ascii="仿宋_GB2312" w:eastAsia="仿宋_GB2312" w:cs="仿宋_GB2312"/>
          <w:color w:val="000000"/>
          <w:kern w:val="0"/>
          <w:sz w:val="32"/>
          <w:szCs w:val="32"/>
        </w:rPr>
      </w:pPr>
      <w:r>
        <w:rPr>
          <w:rFonts w:hint="eastAsia" w:ascii="仿宋_GB2312" w:eastAsia="仿宋_GB2312" w:cs="仿宋_GB2312"/>
          <w:i w:val="0"/>
          <w:iCs w:val="0"/>
          <w:color w:val="000000"/>
          <w:kern w:val="0"/>
          <w:sz w:val="32"/>
          <w:szCs w:val="32"/>
          <w:u w:val="none"/>
          <w:lang w:val="en-US" w:eastAsia="zh-CN"/>
        </w:rPr>
        <w:t>与“千战兔”公司签约，发展成果共享。拟定全年文旅消费场景工作方案。利用传统节日开展系列文化活动。围绕巾巾乐道、国际纺客风情园南北广场、纺客奥莱风情街、织女驿站等打造系列消费场景。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cs="仿宋_GB2312"/>
          <w:i w:val="0"/>
          <w:iCs w:val="0"/>
          <w:color w:val="000000"/>
          <w:kern w:val="0"/>
          <w:sz w:val="32"/>
          <w:szCs w:val="32"/>
          <w:u w:val="none"/>
          <w:lang w:val="en-US" w:eastAsia="zh-CN"/>
        </w:rPr>
      </w:pPr>
      <w:r>
        <w:rPr>
          <w:rFonts w:hint="eastAsia" w:ascii="楷体_GB2312" w:eastAsia="楷体_GB2312" w:cs="黑体"/>
          <w:sz w:val="32"/>
          <w:szCs w:val="32"/>
          <w:lang w:val="en-US" w:eastAsia="zh-CN" w:bidi="ar-SA"/>
        </w:rPr>
        <w:t>4</w:t>
      </w:r>
      <w:r>
        <w:rPr>
          <w:rFonts w:hint="eastAsia" w:ascii="楷体_GB2312" w:eastAsia="楷体_GB2312" w:cs="黑体"/>
          <w:sz w:val="32"/>
          <w:szCs w:val="32"/>
          <w:lang w:bidi="ar-SA"/>
        </w:rPr>
        <w:t>、</w:t>
      </w:r>
      <w:r>
        <w:rPr>
          <w:rFonts w:hint="eastAsia" w:ascii="楷体_GB2312" w:eastAsia="楷体_GB2312" w:cs="仿宋_GB2312"/>
          <w:i w:val="0"/>
          <w:iCs w:val="0"/>
          <w:color w:val="000000"/>
          <w:kern w:val="0"/>
          <w:sz w:val="32"/>
          <w:szCs w:val="32"/>
          <w:u w:val="none"/>
          <w:lang w:val="en-US" w:eastAsia="zh-CN"/>
        </w:rPr>
        <w:t>推荐申报高阳民间染织技艺为国家级非物质文化遗产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eastAsia="黑体" w:cs="黑体"/>
          <w:sz w:val="32"/>
          <w:szCs w:val="32"/>
          <w:lang w:bidi="ar-SA"/>
        </w:rPr>
      </w:pPr>
      <w:r>
        <w:rPr>
          <w:rFonts w:hint="eastAsia" w:ascii="仿宋_GB2312" w:eastAsia="仿宋_GB2312" w:cs="仿宋_GB2312"/>
          <w:i w:val="0"/>
          <w:iCs w:val="0"/>
          <w:color w:val="000000"/>
          <w:kern w:val="0"/>
          <w:sz w:val="32"/>
          <w:szCs w:val="32"/>
          <w:u w:val="none"/>
          <w:lang w:val="en-US" w:eastAsia="zh-CN"/>
        </w:rPr>
        <w:t>申报“高阳民间染织技艺”，有关工作有序推进，月内搜集了相关项目工作器械，文史资料并进行了整理和文字简介的撰写。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cs="仿宋_GB2312"/>
          <w:i w:val="0"/>
          <w:iCs w:val="0"/>
          <w:color w:val="000000"/>
          <w:kern w:val="0"/>
          <w:sz w:val="32"/>
          <w:szCs w:val="32"/>
          <w:u w:val="none"/>
          <w:lang w:val="en-US" w:eastAsia="zh-CN"/>
        </w:rPr>
      </w:pPr>
      <w:r>
        <w:rPr>
          <w:rFonts w:hint="eastAsia" w:ascii="楷体_GB2312" w:eastAsia="楷体_GB2312" w:cs="仿宋_GB2312"/>
          <w:i w:val="0"/>
          <w:iCs w:val="0"/>
          <w:color w:val="000000"/>
          <w:kern w:val="0"/>
          <w:sz w:val="32"/>
          <w:szCs w:val="32"/>
          <w:u w:val="none"/>
          <w:lang w:val="en-US" w:eastAsia="zh-CN"/>
        </w:rPr>
        <w:t>5、深挖“锅包肘”“开山鸡”“醋酱园干醋”等非遗资源，打造高阳美食品牌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eastAsia="黑体" w:cs="仿宋_GB2312"/>
          <w:i w:val="0"/>
          <w:iCs w:val="0"/>
          <w:color w:val="000000"/>
          <w:kern w:val="0"/>
          <w:sz w:val="32"/>
          <w:szCs w:val="32"/>
          <w:u w:val="none"/>
          <w:lang w:val="en-US" w:eastAsia="zh-CN"/>
        </w:rPr>
      </w:pPr>
      <w:r>
        <w:rPr>
          <w:rFonts w:hint="eastAsia" w:ascii="仿宋_GB2312" w:eastAsia="仿宋_GB2312" w:cs="仿宋_GB2312"/>
          <w:i w:val="0"/>
          <w:iCs w:val="0"/>
          <w:color w:val="000000"/>
          <w:kern w:val="0"/>
          <w:sz w:val="32"/>
          <w:szCs w:val="32"/>
          <w:u w:val="none"/>
          <w:lang w:val="en-US" w:eastAsia="zh-CN"/>
        </w:rPr>
        <w:t>一是结合“年味儿高阳”在巾巾乐道开展了美食展示活动，河西村绿豆糕、庞口李氏豆腐、一条龙锅包肘参与了展示。二是高阳美食品牌效应进一步放大。李石头熟食三珍、马家糕点、田家烧鸡参加了“高阳半程马拉松”公益活动，高阳醋酱园有关产品也参加了多项公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eastAsia="楷体_GB2312" w:cs="黑体"/>
          <w:color w:val="auto"/>
          <w:sz w:val="32"/>
          <w:szCs w:val="32"/>
          <w:lang w:bidi="ar-SA"/>
        </w:rPr>
      </w:pPr>
      <w:r>
        <w:rPr>
          <w:rFonts w:hint="eastAsia" w:ascii="楷体_GB2312" w:eastAsia="楷体_GB2312" w:cs="仿宋_GB2312"/>
          <w:i w:val="0"/>
          <w:iCs w:val="0"/>
          <w:color w:val="000000"/>
          <w:kern w:val="0"/>
          <w:sz w:val="32"/>
          <w:szCs w:val="32"/>
          <w:u w:val="none"/>
          <w:lang w:val="en-US" w:eastAsia="zh-CN"/>
        </w:rPr>
        <w:t>6、加快推进全域旅游配套服务设施项目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eastAsia="黑体" w:cs="黑体"/>
          <w:color w:val="auto"/>
          <w:sz w:val="32"/>
          <w:szCs w:val="32"/>
          <w:lang w:bidi="ar-SA"/>
        </w:rPr>
      </w:pPr>
      <w:r>
        <w:rPr>
          <w:rFonts w:hint="eastAsia" w:ascii="仿宋_GB2312" w:eastAsia="仿宋_GB2312" w:cs="仿宋_GB2312"/>
          <w:i w:val="0"/>
          <w:iCs w:val="0"/>
          <w:color w:val="000000"/>
          <w:kern w:val="0"/>
          <w:sz w:val="32"/>
          <w:szCs w:val="32"/>
          <w:u w:val="none"/>
          <w:lang w:val="en-US" w:eastAsia="zh-CN"/>
        </w:rPr>
        <w:t>化凤桥工程北桥处于白洋淀淀区，需水利部海河水利委员会批复。南桥处于大清河河道管理范围，需要河北省水利厅批复，3月20日咨询天津海委防洪相关手续，海委回复雄安新区白洋淀淀区的相关规划尚未实行，处于严格管控。多次协调后海委同意报送，但该项目位置特殊，咨询相关专家后认为，可能无法通过专家会，目前正抓紧时间与专家组沟通协调此事。</w:t>
      </w:r>
    </w:p>
    <w:p>
      <w:pPr>
        <w:keepNext w:val="0"/>
        <w:keepLines w:val="0"/>
        <w:pageBreakBefore w:val="0"/>
        <w:widowControl w:val="0"/>
        <w:kinsoku/>
        <w:wordWrap/>
        <w:overflowPunct/>
        <w:topLinePunct w:val="0"/>
        <w:autoSpaceDE/>
        <w:autoSpaceDN/>
        <w:adjustRightInd/>
        <w:snapToGrid/>
        <w:spacing w:line="560" w:lineRule="exact"/>
        <w:ind w:firstLine="640" w:firstLineChars="200"/>
        <w:jc w:val="left"/>
        <w:rPr>
          <w:rFonts w:hint="eastAsia" w:ascii="楷体_GB2312" w:eastAsia="楷体_GB2312" w:cs="仿宋_GB2312"/>
          <w:i w:val="0"/>
          <w:iCs w:val="0"/>
          <w:color w:val="000000"/>
          <w:kern w:val="0"/>
          <w:sz w:val="32"/>
          <w:szCs w:val="32"/>
          <w:u w:val="none"/>
          <w:lang w:val="en-US" w:eastAsia="zh-CN"/>
        </w:rPr>
      </w:pPr>
      <w:r>
        <w:rPr>
          <w:rFonts w:hint="eastAsia" w:ascii="楷体_GB2312" w:eastAsia="楷体_GB2312" w:cs="黑体"/>
          <w:color w:val="auto"/>
          <w:sz w:val="32"/>
          <w:szCs w:val="32"/>
          <w:lang w:val="en-US" w:eastAsia="zh-CN" w:bidi="ar-SA"/>
        </w:rPr>
        <w:t>7、</w:t>
      </w:r>
      <w:r>
        <w:rPr>
          <w:rFonts w:hint="eastAsia" w:ascii="楷体_GB2312" w:eastAsia="楷体_GB2312" w:cs="仿宋_GB2312"/>
          <w:i w:val="0"/>
          <w:iCs w:val="0"/>
          <w:color w:val="000000"/>
          <w:kern w:val="0"/>
          <w:sz w:val="32"/>
          <w:szCs w:val="32"/>
          <w:u w:val="none"/>
          <w:lang w:val="en-US" w:eastAsia="zh-CN"/>
        </w:rPr>
        <w:t>实施布里留法工艺学校旧址和高蠡暴动纪念馆升级改造</w:t>
      </w:r>
    </w:p>
    <w:p>
      <w:pPr>
        <w:keepNext w:val="0"/>
        <w:keepLines w:val="0"/>
        <w:pageBreakBefore w:val="0"/>
        <w:widowControl w:val="0"/>
        <w:kinsoku/>
        <w:wordWrap/>
        <w:overflowPunct/>
        <w:topLinePunct w:val="0"/>
        <w:autoSpaceDE/>
        <w:autoSpaceDN/>
        <w:adjustRightInd/>
        <w:snapToGrid/>
        <w:spacing w:line="560" w:lineRule="exact"/>
        <w:ind w:firstLine="640" w:firstLineChars="200"/>
        <w:jc w:val="left"/>
        <w:rPr>
          <w:rFonts w:hint="eastAsia" w:ascii="黑体" w:eastAsia="黑体" w:cs="仿宋_GB2312"/>
          <w:i w:val="0"/>
          <w:iCs w:val="0"/>
          <w:color w:val="000000"/>
          <w:kern w:val="0"/>
          <w:sz w:val="32"/>
          <w:szCs w:val="32"/>
          <w:u w:val="none"/>
          <w:lang w:val="en-US" w:eastAsia="zh-CN"/>
        </w:rPr>
      </w:pPr>
      <w:r>
        <w:rPr>
          <w:rFonts w:hint="eastAsia" w:ascii="仿宋_GB2312" w:eastAsia="仿宋_GB2312" w:cs="仿宋_GB2312"/>
          <w:i w:val="0"/>
          <w:iCs w:val="0"/>
          <w:color w:val="000000"/>
          <w:kern w:val="0"/>
          <w:sz w:val="32"/>
          <w:szCs w:val="32"/>
          <w:u w:val="none"/>
          <w:lang w:val="en-US" w:eastAsia="zh-CN"/>
        </w:rPr>
        <w:t>布里留法工艺学校旧址周边拆迁已打款14户，剩余1户已同意征迁标准，正在协调宅基；布里中学东侧土地组卷一事需资规局组织推动。省建即将进场施工，因旧址周边建设涉及保护范围需上报省文物局审批，已委托河北建研建筑设计有限公司编制文物保护措施、规划设计方案、文物影响评估报告。</w:t>
      </w:r>
    </w:p>
    <w:p>
      <w:pPr>
        <w:keepNext w:val="0"/>
        <w:keepLines w:val="0"/>
        <w:pageBreakBefore w:val="0"/>
        <w:widowControl w:val="0"/>
        <w:kinsoku/>
        <w:wordWrap/>
        <w:overflowPunct/>
        <w:topLinePunct w:val="0"/>
        <w:autoSpaceDE/>
        <w:autoSpaceDN/>
        <w:adjustRightInd/>
        <w:snapToGrid/>
        <w:spacing w:line="560" w:lineRule="exact"/>
        <w:ind w:firstLine="640" w:firstLineChars="200"/>
        <w:jc w:val="left"/>
        <w:rPr>
          <w:rFonts w:hint="eastAsia" w:ascii="楷体_GB2312" w:eastAsia="楷体_GB2312"/>
          <w:sz w:val="32"/>
          <w:szCs w:val="32"/>
        </w:rPr>
      </w:pPr>
      <w:r>
        <w:rPr>
          <w:rFonts w:hint="eastAsia" w:ascii="楷体_GB2312" w:eastAsia="楷体_GB2312" w:cs="黑体"/>
          <w:sz w:val="32"/>
          <w:szCs w:val="32"/>
          <w:lang w:val="en-US" w:eastAsia="zh-CN" w:bidi="ar-SA"/>
        </w:rPr>
        <w:t>8</w:t>
      </w:r>
      <w:r>
        <w:rPr>
          <w:rFonts w:hint="eastAsia" w:ascii="楷体_GB2312" w:eastAsia="楷体_GB2312" w:cs="黑体"/>
          <w:sz w:val="32"/>
          <w:szCs w:val="32"/>
          <w:lang w:bidi="ar-SA"/>
        </w:rPr>
        <w:t>、</w:t>
      </w:r>
      <w:r>
        <w:rPr>
          <w:rFonts w:hint="eastAsia" w:ascii="楷体_GB2312" w:eastAsia="楷体_GB2312"/>
          <w:sz w:val="32"/>
          <w:szCs w:val="32"/>
        </w:rPr>
        <w:t>推进“书院之城”、“博物馆之城”建设。</w:t>
      </w:r>
    </w:p>
    <w:p>
      <w:pPr>
        <w:keepNext w:val="0"/>
        <w:keepLines w:val="0"/>
        <w:widowControl/>
        <w:suppressLineNumbers w:val="0"/>
        <w:spacing w:line="560" w:lineRule="exact"/>
        <w:ind w:firstLine="480" w:firstLineChars="150"/>
        <w:jc w:val="left"/>
        <w:textAlignment w:val="center"/>
        <w:rPr>
          <w:rFonts w:ascii="仿宋_GB2312" w:eastAsia="仿宋_GB2312" w:cs="仿宋_GB2312"/>
          <w:i w:val="0"/>
          <w:iCs w:val="0"/>
          <w:color w:val="000000"/>
          <w:kern w:val="0"/>
          <w:sz w:val="32"/>
          <w:szCs w:val="32"/>
          <w:u w:val="none"/>
          <w:lang w:val="en-US" w:eastAsia="zh-CN"/>
        </w:rPr>
      </w:pPr>
      <w:r>
        <w:rPr>
          <w:rFonts w:hint="eastAsia" w:ascii="仿宋_GB2312" w:eastAsia="仿宋_GB2312" w:cs="仿宋_GB2312"/>
          <w:i w:val="0"/>
          <w:iCs w:val="0"/>
          <w:color w:val="000000"/>
          <w:kern w:val="0"/>
          <w:sz w:val="32"/>
          <w:szCs w:val="32"/>
          <w:u w:val="none"/>
          <w:lang w:val="en-US" w:eastAsia="zh-CN"/>
        </w:rPr>
        <w:t>建设完成南关社区书院、敬宗书院、燃篱书院3座书院，各书院开展书院讲座、书画培训活动，已完成全年任务。</w:t>
      </w:r>
    </w:p>
    <w:p>
      <w:pPr>
        <w:keepNext w:val="0"/>
        <w:keepLines w:val="0"/>
        <w:widowControl/>
        <w:suppressLineNumbers w:val="0"/>
        <w:spacing w:line="560" w:lineRule="exact"/>
        <w:ind w:firstLine="480" w:firstLineChars="150"/>
        <w:jc w:val="left"/>
        <w:textAlignment w:val="center"/>
        <w:rPr>
          <w:rFonts w:ascii="仿宋_GB2312" w:eastAsia="仿宋_GB2312" w:cs="仿宋_GB2312"/>
          <w:i w:val="0"/>
          <w:iCs w:val="0"/>
          <w:color w:val="000000"/>
          <w:kern w:val="0"/>
          <w:sz w:val="32"/>
          <w:szCs w:val="32"/>
          <w:u w:val="none"/>
          <w:lang w:val="en-US" w:eastAsia="zh-CN"/>
        </w:rPr>
      </w:pPr>
      <w:r>
        <w:rPr>
          <w:rFonts w:ascii="仿宋_GB2312" w:eastAsia="仿宋_GB2312" w:cs="仿宋_GB2312"/>
          <w:i w:val="0"/>
          <w:iCs w:val="0"/>
          <w:color w:val="000000"/>
          <w:kern w:val="0"/>
          <w:sz w:val="32"/>
          <w:szCs w:val="32"/>
          <w:u w:val="none"/>
          <w:lang w:val="en-US" w:eastAsia="zh-CN"/>
        </w:rPr>
        <w:t>市定任务是2022年至2024年，完成2座博物馆备案手续（布里留法工艺学校旧址博物馆、高阳县博物馆、棉花图纺织博物馆）；布里留法工艺学校旧址博物馆已于今年10月底在省文物局完成备案，今年博物馆之城建设任务已完成。</w:t>
      </w:r>
    </w:p>
    <w:p>
      <w:pPr>
        <w:keepNext w:val="0"/>
        <w:keepLines w:val="0"/>
        <w:widowControl/>
        <w:suppressLineNumbers w:val="0"/>
        <w:spacing w:line="560" w:lineRule="exact"/>
        <w:ind w:firstLine="480" w:firstLineChars="150"/>
        <w:jc w:val="left"/>
        <w:textAlignment w:val="center"/>
        <w:rPr>
          <w:rFonts w:ascii="Arial" w:hAnsi="Arial" w:cs="Arial"/>
          <w:b/>
          <w:bCs/>
          <w:color w:val="333333"/>
          <w:sz w:val="28"/>
          <w:szCs w:val="28"/>
          <w:shd w:val="clear" w:color="auto" w:fill="FFFFFF"/>
        </w:rPr>
      </w:pPr>
      <w:r>
        <w:rPr>
          <w:rFonts w:ascii="仿宋_GB2312" w:eastAsia="仿宋_GB2312" w:cs="仿宋_GB2312"/>
          <w:i w:val="0"/>
          <w:iCs w:val="0"/>
          <w:color w:val="000000"/>
          <w:kern w:val="0"/>
          <w:sz w:val="32"/>
          <w:szCs w:val="32"/>
          <w:u w:val="none"/>
          <w:lang w:val="en-US" w:eastAsia="zh-CN"/>
        </w:rPr>
        <w:t>同时，积极推进永亮公司毛巾棉花图纺织博物馆备案。新建数字文化中心藏品正在紧张征集中，目前已有一定线索。</w:t>
      </w:r>
    </w:p>
    <w:p>
      <w:pPr>
        <w:spacing w:line="560" w:lineRule="exact"/>
        <w:ind w:firstLine="562" w:firstLineChars="200"/>
        <w:jc w:val="left"/>
        <w:rPr>
          <w:rFonts w:hint="eastAsia" w:ascii="方正黑体_GBK" w:hAnsi="宋体" w:eastAsia="方正黑体_GBK"/>
          <w:sz w:val="32"/>
          <w:szCs w:val="32"/>
        </w:rPr>
      </w:pPr>
      <w:r>
        <w:rPr>
          <w:rFonts w:hint="eastAsia" w:ascii="Arial" w:hAnsi="Arial" w:cs="Arial"/>
          <w:b/>
          <w:bCs/>
          <w:color w:val="333333"/>
          <w:sz w:val="28"/>
          <w:szCs w:val="28"/>
          <w:shd w:val="clear" w:color="auto" w:fill="FFFFFF"/>
          <w:lang w:eastAsia="zh-CN"/>
        </w:rPr>
        <w:t>（</w:t>
      </w:r>
      <w:r>
        <w:rPr>
          <w:rFonts w:hint="eastAsia" w:ascii="Arial" w:hAnsi="Arial" w:cs="Arial"/>
          <w:b/>
          <w:bCs/>
          <w:color w:val="333333"/>
          <w:sz w:val="28"/>
          <w:szCs w:val="28"/>
          <w:shd w:val="clear" w:color="auto" w:fill="FFFFFF"/>
        </w:rPr>
        <w:t>二）整体支出绩效目标完成情况</w:t>
      </w:r>
    </w:p>
    <w:p>
      <w:pPr>
        <w:ind w:firstLine="640" w:firstLineChars="200"/>
        <w:rPr>
          <w:rFonts w:hint="eastAsia" w:eastAsia="仿宋_GB2312"/>
          <w:color w:val="000000"/>
          <w:sz w:val="32"/>
          <w:szCs w:val="32"/>
          <w:highlight w:val="yellow"/>
          <w:lang w:val="en-US" w:eastAsia="zh-CN"/>
        </w:rPr>
      </w:pPr>
      <w:r>
        <w:rPr>
          <w:rFonts w:hint="eastAsia" w:eastAsia="仿宋_GB2312"/>
          <w:color w:val="000000"/>
          <w:sz w:val="32"/>
          <w:szCs w:val="32"/>
          <w:highlight w:val="none"/>
        </w:rPr>
        <w:t>202</w:t>
      </w:r>
      <w:r>
        <w:rPr>
          <w:rFonts w:hint="eastAsia" w:eastAsia="仿宋_GB2312"/>
          <w:color w:val="000000"/>
          <w:sz w:val="32"/>
          <w:szCs w:val="32"/>
          <w:highlight w:val="none"/>
          <w:lang w:val="en-US" w:eastAsia="zh-CN"/>
        </w:rPr>
        <w:t>3</w:t>
      </w:r>
      <w:r>
        <w:rPr>
          <w:rFonts w:hint="eastAsia" w:eastAsia="仿宋_GB2312"/>
          <w:color w:val="000000"/>
          <w:sz w:val="32"/>
          <w:szCs w:val="32"/>
          <w:highlight w:val="none"/>
        </w:rPr>
        <w:t>年度本部门调整后项目预算数</w:t>
      </w:r>
      <w:r>
        <w:rPr>
          <w:rFonts w:hint="eastAsia" w:eastAsia="仿宋_GB2312"/>
          <w:color w:val="000000"/>
          <w:sz w:val="32"/>
          <w:szCs w:val="32"/>
          <w:highlight w:val="none"/>
          <w:lang w:val="en-US" w:eastAsia="zh-CN"/>
        </w:rPr>
        <w:t>3226.376</w:t>
      </w:r>
      <w:r>
        <w:rPr>
          <w:rFonts w:hint="eastAsia" w:eastAsia="仿宋_GB2312"/>
          <w:color w:val="000000"/>
          <w:sz w:val="32"/>
          <w:szCs w:val="32"/>
          <w:highlight w:val="none"/>
        </w:rPr>
        <w:t>万元，预算项目执行数</w:t>
      </w:r>
      <w:r>
        <w:rPr>
          <w:rFonts w:hint="eastAsia" w:eastAsia="仿宋_GB2312"/>
          <w:color w:val="000000"/>
          <w:sz w:val="32"/>
          <w:szCs w:val="32"/>
          <w:highlight w:val="none"/>
          <w:lang w:val="en-US" w:eastAsia="zh-CN"/>
        </w:rPr>
        <w:t>568.72824</w:t>
      </w:r>
      <w:r>
        <w:rPr>
          <w:rFonts w:hint="eastAsia" w:eastAsia="仿宋_GB2312"/>
          <w:color w:val="000000"/>
          <w:sz w:val="32"/>
          <w:szCs w:val="32"/>
          <w:highlight w:val="none"/>
        </w:rPr>
        <w:t>万元</w:t>
      </w:r>
      <w:r>
        <w:rPr>
          <w:rFonts w:hint="eastAsia" w:eastAsia="仿宋_GB2312"/>
          <w:color w:val="000000"/>
          <w:sz w:val="32"/>
          <w:szCs w:val="32"/>
          <w:highlight w:val="none"/>
          <w:lang w:eastAsia="zh-CN"/>
        </w:rPr>
        <w:t>，</w:t>
      </w:r>
      <w:r>
        <w:rPr>
          <w:rFonts w:hint="eastAsia" w:eastAsia="仿宋_GB2312"/>
          <w:color w:val="000000"/>
          <w:sz w:val="32"/>
          <w:szCs w:val="32"/>
        </w:rPr>
        <w:t>预算执行率</w:t>
      </w:r>
      <w:r>
        <w:rPr>
          <w:rFonts w:hint="eastAsia" w:eastAsia="仿宋_GB2312"/>
          <w:color w:val="000000"/>
          <w:sz w:val="32"/>
          <w:szCs w:val="32"/>
          <w:lang w:val="en-US" w:eastAsia="zh-CN"/>
        </w:rPr>
        <w:t>17.63</w:t>
      </w:r>
      <w:r>
        <w:rPr>
          <w:rFonts w:hint="eastAsia" w:eastAsia="仿宋_GB2312"/>
          <w:color w:val="000000"/>
          <w:sz w:val="32"/>
          <w:szCs w:val="32"/>
        </w:rPr>
        <w:t>%</w:t>
      </w:r>
      <w:r>
        <w:rPr>
          <w:rFonts w:hint="eastAsia" w:eastAsia="仿宋_GB2312"/>
          <w:color w:val="000000"/>
          <w:sz w:val="32"/>
          <w:szCs w:val="32"/>
          <w:highlight w:val="none"/>
        </w:rPr>
        <w:t>。</w:t>
      </w:r>
    </w:p>
    <w:p>
      <w:pPr>
        <w:ind w:firstLine="640" w:firstLineChars="200"/>
        <w:rPr>
          <w:rFonts w:eastAsia="仿宋_GB2312"/>
          <w:color w:val="000000"/>
          <w:sz w:val="32"/>
          <w:szCs w:val="32"/>
          <w:highlight w:val="none"/>
        </w:rPr>
      </w:pPr>
      <w:r>
        <w:rPr>
          <w:rFonts w:hint="eastAsia" w:eastAsia="仿宋_GB2312"/>
          <w:color w:val="000000"/>
          <w:sz w:val="32"/>
          <w:szCs w:val="32"/>
          <w:highlight w:val="none"/>
        </w:rPr>
        <w:t>本部门按照财务管理制度和资金管理办法对全部财政资金进行管理和支出，未列入预算的项目不得支出，未超预算安排支出。经费开支坚持“先审批、后开支，谁开支、谁负责，谁分管、谁把关”的原则，对预算项目资金做到单独核算、专款专用。</w:t>
      </w:r>
    </w:p>
    <w:p>
      <w:pPr>
        <w:pStyle w:val="9"/>
        <w:ind w:left="420" w:leftChars="200" w:firstLine="320" w:firstLineChars="100"/>
        <w:rPr>
          <w:rFonts w:hint="eastAsia" w:eastAsia="仿宋_GB2312"/>
          <w:color w:val="000000"/>
          <w:sz w:val="32"/>
          <w:szCs w:val="32"/>
          <w:highlight w:val="none"/>
        </w:rPr>
      </w:pPr>
      <w:r>
        <w:rPr>
          <w:rFonts w:hint="eastAsia" w:eastAsia="仿宋_GB2312"/>
          <w:color w:val="000000"/>
          <w:sz w:val="32"/>
          <w:szCs w:val="32"/>
          <w:highlight w:val="none"/>
        </w:rPr>
        <w:t>总体而言，本部门202</w:t>
      </w:r>
      <w:r>
        <w:rPr>
          <w:rFonts w:hint="eastAsia" w:eastAsia="仿宋_GB2312"/>
          <w:color w:val="000000"/>
          <w:sz w:val="32"/>
          <w:szCs w:val="32"/>
          <w:highlight w:val="none"/>
          <w:lang w:val="en-US" w:eastAsia="zh-CN"/>
        </w:rPr>
        <w:t>3</w:t>
      </w:r>
      <w:r>
        <w:rPr>
          <w:rFonts w:hint="eastAsia" w:eastAsia="仿宋_GB2312"/>
          <w:color w:val="000000"/>
          <w:sz w:val="32"/>
          <w:szCs w:val="32"/>
          <w:highlight w:val="none"/>
        </w:rPr>
        <w:t>年度整体支出情况良好，绩效目标基</w:t>
      </w:r>
    </w:p>
    <w:p>
      <w:pPr>
        <w:rPr>
          <w:rFonts w:eastAsia="仿宋_GB2312"/>
          <w:color w:val="000000"/>
          <w:sz w:val="32"/>
          <w:szCs w:val="32"/>
          <w:highlight w:val="none"/>
        </w:rPr>
      </w:pPr>
      <w:r>
        <w:rPr>
          <w:rFonts w:hint="eastAsia" w:eastAsia="仿宋_GB2312"/>
          <w:color w:val="000000"/>
          <w:sz w:val="32"/>
          <w:szCs w:val="32"/>
          <w:highlight w:val="none"/>
        </w:rPr>
        <w:t>本完成。从项目支出来看，预算项目绩效目标设置合理、明确，项目资金及时拨付到位，在预算执行中加强了对资金支出进度的监控，对支出进度较慢的预算项目进行了整改，在12月底前资金应支尽支，资金使用效率有所提升，较好地完成了绩效目标。其中，要特别说明的是：</w:t>
      </w:r>
      <w:r>
        <w:rPr>
          <w:rFonts w:hint="eastAsia" w:eastAsia="仿宋_GB2312"/>
          <w:color w:val="000000"/>
          <w:sz w:val="32"/>
          <w:szCs w:val="32"/>
          <w:highlight w:val="none"/>
          <w:lang w:val="en-US" w:eastAsia="zh-CN"/>
        </w:rPr>
        <w:t>高阳县古城保护修缮恢复、全域旅游配套服务设施建设等项目一案两书费用、冀财教[2023]71号—2023年国家文物保护专项资金（高阳县布里留法工艺学校旧址修缮工程）、冀财教[2023]73号-中央补助地方公共文化服务体系建设专项资金等</w:t>
      </w:r>
      <w:r>
        <w:rPr>
          <w:rFonts w:hint="eastAsia" w:eastAsia="仿宋_GB2312"/>
          <w:color w:val="000000"/>
          <w:sz w:val="32"/>
          <w:szCs w:val="32"/>
          <w:highlight w:val="none"/>
        </w:rPr>
        <w:t>项目预算执行率较低主要是因为工作尚未开展，未形成支出。</w:t>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三、绩效目标设定质量情况</w:t>
      </w:r>
    </w:p>
    <w:p>
      <w:pPr>
        <w:snapToGrid w:val="0"/>
        <w:spacing w:line="580" w:lineRule="exact"/>
        <w:ind w:firstLine="640" w:firstLineChars="200"/>
        <w:rPr>
          <w:rFonts w:hint="eastAsia" w:eastAsia="仿宋_GB2312"/>
          <w:color w:val="000000"/>
          <w:sz w:val="32"/>
          <w:szCs w:val="32"/>
        </w:rPr>
      </w:pPr>
      <w:r>
        <w:rPr>
          <w:rFonts w:hint="eastAsia" w:eastAsia="仿宋_GB2312"/>
          <w:color w:val="000000"/>
          <w:sz w:val="32"/>
          <w:szCs w:val="32"/>
        </w:rPr>
        <w:t>通过与绩效自评结果对比， 202</w:t>
      </w:r>
      <w:r>
        <w:rPr>
          <w:rFonts w:hint="eastAsia" w:eastAsia="仿宋_GB2312"/>
          <w:color w:val="000000"/>
          <w:sz w:val="32"/>
          <w:szCs w:val="32"/>
          <w:lang w:val="en-US" w:eastAsia="zh-CN"/>
        </w:rPr>
        <w:t>3</w:t>
      </w:r>
      <w:r>
        <w:rPr>
          <w:rFonts w:hint="eastAsia" w:eastAsia="仿宋_GB2312"/>
          <w:color w:val="000000"/>
          <w:sz w:val="32"/>
          <w:szCs w:val="32"/>
        </w:rPr>
        <w:t>年度部门整体支出绩效目标设定较为清晰明确，绩效指标较为合理，绩效标准设定也比较恰当，但仍存在一些不足：一是绩效目标的设定。因业务工作的特殊性和复杂性，年初绩效目标设定还不够具体，在易于评价方面还需进一步改善，今后在设定绩效目标时，应尽可能量化绩效目标，继续加强财务部门与业务部门之间的信息交流，进而提升绩效目标设定质量。二是绩效评价指标的设定。绩效指标设置有些宽泛，产出指标和效益指标操作性有待加强。三绩效监控方面。预算执行过程中，对全部资金和预算项目进展情况的动态监控有待进一步加强。</w:t>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四、整改措施及结果应用</w:t>
      </w:r>
    </w:p>
    <w:p>
      <w:pPr>
        <w:ind w:left="638" w:leftChars="304" w:firstLine="0" w:firstLineChars="0"/>
        <w:rPr>
          <w:rFonts w:eastAsia="仿宋_GB2312"/>
          <w:color w:val="000000"/>
          <w:sz w:val="32"/>
          <w:szCs w:val="32"/>
        </w:rPr>
      </w:pPr>
      <w:r>
        <w:rPr>
          <w:rFonts w:hint="eastAsia" w:eastAsia="仿宋_GB2312"/>
          <w:color w:val="000000"/>
          <w:sz w:val="32"/>
          <w:szCs w:val="32"/>
        </w:rPr>
        <w:t>本部门对202</w:t>
      </w:r>
      <w:r>
        <w:rPr>
          <w:rFonts w:hint="eastAsia" w:eastAsia="仿宋_GB2312"/>
          <w:color w:val="000000"/>
          <w:sz w:val="32"/>
          <w:szCs w:val="32"/>
          <w:lang w:val="en-US" w:eastAsia="zh-CN"/>
        </w:rPr>
        <w:t>3</w:t>
      </w:r>
      <w:bookmarkStart w:id="0" w:name="_GoBack"/>
      <w:bookmarkEnd w:id="0"/>
      <w:r>
        <w:rPr>
          <w:rFonts w:hint="eastAsia" w:eastAsia="仿宋_GB2312"/>
          <w:color w:val="000000"/>
          <w:sz w:val="32"/>
          <w:szCs w:val="32"/>
        </w:rPr>
        <w:t>年绩效自评结果的运用主要是以下几个方面：</w:t>
      </w:r>
      <w:r>
        <w:rPr>
          <w:rFonts w:hint="eastAsia" w:eastAsia="仿宋_GB2312"/>
          <w:color w:val="000000"/>
          <w:sz w:val="32"/>
          <w:szCs w:val="32"/>
          <w:lang w:eastAsia="zh-CN"/>
        </w:rPr>
        <w:t>（</w:t>
      </w:r>
      <w:r>
        <w:rPr>
          <w:rFonts w:hint="eastAsia" w:eastAsia="仿宋_GB2312"/>
          <w:color w:val="000000"/>
          <w:sz w:val="32"/>
          <w:szCs w:val="32"/>
        </w:rPr>
        <w:t>一</w:t>
      </w:r>
      <w:r>
        <w:rPr>
          <w:rFonts w:hint="eastAsia" w:eastAsia="仿宋_GB2312"/>
          <w:color w:val="000000"/>
          <w:sz w:val="32"/>
          <w:szCs w:val="32"/>
          <w:lang w:eastAsia="zh-CN"/>
        </w:rPr>
        <w:t>）</w:t>
      </w:r>
      <w:r>
        <w:rPr>
          <w:rFonts w:hint="eastAsia" w:eastAsia="仿宋_GB2312"/>
          <w:color w:val="000000"/>
          <w:sz w:val="32"/>
          <w:szCs w:val="32"/>
        </w:rPr>
        <w:t>增强本单位的绩效评价主体责任意识。二是促进单位规范使用项目资金。三是不断完善绩效管理工作。</w:t>
      </w:r>
    </w:p>
    <w:p>
      <w:pPr>
        <w:ind w:firstLine="640" w:firstLineChars="200"/>
        <w:rPr>
          <w:rFonts w:eastAsia="仿宋_GB2312"/>
          <w:color w:val="000000"/>
          <w:sz w:val="32"/>
          <w:szCs w:val="32"/>
        </w:rPr>
      </w:pPr>
      <w:r>
        <w:rPr>
          <w:rFonts w:hint="eastAsia" w:eastAsia="仿宋_GB2312"/>
          <w:color w:val="000000"/>
          <w:sz w:val="32"/>
          <w:szCs w:val="32"/>
        </w:rPr>
        <w:t>本部门今后将结合业务工作实际情况，通过以下几点措施更好地提高部门绩效。一是</w:t>
      </w:r>
      <w:r>
        <w:rPr>
          <w:rFonts w:hint="eastAsia" w:ascii="仿宋" w:hAnsi="仿宋" w:eastAsia="仿宋" w:cs="仿宋"/>
          <w:sz w:val="30"/>
          <w:szCs w:val="30"/>
        </w:rPr>
        <w:t>加强学习，提高思想认识。组织人员认真学习预算法等相关法律法规，提高单位领导对部门绩效管理的重视程度，树立全体人员的预算绩效观念</w:t>
      </w:r>
      <w:r>
        <w:rPr>
          <w:rFonts w:hint="eastAsia" w:eastAsia="仿宋_GB2312"/>
          <w:color w:val="000000"/>
          <w:sz w:val="32"/>
          <w:szCs w:val="32"/>
        </w:rPr>
        <w:t>。</w:t>
      </w:r>
    </w:p>
    <w:p>
      <w:pPr>
        <w:ind w:firstLine="640" w:firstLineChars="200"/>
        <w:rPr>
          <w:rFonts w:ascii="仿宋" w:hAnsi="仿宋" w:eastAsia="仿宋" w:cs="仿宋"/>
          <w:sz w:val="30"/>
          <w:szCs w:val="30"/>
        </w:rPr>
      </w:pPr>
      <w:r>
        <w:rPr>
          <w:rFonts w:hint="eastAsia" w:eastAsia="仿宋_GB2312"/>
          <w:color w:val="000000"/>
          <w:sz w:val="32"/>
          <w:szCs w:val="32"/>
          <w:lang w:eastAsia="zh-CN"/>
        </w:rPr>
        <w:t>（</w:t>
      </w:r>
      <w:r>
        <w:rPr>
          <w:rFonts w:hint="eastAsia" w:eastAsia="仿宋_GB2312"/>
          <w:color w:val="000000"/>
          <w:sz w:val="32"/>
          <w:szCs w:val="32"/>
        </w:rPr>
        <w:t>二</w:t>
      </w:r>
      <w:r>
        <w:rPr>
          <w:rFonts w:hint="eastAsia" w:eastAsia="仿宋_GB2312"/>
          <w:color w:val="000000"/>
          <w:sz w:val="32"/>
          <w:szCs w:val="32"/>
          <w:lang w:eastAsia="zh-CN"/>
        </w:rPr>
        <w:t>）</w:t>
      </w:r>
      <w:r>
        <w:rPr>
          <w:rFonts w:hint="eastAsia" w:eastAsia="仿宋_GB2312"/>
          <w:color w:val="000000"/>
          <w:sz w:val="32"/>
          <w:szCs w:val="32"/>
        </w:rPr>
        <w:t>推动相关制度建设。从项目绩效评价制度入手，借鉴其他部门在绩效管理方面的经验和做法，制定统一的绩效考评制度，建立绩效预算激励机制。</w:t>
      </w:r>
      <w:r>
        <w:rPr>
          <w:rFonts w:hint="eastAsia" w:ascii="仿宋" w:hAnsi="仿宋" w:eastAsia="仿宋" w:cs="仿宋"/>
          <w:sz w:val="30"/>
          <w:szCs w:val="30"/>
        </w:rPr>
        <w:t>建立健全各项财务制度，规范财务运行，加强预算支出管理，严格在财政局批复资金范围内使用。加强内部控制，确保支出合法、真实。</w:t>
      </w:r>
    </w:p>
    <w:p>
      <w:pPr>
        <w:ind w:firstLine="640" w:firstLineChars="200"/>
        <w:rPr>
          <w:rFonts w:eastAsia="仿宋_GB2312"/>
          <w:color w:val="000000"/>
          <w:sz w:val="32"/>
          <w:szCs w:val="32"/>
        </w:rPr>
      </w:pPr>
      <w:r>
        <w:rPr>
          <w:rFonts w:hint="eastAsia" w:eastAsia="仿宋_GB2312"/>
          <w:color w:val="000000"/>
          <w:sz w:val="32"/>
          <w:szCs w:val="32"/>
          <w:lang w:eastAsia="zh-CN"/>
        </w:rPr>
        <w:t>（</w:t>
      </w:r>
      <w:r>
        <w:rPr>
          <w:rFonts w:hint="eastAsia" w:eastAsia="仿宋_GB2312"/>
          <w:color w:val="000000"/>
          <w:sz w:val="32"/>
          <w:szCs w:val="32"/>
        </w:rPr>
        <w:t>三</w:t>
      </w:r>
      <w:r>
        <w:rPr>
          <w:rFonts w:hint="eastAsia" w:eastAsia="仿宋_GB2312"/>
          <w:color w:val="000000"/>
          <w:sz w:val="32"/>
          <w:szCs w:val="32"/>
          <w:lang w:eastAsia="zh-CN"/>
        </w:rPr>
        <w:t>）</w:t>
      </w:r>
      <w:r>
        <w:rPr>
          <w:rFonts w:hint="eastAsia" w:eastAsia="仿宋_GB2312"/>
          <w:color w:val="000000"/>
          <w:sz w:val="32"/>
          <w:szCs w:val="32"/>
        </w:rPr>
        <w:t>完善绩效评价体系，加强监督检查和考核工作。进一步探索完善项目绩效评价指标体系，进一步完善项目绩效评价指标体系，增强绩效评价结果的可比性、可信度。加强对绩效管理工作的跟踪督查，做到绩效管理有依据、按程序、有奖惩，实现绩效管理的规范化、常态化。</w:t>
      </w:r>
    </w:p>
    <w:p>
      <w:pPr>
        <w:snapToGrid w:val="0"/>
        <w:spacing w:line="580" w:lineRule="exact"/>
        <w:ind w:firstLine="640" w:firstLineChars="200"/>
        <w:rPr>
          <w:rFonts w:ascii="方正仿宋_GBK" w:eastAsia="方正仿宋_GBK"/>
        </w:rPr>
      </w:pPr>
      <w:r>
        <w:rPr>
          <w:rFonts w:hint="eastAsia" w:eastAsia="仿宋_GB2312"/>
          <w:color w:val="000000"/>
          <w:sz w:val="32"/>
          <w:szCs w:val="32"/>
          <w:lang w:eastAsia="zh-CN"/>
        </w:rPr>
        <w:t>（</w:t>
      </w:r>
      <w:r>
        <w:rPr>
          <w:rFonts w:hint="eastAsia" w:eastAsia="仿宋_GB2312"/>
          <w:color w:val="000000"/>
          <w:sz w:val="32"/>
          <w:szCs w:val="32"/>
        </w:rPr>
        <w:t>四</w:t>
      </w:r>
      <w:r>
        <w:rPr>
          <w:rFonts w:hint="eastAsia" w:eastAsia="仿宋_GB2312"/>
          <w:color w:val="000000"/>
          <w:sz w:val="32"/>
          <w:szCs w:val="32"/>
          <w:lang w:eastAsia="zh-CN"/>
        </w:rPr>
        <w:t>）</w:t>
      </w:r>
      <w:r>
        <w:rPr>
          <w:rFonts w:hint="eastAsia" w:eastAsia="仿宋_GB2312"/>
          <w:color w:val="000000"/>
          <w:sz w:val="32"/>
          <w:szCs w:val="32"/>
        </w:rPr>
        <w:t>统筹协调，厘定提高资金使用绩效的关节点。切实提高资金使用绩效，找到突破口与关节点。在资金使用上严格按照规定执行，做到资金使用的安全规范，对项目经费实行专项管理，保证经费及时到位和合理使用。采取得力措施，降低行政运行成本，提高资金使用绩效。</w:t>
      </w:r>
    </w:p>
    <w:sectPr>
      <w:pgSz w:w="11906" w:h="16838"/>
      <w:pgMar w:top="209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DEBDB"/>
    <w:multiLevelType w:val="singleLevel"/>
    <w:tmpl w:val="CBADEBDB"/>
    <w:lvl w:ilvl="0" w:tentative="0">
      <w:start w:val="1"/>
      <w:numFmt w:val="chineseCounting"/>
      <w:suff w:val="nothing"/>
      <w:lvlText w:val="（%1）"/>
      <w:lvlJc w:val="left"/>
      <w:rPr>
        <w:rFonts w:hint="eastAsia"/>
      </w:rPr>
    </w:lvl>
  </w:abstractNum>
  <w:abstractNum w:abstractNumId="1">
    <w:nsid w:val="F1153BF5"/>
    <w:multiLevelType w:val="singleLevel"/>
    <w:tmpl w:val="F1153BF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OWM3MTVlM2RjNTRhNTU4YzY2OWI5YTJhMzNmNzIifQ=="/>
  </w:docVars>
  <w:rsids>
    <w:rsidRoot w:val="00EF16A3"/>
    <w:rsid w:val="0003266D"/>
    <w:rsid w:val="000B5213"/>
    <w:rsid w:val="001627CF"/>
    <w:rsid w:val="00172022"/>
    <w:rsid w:val="00176210"/>
    <w:rsid w:val="001D2D4C"/>
    <w:rsid w:val="002B509A"/>
    <w:rsid w:val="003444DB"/>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27489"/>
    <w:rsid w:val="00B8177D"/>
    <w:rsid w:val="00B86365"/>
    <w:rsid w:val="00BA723B"/>
    <w:rsid w:val="00BE032C"/>
    <w:rsid w:val="00BE07DC"/>
    <w:rsid w:val="00C242EC"/>
    <w:rsid w:val="00CE156F"/>
    <w:rsid w:val="00D23678"/>
    <w:rsid w:val="00D43ED6"/>
    <w:rsid w:val="00DA1AC7"/>
    <w:rsid w:val="00DC2768"/>
    <w:rsid w:val="00DE50A2"/>
    <w:rsid w:val="00DF6FF4"/>
    <w:rsid w:val="00E57322"/>
    <w:rsid w:val="00E841B7"/>
    <w:rsid w:val="00E963F0"/>
    <w:rsid w:val="00ED5E84"/>
    <w:rsid w:val="00EE0B52"/>
    <w:rsid w:val="00EF16A3"/>
    <w:rsid w:val="00F57E52"/>
    <w:rsid w:val="28EC743C"/>
    <w:rsid w:val="2D0610F9"/>
    <w:rsid w:val="3B4E55DD"/>
    <w:rsid w:val="57A2286E"/>
    <w:rsid w:val="6BBB0BF9"/>
    <w:rsid w:val="79B3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2"/>
    <w:basedOn w:val="1"/>
    <w:next w:val="1"/>
    <w:qFormat/>
    <w:uiPriority w:val="0"/>
    <w:pPr>
      <w:widowControl w:val="0"/>
      <w:ind w:left="200" w:leftChars="200"/>
      <w:jc w:val="both"/>
    </w:pPr>
    <w:rPr>
      <w:rFonts w:ascii="楷体_GB2312" w:eastAsia="楷体_GB2312" w:cs="Times New Roman"/>
      <w:kern w:val="2"/>
      <w:sz w:val="21"/>
      <w:szCs w:val="24"/>
      <w:lang w:val="en-US" w:eastAsia="zh-CN" w:bidi="ar-SA"/>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2252</Words>
  <Characters>2373</Characters>
  <Lines>3</Lines>
  <Paragraphs>1</Paragraphs>
  <TotalTime>19</TotalTime>
  <ScaleCrop>false</ScaleCrop>
  <LinksUpToDate>false</LinksUpToDate>
  <CharactersWithSpaces>2374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WPS_1623401684</cp:lastModifiedBy>
  <cp:lastPrinted>2020-01-06T00:47:00Z</cp:lastPrinted>
  <dcterms:modified xsi:type="dcterms:W3CDTF">2024-03-28T07:21:55Z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96850B741EB2496483B171C1B6F29FD9_13</vt:lpwstr>
  </property>
</Properties>
</file>