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359高阳县融媒体中心</w:t>
            </w:r>
          </w:p>
        </w:tc>
        <w:tc>
          <w:tcPr>
            <w:tcW w:w="2126" w:type="dxa"/>
            <w:tcBorders>
              <w:top w:val="single" w:color="FFFFFF" w:sz="6" w:space="0"/>
              <w:left w:val="single" w:color="FFFFFF" w:sz="6" w:space="0"/>
              <w:right w:val="single" w:color="FFFFFF" w:sz="6" w:space="0"/>
            </w:tcBorders>
            <w:vAlign w:val="center"/>
          </w:tcPr>
          <w:p>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786.16</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r>
              <w:t>786.16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786.16</w:t>
            </w:r>
          </w:p>
        </w:tc>
        <w:tc>
          <w:tcPr>
            <w:tcW w:w="4535" w:type="dxa"/>
            <w:vAlign w:val="center"/>
          </w:tcPr>
          <w:p>
            <w:pPr>
              <w:pStyle w:val="17"/>
            </w:pPr>
            <w:r>
              <w:t>本年支出合计</w:t>
            </w:r>
          </w:p>
        </w:tc>
        <w:tc>
          <w:tcPr>
            <w:tcW w:w="2126" w:type="dxa"/>
            <w:vAlign w:val="center"/>
          </w:tcPr>
          <w:p>
            <w:pPr>
              <w:pStyle w:val="18"/>
            </w:pPr>
            <w:r>
              <w:t>786.16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786.16</w:t>
            </w:r>
          </w:p>
        </w:tc>
        <w:tc>
          <w:tcPr>
            <w:tcW w:w="4535" w:type="dxa"/>
            <w:vAlign w:val="center"/>
          </w:tcPr>
          <w:p>
            <w:pPr>
              <w:pStyle w:val="17"/>
            </w:pPr>
            <w:r>
              <w:t>支出总计</w:t>
            </w:r>
          </w:p>
        </w:tc>
        <w:tc>
          <w:tcPr>
            <w:tcW w:w="2126" w:type="dxa"/>
            <w:vAlign w:val="center"/>
          </w:tcPr>
          <w:p>
            <w:pPr>
              <w:pStyle w:val="18"/>
            </w:pPr>
            <w:r>
              <w:t>786.16</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359高阳县融媒体中心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786.16</w:t>
            </w:r>
          </w:p>
        </w:tc>
        <w:tc>
          <w:tcPr>
            <w:tcW w:w="1134" w:type="dxa"/>
            <w:vAlign w:val="center"/>
          </w:tcPr>
          <w:p>
            <w:pPr>
              <w:pStyle w:val="18"/>
            </w:pPr>
            <w:r>
              <w:t>786.16</w:t>
            </w:r>
          </w:p>
        </w:tc>
        <w:tc>
          <w:tcPr>
            <w:tcW w:w="1134" w:type="dxa"/>
            <w:vAlign w:val="center"/>
          </w:tcPr>
          <w:p>
            <w:pPr>
              <w:pStyle w:val="18"/>
            </w:pPr>
            <w:r>
              <w:t>786.16</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207</w:t>
            </w:r>
          </w:p>
        </w:tc>
        <w:tc>
          <w:tcPr>
            <w:tcW w:w="1559" w:type="dxa"/>
            <w:vAlign w:val="center"/>
          </w:tcPr>
          <w:p>
            <w:pPr>
              <w:pStyle w:val="15"/>
            </w:pPr>
            <w:r>
              <w:t>文化旅游体育与传媒支出</w:t>
            </w:r>
          </w:p>
        </w:tc>
        <w:tc>
          <w:tcPr>
            <w:tcW w:w="1134" w:type="dxa"/>
            <w:vAlign w:val="center"/>
          </w:tcPr>
          <w:p>
            <w:pPr>
              <w:pStyle w:val="14"/>
            </w:pPr>
            <w:r>
              <w:t>786.16</w:t>
            </w:r>
          </w:p>
        </w:tc>
        <w:tc>
          <w:tcPr>
            <w:tcW w:w="1134" w:type="dxa"/>
            <w:vAlign w:val="center"/>
          </w:tcPr>
          <w:p>
            <w:pPr>
              <w:pStyle w:val="14"/>
            </w:pPr>
            <w:r>
              <w:t>786.16</w:t>
            </w:r>
          </w:p>
        </w:tc>
        <w:tc>
          <w:tcPr>
            <w:tcW w:w="1134" w:type="dxa"/>
            <w:vAlign w:val="center"/>
          </w:tcPr>
          <w:p>
            <w:pPr>
              <w:pStyle w:val="14"/>
            </w:pPr>
            <w:r>
              <w:t>786.16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20708</w:t>
            </w:r>
          </w:p>
        </w:tc>
        <w:tc>
          <w:tcPr>
            <w:tcW w:w="1559" w:type="dxa"/>
            <w:vAlign w:val="center"/>
          </w:tcPr>
          <w:p>
            <w:pPr>
              <w:pStyle w:val="15"/>
            </w:pPr>
            <w:r>
              <w:t>广播电视</w:t>
            </w:r>
          </w:p>
        </w:tc>
        <w:tc>
          <w:tcPr>
            <w:tcW w:w="1134" w:type="dxa"/>
            <w:vAlign w:val="center"/>
          </w:tcPr>
          <w:p>
            <w:pPr>
              <w:pStyle w:val="14"/>
            </w:pPr>
            <w:r>
              <w:t>786.16</w:t>
            </w:r>
          </w:p>
        </w:tc>
        <w:tc>
          <w:tcPr>
            <w:tcW w:w="1134" w:type="dxa"/>
            <w:vAlign w:val="center"/>
          </w:tcPr>
          <w:p>
            <w:pPr>
              <w:pStyle w:val="14"/>
            </w:pPr>
            <w:r>
              <w:t>786.16</w:t>
            </w:r>
          </w:p>
        </w:tc>
        <w:tc>
          <w:tcPr>
            <w:tcW w:w="1134" w:type="dxa"/>
            <w:vAlign w:val="center"/>
          </w:tcPr>
          <w:p>
            <w:pPr>
              <w:pStyle w:val="14"/>
            </w:pPr>
            <w:r>
              <w:t>786.16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2070808</w:t>
            </w:r>
          </w:p>
        </w:tc>
        <w:tc>
          <w:tcPr>
            <w:tcW w:w="1559" w:type="dxa"/>
            <w:vAlign w:val="center"/>
          </w:tcPr>
          <w:p>
            <w:pPr>
              <w:pStyle w:val="15"/>
            </w:pPr>
            <w:r>
              <w:t>广播电视事务</w:t>
            </w:r>
          </w:p>
        </w:tc>
        <w:tc>
          <w:tcPr>
            <w:tcW w:w="1134" w:type="dxa"/>
            <w:vAlign w:val="center"/>
          </w:tcPr>
          <w:p>
            <w:pPr>
              <w:pStyle w:val="14"/>
            </w:pPr>
            <w:r>
              <w:t>84.53</w:t>
            </w:r>
          </w:p>
        </w:tc>
        <w:tc>
          <w:tcPr>
            <w:tcW w:w="1134" w:type="dxa"/>
            <w:vAlign w:val="center"/>
          </w:tcPr>
          <w:p>
            <w:pPr>
              <w:pStyle w:val="14"/>
            </w:pPr>
            <w:r>
              <w:t>84.53</w:t>
            </w:r>
          </w:p>
        </w:tc>
        <w:tc>
          <w:tcPr>
            <w:tcW w:w="1134" w:type="dxa"/>
            <w:vAlign w:val="center"/>
          </w:tcPr>
          <w:p>
            <w:pPr>
              <w:pStyle w:val="14"/>
            </w:pPr>
            <w:r>
              <w:t>84.53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2070899</w:t>
            </w:r>
          </w:p>
        </w:tc>
        <w:tc>
          <w:tcPr>
            <w:tcW w:w="1559" w:type="dxa"/>
            <w:vAlign w:val="center"/>
          </w:tcPr>
          <w:p>
            <w:pPr>
              <w:pStyle w:val="15"/>
            </w:pPr>
            <w:r>
              <w:t>其他广播电视支出</w:t>
            </w:r>
          </w:p>
        </w:tc>
        <w:tc>
          <w:tcPr>
            <w:tcW w:w="1134" w:type="dxa"/>
            <w:vAlign w:val="center"/>
          </w:tcPr>
          <w:p>
            <w:pPr>
              <w:pStyle w:val="14"/>
            </w:pPr>
            <w:r>
              <w:t>701.63</w:t>
            </w:r>
          </w:p>
        </w:tc>
        <w:tc>
          <w:tcPr>
            <w:tcW w:w="1134" w:type="dxa"/>
            <w:vAlign w:val="center"/>
          </w:tcPr>
          <w:p>
            <w:pPr>
              <w:pStyle w:val="14"/>
            </w:pPr>
            <w:r>
              <w:t>701.63</w:t>
            </w:r>
          </w:p>
        </w:tc>
        <w:tc>
          <w:tcPr>
            <w:tcW w:w="1134" w:type="dxa"/>
            <w:vAlign w:val="center"/>
          </w:tcPr>
          <w:p>
            <w:pPr>
              <w:pStyle w:val="14"/>
            </w:pPr>
            <w:r>
              <w:t>701.63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786.16</w:t>
            </w:r>
          </w:p>
        </w:tc>
        <w:tc>
          <w:tcPr>
            <w:tcW w:w="1361" w:type="dxa"/>
            <w:vAlign w:val="center"/>
          </w:tcPr>
          <w:p>
            <w:pPr>
              <w:pStyle w:val="18"/>
            </w:pPr>
            <w:r>
              <w:t>701.63</w:t>
            </w:r>
          </w:p>
        </w:tc>
        <w:tc>
          <w:tcPr>
            <w:tcW w:w="1361" w:type="dxa"/>
            <w:vAlign w:val="center"/>
          </w:tcPr>
          <w:p>
            <w:pPr>
              <w:pStyle w:val="18"/>
            </w:pPr>
            <w:r>
              <w:t>84.53</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207</w:t>
            </w:r>
          </w:p>
        </w:tc>
        <w:tc>
          <w:tcPr>
            <w:tcW w:w="4535" w:type="dxa"/>
            <w:vAlign w:val="center"/>
          </w:tcPr>
          <w:p>
            <w:pPr>
              <w:pStyle w:val="15"/>
            </w:pPr>
            <w:r>
              <w:t>文化旅游体育与传媒支出</w:t>
            </w:r>
          </w:p>
        </w:tc>
        <w:tc>
          <w:tcPr>
            <w:tcW w:w="1361" w:type="dxa"/>
            <w:vAlign w:val="center"/>
          </w:tcPr>
          <w:p>
            <w:pPr>
              <w:pStyle w:val="14"/>
            </w:pPr>
            <w:r>
              <w:t>786.16</w:t>
            </w:r>
          </w:p>
        </w:tc>
        <w:tc>
          <w:tcPr>
            <w:tcW w:w="1361" w:type="dxa"/>
            <w:vAlign w:val="center"/>
          </w:tcPr>
          <w:p>
            <w:pPr>
              <w:pStyle w:val="14"/>
            </w:pPr>
            <w:r>
              <w:t>701.63</w:t>
            </w:r>
          </w:p>
        </w:tc>
        <w:tc>
          <w:tcPr>
            <w:tcW w:w="1361" w:type="dxa"/>
            <w:vAlign w:val="center"/>
          </w:tcPr>
          <w:p>
            <w:pPr>
              <w:pStyle w:val="14"/>
            </w:pPr>
            <w:r>
              <w:t>84.53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20708</w:t>
            </w:r>
          </w:p>
        </w:tc>
        <w:tc>
          <w:tcPr>
            <w:tcW w:w="4535" w:type="dxa"/>
            <w:vAlign w:val="center"/>
          </w:tcPr>
          <w:p>
            <w:pPr>
              <w:pStyle w:val="15"/>
            </w:pPr>
            <w:r>
              <w:t>广播电视</w:t>
            </w:r>
          </w:p>
        </w:tc>
        <w:tc>
          <w:tcPr>
            <w:tcW w:w="1361" w:type="dxa"/>
            <w:vAlign w:val="center"/>
          </w:tcPr>
          <w:p>
            <w:pPr>
              <w:pStyle w:val="14"/>
            </w:pPr>
            <w:r>
              <w:t>786.16</w:t>
            </w:r>
          </w:p>
        </w:tc>
        <w:tc>
          <w:tcPr>
            <w:tcW w:w="1361" w:type="dxa"/>
            <w:vAlign w:val="center"/>
          </w:tcPr>
          <w:p>
            <w:pPr>
              <w:pStyle w:val="14"/>
            </w:pPr>
            <w:r>
              <w:t>701.63</w:t>
            </w:r>
          </w:p>
        </w:tc>
        <w:tc>
          <w:tcPr>
            <w:tcW w:w="1361" w:type="dxa"/>
            <w:vAlign w:val="center"/>
          </w:tcPr>
          <w:p>
            <w:pPr>
              <w:pStyle w:val="14"/>
            </w:pPr>
            <w:r>
              <w:t>84.53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2070808</w:t>
            </w:r>
          </w:p>
        </w:tc>
        <w:tc>
          <w:tcPr>
            <w:tcW w:w="4535" w:type="dxa"/>
            <w:vAlign w:val="center"/>
          </w:tcPr>
          <w:p>
            <w:pPr>
              <w:pStyle w:val="15"/>
            </w:pPr>
            <w:r>
              <w:t>广播电视事务</w:t>
            </w:r>
          </w:p>
        </w:tc>
        <w:tc>
          <w:tcPr>
            <w:tcW w:w="1361" w:type="dxa"/>
            <w:vAlign w:val="center"/>
          </w:tcPr>
          <w:p>
            <w:pPr>
              <w:pStyle w:val="14"/>
            </w:pPr>
            <w:r>
              <w:t>84.53</w:t>
            </w:r>
          </w:p>
        </w:tc>
        <w:tc>
          <w:tcPr>
            <w:tcW w:w="1361" w:type="dxa"/>
            <w:vAlign w:val="center"/>
          </w:tcPr>
          <w:p>
            <w:pPr>
              <w:pStyle w:val="14"/>
            </w:pPr>
          </w:p>
        </w:tc>
        <w:tc>
          <w:tcPr>
            <w:tcW w:w="1361" w:type="dxa"/>
            <w:vAlign w:val="center"/>
          </w:tcPr>
          <w:p>
            <w:pPr>
              <w:pStyle w:val="14"/>
            </w:pPr>
            <w:r>
              <w:t>84.53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2070899</w:t>
            </w:r>
          </w:p>
        </w:tc>
        <w:tc>
          <w:tcPr>
            <w:tcW w:w="4535" w:type="dxa"/>
            <w:vAlign w:val="center"/>
          </w:tcPr>
          <w:p>
            <w:pPr>
              <w:pStyle w:val="15"/>
            </w:pPr>
            <w:r>
              <w:t>其他广播电视支出</w:t>
            </w:r>
          </w:p>
        </w:tc>
        <w:tc>
          <w:tcPr>
            <w:tcW w:w="1361" w:type="dxa"/>
            <w:vAlign w:val="center"/>
          </w:tcPr>
          <w:p>
            <w:pPr>
              <w:pStyle w:val="14"/>
            </w:pPr>
            <w:r>
              <w:t>701.63</w:t>
            </w:r>
          </w:p>
        </w:tc>
        <w:tc>
          <w:tcPr>
            <w:tcW w:w="1361" w:type="dxa"/>
            <w:vAlign w:val="center"/>
          </w:tcPr>
          <w:p>
            <w:pPr>
              <w:pStyle w:val="14"/>
            </w:pPr>
            <w:r>
              <w:t>701.63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3402" w:type="dxa"/>
            <w:tcBorders>
              <w:top w:val="single" w:color="FFFFFF" w:sz="6" w:space="0"/>
              <w:left w:val="single" w:color="FFFFFF" w:sz="6" w:space="0"/>
              <w:right w:val="single" w:color="FFFFFF" w:sz="6" w:space="0"/>
            </w:tcBorders>
            <w:vAlign w:val="center"/>
          </w:tcPr>
          <w:p>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786.16</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r>
              <w:t>786.16</w:t>
            </w:r>
          </w:p>
        </w:tc>
        <w:tc>
          <w:tcPr>
            <w:tcW w:w="1474" w:type="dxa"/>
            <w:vAlign w:val="center"/>
          </w:tcPr>
          <w:p>
            <w:pPr>
              <w:pStyle w:val="14"/>
            </w:pPr>
            <w:r>
              <w:t>786.16</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786.16</w:t>
            </w:r>
          </w:p>
        </w:tc>
        <w:tc>
          <w:tcPr>
            <w:tcW w:w="3402" w:type="dxa"/>
            <w:vAlign w:val="center"/>
          </w:tcPr>
          <w:p>
            <w:pPr>
              <w:pStyle w:val="17"/>
            </w:pPr>
            <w:r>
              <w:t>本年支出合计</w:t>
            </w:r>
          </w:p>
        </w:tc>
        <w:tc>
          <w:tcPr>
            <w:tcW w:w="1474" w:type="dxa"/>
            <w:vAlign w:val="center"/>
          </w:tcPr>
          <w:p>
            <w:pPr>
              <w:pStyle w:val="18"/>
            </w:pPr>
            <w:r>
              <w:t>786.16</w:t>
            </w:r>
          </w:p>
        </w:tc>
        <w:tc>
          <w:tcPr>
            <w:tcW w:w="1474" w:type="dxa"/>
            <w:vAlign w:val="center"/>
          </w:tcPr>
          <w:p>
            <w:pPr>
              <w:pStyle w:val="18"/>
            </w:pPr>
            <w:r>
              <w:t>786.16</w:t>
            </w:r>
          </w:p>
        </w:tc>
        <w:tc>
          <w:tcPr>
            <w:tcW w:w="1474" w:type="dxa"/>
            <w:vAlign w:val="center"/>
          </w:tcPr>
          <w:p>
            <w:pPr>
              <w:pStyle w:val="18"/>
            </w:pP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786.16</w:t>
            </w:r>
          </w:p>
        </w:tc>
        <w:tc>
          <w:tcPr>
            <w:tcW w:w="3402" w:type="dxa"/>
            <w:vAlign w:val="center"/>
          </w:tcPr>
          <w:p>
            <w:pPr>
              <w:pStyle w:val="17"/>
            </w:pPr>
            <w:r>
              <w:t>支出总计</w:t>
            </w:r>
          </w:p>
        </w:tc>
        <w:tc>
          <w:tcPr>
            <w:tcW w:w="1474" w:type="dxa"/>
            <w:vAlign w:val="center"/>
          </w:tcPr>
          <w:p>
            <w:pPr>
              <w:pStyle w:val="18"/>
            </w:pPr>
            <w:r>
              <w:t>786.16</w:t>
            </w:r>
          </w:p>
        </w:tc>
        <w:tc>
          <w:tcPr>
            <w:tcW w:w="1474" w:type="dxa"/>
            <w:vAlign w:val="center"/>
          </w:tcPr>
          <w:p>
            <w:pPr>
              <w:pStyle w:val="18"/>
            </w:pPr>
            <w:r>
              <w:t>786.16</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786.16</w:t>
            </w:r>
          </w:p>
        </w:tc>
        <w:tc>
          <w:tcPr>
            <w:tcW w:w="2551" w:type="dxa"/>
            <w:vAlign w:val="center"/>
          </w:tcPr>
          <w:p>
            <w:pPr>
              <w:pStyle w:val="18"/>
            </w:pPr>
            <w:r>
              <w:t>701.63</w:t>
            </w:r>
          </w:p>
        </w:tc>
        <w:tc>
          <w:tcPr>
            <w:tcW w:w="2551" w:type="dxa"/>
            <w:vAlign w:val="center"/>
          </w:tcPr>
          <w:p>
            <w:pPr>
              <w:pStyle w:val="18"/>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207</w:t>
            </w:r>
          </w:p>
        </w:tc>
        <w:tc>
          <w:tcPr>
            <w:tcW w:w="4535" w:type="dxa"/>
            <w:vAlign w:val="center"/>
          </w:tcPr>
          <w:p>
            <w:pPr>
              <w:pStyle w:val="15"/>
            </w:pPr>
            <w:r>
              <w:t>文化旅游体育与传媒支出</w:t>
            </w:r>
          </w:p>
        </w:tc>
        <w:tc>
          <w:tcPr>
            <w:tcW w:w="2551" w:type="dxa"/>
            <w:vAlign w:val="center"/>
          </w:tcPr>
          <w:p>
            <w:pPr>
              <w:pStyle w:val="14"/>
            </w:pPr>
            <w:r>
              <w:t>786.16</w:t>
            </w:r>
          </w:p>
        </w:tc>
        <w:tc>
          <w:tcPr>
            <w:tcW w:w="2551" w:type="dxa"/>
            <w:vAlign w:val="center"/>
          </w:tcPr>
          <w:p>
            <w:pPr>
              <w:pStyle w:val="14"/>
            </w:pPr>
            <w:r>
              <w:t>701.63</w:t>
            </w:r>
          </w:p>
        </w:tc>
        <w:tc>
          <w:tcPr>
            <w:tcW w:w="2551" w:type="dxa"/>
            <w:vAlign w:val="center"/>
          </w:tcPr>
          <w:p>
            <w:pPr>
              <w:pStyle w:val="14"/>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20708</w:t>
            </w:r>
          </w:p>
        </w:tc>
        <w:tc>
          <w:tcPr>
            <w:tcW w:w="4535" w:type="dxa"/>
            <w:vAlign w:val="center"/>
          </w:tcPr>
          <w:p>
            <w:pPr>
              <w:pStyle w:val="15"/>
            </w:pPr>
            <w:r>
              <w:t>广播电视</w:t>
            </w:r>
          </w:p>
        </w:tc>
        <w:tc>
          <w:tcPr>
            <w:tcW w:w="2551" w:type="dxa"/>
            <w:vAlign w:val="center"/>
          </w:tcPr>
          <w:p>
            <w:pPr>
              <w:pStyle w:val="14"/>
            </w:pPr>
            <w:r>
              <w:t>786.16</w:t>
            </w:r>
          </w:p>
        </w:tc>
        <w:tc>
          <w:tcPr>
            <w:tcW w:w="2551" w:type="dxa"/>
            <w:vAlign w:val="center"/>
          </w:tcPr>
          <w:p>
            <w:pPr>
              <w:pStyle w:val="14"/>
            </w:pPr>
            <w:r>
              <w:t>701.63</w:t>
            </w:r>
          </w:p>
        </w:tc>
        <w:tc>
          <w:tcPr>
            <w:tcW w:w="2551" w:type="dxa"/>
            <w:vAlign w:val="center"/>
          </w:tcPr>
          <w:p>
            <w:pPr>
              <w:pStyle w:val="14"/>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2070808</w:t>
            </w:r>
          </w:p>
        </w:tc>
        <w:tc>
          <w:tcPr>
            <w:tcW w:w="4535" w:type="dxa"/>
            <w:vAlign w:val="center"/>
          </w:tcPr>
          <w:p>
            <w:pPr>
              <w:pStyle w:val="15"/>
            </w:pPr>
            <w:r>
              <w:t>广播电视事务</w:t>
            </w:r>
          </w:p>
        </w:tc>
        <w:tc>
          <w:tcPr>
            <w:tcW w:w="2551" w:type="dxa"/>
            <w:vAlign w:val="center"/>
          </w:tcPr>
          <w:p>
            <w:pPr>
              <w:pStyle w:val="14"/>
            </w:pPr>
            <w:r>
              <w:t>84.53</w:t>
            </w:r>
          </w:p>
        </w:tc>
        <w:tc>
          <w:tcPr>
            <w:tcW w:w="2551" w:type="dxa"/>
            <w:vAlign w:val="center"/>
          </w:tcPr>
          <w:p>
            <w:pPr>
              <w:pStyle w:val="14"/>
            </w:pPr>
          </w:p>
        </w:tc>
        <w:tc>
          <w:tcPr>
            <w:tcW w:w="2551" w:type="dxa"/>
            <w:vAlign w:val="center"/>
          </w:tcPr>
          <w:p>
            <w:pPr>
              <w:pStyle w:val="14"/>
            </w:pPr>
            <w:r>
              <w:t>84.53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2070899</w:t>
            </w:r>
          </w:p>
        </w:tc>
        <w:tc>
          <w:tcPr>
            <w:tcW w:w="4535" w:type="dxa"/>
            <w:vAlign w:val="center"/>
          </w:tcPr>
          <w:p>
            <w:pPr>
              <w:pStyle w:val="15"/>
            </w:pPr>
            <w:r>
              <w:t>其他广播电视支出</w:t>
            </w:r>
          </w:p>
        </w:tc>
        <w:tc>
          <w:tcPr>
            <w:tcW w:w="2551" w:type="dxa"/>
            <w:vAlign w:val="center"/>
          </w:tcPr>
          <w:p>
            <w:pPr>
              <w:pStyle w:val="14"/>
            </w:pPr>
            <w:r>
              <w:t>701.63</w:t>
            </w:r>
          </w:p>
        </w:tc>
        <w:tc>
          <w:tcPr>
            <w:tcW w:w="2551" w:type="dxa"/>
            <w:vAlign w:val="center"/>
          </w:tcPr>
          <w:p>
            <w:pPr>
              <w:pStyle w:val="14"/>
            </w:pPr>
            <w:r>
              <w:t>701.63</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701.63</w:t>
            </w:r>
          </w:p>
        </w:tc>
        <w:tc>
          <w:tcPr>
            <w:tcW w:w="2551" w:type="dxa"/>
            <w:vAlign w:val="center"/>
          </w:tcPr>
          <w:p>
            <w:pPr>
              <w:pStyle w:val="18"/>
            </w:pPr>
            <w:r>
              <w:t>663.68</w:t>
            </w:r>
          </w:p>
        </w:tc>
        <w:tc>
          <w:tcPr>
            <w:tcW w:w="2551" w:type="dxa"/>
            <w:vAlign w:val="center"/>
          </w:tcPr>
          <w:p>
            <w:pPr>
              <w:pStyle w:val="18"/>
            </w:pPr>
            <w:r>
              <w:t>37.95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663.68</w:t>
            </w:r>
          </w:p>
        </w:tc>
        <w:tc>
          <w:tcPr>
            <w:tcW w:w="2551" w:type="dxa"/>
            <w:vAlign w:val="center"/>
          </w:tcPr>
          <w:p>
            <w:pPr>
              <w:pStyle w:val="14"/>
            </w:pPr>
            <w:r>
              <w:t>663.68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663.68</w:t>
            </w:r>
          </w:p>
        </w:tc>
        <w:tc>
          <w:tcPr>
            <w:tcW w:w="2551" w:type="dxa"/>
            <w:vAlign w:val="center"/>
          </w:tcPr>
          <w:p>
            <w:pPr>
              <w:pStyle w:val="14"/>
            </w:pPr>
            <w:r>
              <w:t>663.68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33.21</w:t>
            </w:r>
          </w:p>
        </w:tc>
        <w:tc>
          <w:tcPr>
            <w:tcW w:w="2551" w:type="dxa"/>
            <w:vAlign w:val="center"/>
          </w:tcPr>
          <w:p>
            <w:pPr>
              <w:pStyle w:val="14"/>
            </w:pPr>
          </w:p>
        </w:tc>
        <w:tc>
          <w:tcPr>
            <w:tcW w:w="2551" w:type="dxa"/>
            <w:vAlign w:val="center"/>
          </w:tcPr>
          <w:p>
            <w:pPr>
              <w:pStyle w:val="14"/>
            </w:pPr>
            <w:r>
              <w:t>33.21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11.80</w:t>
            </w:r>
          </w:p>
        </w:tc>
        <w:tc>
          <w:tcPr>
            <w:tcW w:w="2551" w:type="dxa"/>
            <w:vAlign w:val="center"/>
          </w:tcPr>
          <w:p>
            <w:pPr>
              <w:pStyle w:val="14"/>
            </w:pPr>
          </w:p>
        </w:tc>
        <w:tc>
          <w:tcPr>
            <w:tcW w:w="2551" w:type="dxa"/>
            <w:vAlign w:val="center"/>
          </w:tcPr>
          <w:p>
            <w:pPr>
              <w:pStyle w:val="14"/>
            </w:pPr>
            <w:r>
              <w:t>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8.49</w:t>
            </w:r>
          </w:p>
        </w:tc>
        <w:tc>
          <w:tcPr>
            <w:tcW w:w="2551" w:type="dxa"/>
            <w:vAlign w:val="center"/>
          </w:tcPr>
          <w:p>
            <w:pPr>
              <w:pStyle w:val="14"/>
            </w:pPr>
          </w:p>
        </w:tc>
        <w:tc>
          <w:tcPr>
            <w:tcW w:w="2551" w:type="dxa"/>
            <w:vAlign w:val="center"/>
          </w:tcPr>
          <w:p>
            <w:pPr>
              <w:pStyle w:val="14"/>
            </w:pPr>
            <w:r>
              <w:t>8.49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4"/>
            </w:pPr>
            <w:r>
              <w:t>0.27</w:t>
            </w:r>
          </w:p>
        </w:tc>
        <w:tc>
          <w:tcPr>
            <w:tcW w:w="2551" w:type="dxa"/>
            <w:vAlign w:val="center"/>
          </w:tcPr>
          <w:p>
            <w:pPr>
              <w:pStyle w:val="14"/>
            </w:pPr>
          </w:p>
        </w:tc>
        <w:tc>
          <w:tcPr>
            <w:tcW w:w="2551" w:type="dxa"/>
            <w:vAlign w:val="center"/>
          </w:tcPr>
          <w:p>
            <w:pPr>
              <w:pStyle w:val="14"/>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0.27</w:t>
            </w:r>
          </w:p>
        </w:tc>
        <w:tc>
          <w:tcPr>
            <w:tcW w:w="2551" w:type="dxa"/>
            <w:vAlign w:val="center"/>
          </w:tcPr>
          <w:p>
            <w:pPr>
              <w:pStyle w:val="14"/>
            </w:pPr>
          </w:p>
        </w:tc>
        <w:tc>
          <w:tcPr>
            <w:tcW w:w="2551" w:type="dxa"/>
            <w:vAlign w:val="center"/>
          </w:tcPr>
          <w:p>
            <w:pPr>
              <w:pStyle w:val="14"/>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0.20</w:t>
            </w:r>
          </w:p>
        </w:tc>
        <w:tc>
          <w:tcPr>
            <w:tcW w:w="2551" w:type="dxa"/>
            <w:vAlign w:val="center"/>
          </w:tcPr>
          <w:p>
            <w:pPr>
              <w:pStyle w:val="14"/>
            </w:pPr>
          </w:p>
        </w:tc>
        <w:tc>
          <w:tcPr>
            <w:tcW w:w="2551" w:type="dxa"/>
            <w:vAlign w:val="center"/>
          </w:tcPr>
          <w:p>
            <w:pPr>
              <w:pStyle w:val="14"/>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4.86</w:t>
            </w:r>
          </w:p>
        </w:tc>
        <w:tc>
          <w:tcPr>
            <w:tcW w:w="2551" w:type="dxa"/>
            <w:vAlign w:val="center"/>
          </w:tcPr>
          <w:p>
            <w:pPr>
              <w:pStyle w:val="14"/>
            </w:pPr>
          </w:p>
        </w:tc>
        <w:tc>
          <w:tcPr>
            <w:tcW w:w="2551" w:type="dxa"/>
            <w:vAlign w:val="center"/>
          </w:tcPr>
          <w:p>
            <w:pPr>
              <w:pStyle w:val="14"/>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4.75</w:t>
            </w:r>
          </w:p>
        </w:tc>
        <w:tc>
          <w:tcPr>
            <w:tcW w:w="2551" w:type="dxa"/>
            <w:vAlign w:val="center"/>
          </w:tcPr>
          <w:p>
            <w:pPr>
              <w:pStyle w:val="14"/>
            </w:pPr>
          </w:p>
        </w:tc>
        <w:tc>
          <w:tcPr>
            <w:tcW w:w="2551" w:type="dxa"/>
            <w:vAlign w:val="center"/>
          </w:tcPr>
          <w:p>
            <w:pPr>
              <w:pStyle w:val="14"/>
            </w:pPr>
            <w:r>
              <w:t>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1.80</w:t>
            </w:r>
          </w:p>
        </w:tc>
        <w:tc>
          <w:tcPr>
            <w:tcW w:w="2551" w:type="dxa"/>
            <w:vAlign w:val="center"/>
          </w:tcPr>
          <w:p>
            <w:pPr>
              <w:pStyle w:val="14"/>
            </w:pPr>
          </w:p>
        </w:tc>
        <w:tc>
          <w:tcPr>
            <w:tcW w:w="2551" w:type="dxa"/>
            <w:vAlign w:val="center"/>
          </w:tcPr>
          <w:p>
            <w:pPr>
              <w:pStyle w:val="14"/>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0.77</w:t>
            </w:r>
          </w:p>
        </w:tc>
        <w:tc>
          <w:tcPr>
            <w:tcW w:w="2551" w:type="dxa"/>
            <w:vAlign w:val="center"/>
          </w:tcPr>
          <w:p>
            <w:pPr>
              <w:pStyle w:val="14"/>
            </w:pPr>
          </w:p>
        </w:tc>
        <w:tc>
          <w:tcPr>
            <w:tcW w:w="2551" w:type="dxa"/>
            <w:vAlign w:val="center"/>
          </w:tcPr>
          <w:p>
            <w:pPr>
              <w:pStyle w:val="14"/>
            </w:pPr>
            <w:r>
              <w:t>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4.74</w:t>
            </w:r>
          </w:p>
        </w:tc>
        <w:tc>
          <w:tcPr>
            <w:tcW w:w="2551" w:type="dxa"/>
            <w:vAlign w:val="center"/>
          </w:tcPr>
          <w:p>
            <w:pPr>
              <w:pStyle w:val="14"/>
            </w:pPr>
          </w:p>
        </w:tc>
        <w:tc>
          <w:tcPr>
            <w:tcW w:w="2551" w:type="dxa"/>
            <w:vAlign w:val="center"/>
          </w:tcPr>
          <w:p>
            <w:pPr>
              <w:pStyle w:val="14"/>
            </w:pPr>
            <w:r>
              <w:t>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4.74</w:t>
            </w:r>
          </w:p>
        </w:tc>
        <w:tc>
          <w:tcPr>
            <w:tcW w:w="2551" w:type="dxa"/>
            <w:vAlign w:val="center"/>
          </w:tcPr>
          <w:p>
            <w:pPr>
              <w:pStyle w:val="14"/>
            </w:pPr>
          </w:p>
        </w:tc>
        <w:tc>
          <w:tcPr>
            <w:tcW w:w="2551" w:type="dxa"/>
            <w:vAlign w:val="center"/>
          </w:tcPr>
          <w:p>
            <w:pPr>
              <w:pStyle w:val="14"/>
            </w:pPr>
            <w:r>
              <w:t>4.74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381" w:type="dxa"/>
            <w:tcBorders>
              <w:top w:val="single" w:color="FFFFFF" w:sz="6" w:space="0"/>
              <w:left w:val="single" w:color="FFFFFF" w:sz="6" w:space="0"/>
              <w:right w:val="single" w:color="FFFFFF" w:sz="6" w:space="0"/>
            </w:tcBorders>
            <w:vAlign w:val="center"/>
          </w:tcPr>
          <w:p>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2.00</w:t>
            </w:r>
          </w:p>
        </w:tc>
        <w:tc>
          <w:tcPr>
            <w:tcW w:w="2381" w:type="dxa"/>
            <w:vAlign w:val="center"/>
          </w:tcPr>
          <w:p>
            <w:pPr>
              <w:pStyle w:val="18"/>
            </w:pPr>
            <w:r>
              <w:t>2.00</w:t>
            </w:r>
          </w:p>
        </w:tc>
        <w:tc>
          <w:tcPr>
            <w:tcW w:w="2381" w:type="dxa"/>
            <w:vAlign w:val="center"/>
          </w:tcPr>
          <w:p>
            <w:pPr>
              <w:pStyle w:val="18"/>
            </w:pPr>
          </w:p>
        </w:tc>
        <w:tc>
          <w:tcPr>
            <w:tcW w:w="238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2.00</w:t>
            </w:r>
          </w:p>
        </w:tc>
        <w:tc>
          <w:tcPr>
            <w:tcW w:w="2381" w:type="dxa"/>
            <w:vAlign w:val="center"/>
          </w:tcPr>
          <w:p>
            <w:pPr>
              <w:pStyle w:val="14"/>
            </w:pPr>
            <w:r>
              <w:t>2.00</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1.80</w:t>
            </w:r>
          </w:p>
        </w:tc>
        <w:tc>
          <w:tcPr>
            <w:tcW w:w="2381" w:type="dxa"/>
            <w:vAlign w:val="center"/>
          </w:tcPr>
          <w:p>
            <w:pPr>
              <w:pStyle w:val="14"/>
            </w:pPr>
            <w:r>
              <w:t>1.80</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1.80</w:t>
            </w:r>
          </w:p>
        </w:tc>
        <w:tc>
          <w:tcPr>
            <w:tcW w:w="2381" w:type="dxa"/>
            <w:vAlign w:val="center"/>
          </w:tcPr>
          <w:p>
            <w:pPr>
              <w:pStyle w:val="14"/>
            </w:pPr>
            <w:r>
              <w:t>1.80</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0.20</w:t>
            </w:r>
          </w:p>
        </w:tc>
        <w:tc>
          <w:tcPr>
            <w:tcW w:w="2381" w:type="dxa"/>
            <w:vAlign w:val="center"/>
          </w:tcPr>
          <w:p>
            <w:pPr>
              <w:pStyle w:val="14"/>
            </w:pPr>
            <w:r>
              <w:t>0.20</w:t>
            </w: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高阳县融媒体中心2025年部门预算信息公开情况说明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高阳县融媒体中心2025年部门预算信息公开情况说明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按照《中华人民共和国预算法》、《地方预决算公开操作规程》和《关于进一步推进预算公开工作的实施意见》规定，现将高阳县融媒体中心2025年部门预算公开如下：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（一）宣传贯彻党的路线、方针、政策，坚持正确的舆论导向</w:t>
      </w:r>
    </w:p>
    <w:p>
      <w:pPr>
        <w:pStyle w:val="20"/>
      </w:pPr>
      <w:r>
        <w:t>（二）负责时政新闻的报道，完成县委、县政府交办的广播电视宣传任务；</w:t>
      </w:r>
    </w:p>
    <w:p>
      <w:pPr>
        <w:pStyle w:val="20"/>
      </w:pPr>
      <w:r>
        <w:t>（三）制作、播出和转播广播电视节目，丰富人民文化生活。</w:t>
      </w:r>
    </w:p>
    <w:p>
      <w:pPr>
        <w:pStyle w:val="20"/>
      </w:pPr>
      <w:r>
        <w:t>（四）广播电视产业经营，提供广播电视广告服务。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高阳县融媒体中心</w:t>
            </w:r>
          </w:p>
        </w:tc>
        <w:tc>
          <w:tcPr>
            <w:tcW w:w="1843" w:type="dxa"/>
            <w:vAlign w:val="center"/>
          </w:tcPr>
          <w:p>
            <w:pPr>
              <w:pStyle w:val="16"/>
            </w:pPr>
            <w:r>
              <w:t>事业</w:t>
            </w:r>
          </w:p>
        </w:tc>
        <w:tc>
          <w:tcPr>
            <w:tcW w:w="2126" w:type="dxa"/>
            <w:vAlign w:val="center"/>
          </w:tcPr>
          <w:p>
            <w:pPr>
              <w:pStyle w:val="16"/>
            </w:pPr>
            <w:r>
              <w:t>未定行政级别</w:t>
            </w:r>
          </w:p>
        </w:tc>
        <w:tc>
          <w:tcPr>
            <w:tcW w:w="3827" w:type="dxa"/>
            <w:vAlign w:val="center"/>
          </w:tcPr>
          <w:p>
            <w:pPr>
              <w:pStyle w:val="16"/>
            </w:pPr>
            <w:r>
              <w:t>财政性资金基本保证</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按照预算管理有关规定，目前部门预算的编制实行综合预算管理，即全部收入和支出都反映在预算中。高阳县融媒体中心及所属事业单位的收支包含在部门预算中。</w:t>
      </w:r>
    </w:p>
    <w:p>
      <w:pPr>
        <w:pStyle w:val="21"/>
      </w:pPr>
      <w:r>
        <w:t>1、收入说明</w:t>
      </w:r>
    </w:p>
    <w:p>
      <w:pPr>
        <w:pStyle w:val="21"/>
      </w:pPr>
      <w:r>
        <w:t>反映本部门当年全部收入。2025年预算收入786.16万元，其中：一般公共预算收入786.16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高阳县融媒体中心年度部门预算中支出预算的总体情况。2025年支出预算786.16万元，其中基本支出701.63万元，包括人员经费663.68万元和日常公用经费37.95万元；项目支出84.53万元，主要为用于部门人员经费支出，保障部门工作正常运转，广播电视及网络设施的正常运行。</w:t>
      </w:r>
    </w:p>
    <w:p>
      <w:pPr>
        <w:pStyle w:val="21"/>
      </w:pPr>
      <w:r>
        <w:t>3、比上年增减情况</w:t>
      </w:r>
    </w:p>
    <w:p>
      <w:pPr>
        <w:pStyle w:val="21"/>
      </w:pPr>
      <w:r>
        <w:t>2025年预算收支安排786.16万元，较2024年预算增加22.62万元，其中：基本支出增加3.71万元，主要为日常公用办公设备购置费增加。项目支出增加18.91万元，主要为增加广播电视及网络设施的运行保障经费。</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2025年，我部门机关运行经费共计安排37.95万元，主要用于日常维修、办公用房水电费、办公用房取暖费、办公用房物业管理费等日常运行支出。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2025年，我部门财政拨款“三公”经费预算安排2.00万元，其中因公出国（境）费0.00万元；公务用车购置及运维费1.80万元（其中：公务用车购置费为0.00万元，公务用车运维费1.80万元)；公务接待费0.20万元。与2024年相比减少0.01万元，增减变化的主要原因是厉行节约，减少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w:t>
      </w:r>
      <w:r>
        <w:rPr>
          <w:rFonts w:hint="eastAsia"/>
          <w:lang w:val="en-US" w:eastAsia="zh-CN"/>
        </w:rPr>
        <w:t>5</w:t>
      </w:r>
      <w:r>
        <w:t>年，我部门将紧紧围绕全县中心工作和自身职能业务目标，立足本职，配合县委、县政府搞好新闻宣传报道，发挥好党的喉舌和宣传主阵地作用，高扬主旋律，营造浓厚宣传氛围。举办丰富多彩的文化活动，开办群众喜闻乐见的自办节目，丰富百姓文化生活，展现高阳新风貌，促进全县精神文明建设。加强技术管理、技术升级改造及设备实施维护，开展新技术应用。向移动互联网跨越发展，打造智能生活服务类客户端，促进媒体融合。进一步提升融媒体中心整体形象和社会影响力，提升节目吸引力，提升收视率，通过吸收栏目赞助、冠名等形式，增加广告创收，启动本县的广告市场，实现广告创收的良性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rPr>
          <w:rFonts w:hint="eastAsia"/>
          <w:lang w:val="en-US" w:eastAsia="zh-CN"/>
        </w:rPr>
        <w:t>1</w:t>
      </w:r>
      <w:r>
        <w:t>、做好新闻宣传报道，发挥宣传阵地作用。</w:t>
      </w:r>
    </w:p>
    <w:p>
      <w:pPr>
        <w:pStyle w:val="25"/>
      </w:pPr>
      <w:r>
        <w:t>绩效目标：配合县委、县政府中心工作和全县大事、要事，及时准确的进行新闻宣传报道，办好信访稳定、道德讲堂等电视栏目，下大力做好国家政策法规宣传报道，做好环境治理、生态建设、项目建设、民生改善等大事要事的宣传。承担县委、县政府宣传片、专题片等的创作生产。加大外宣工作力度，抓特色、找亮点，多出精品力作，力争外宣工作继续位列全市前列。强化社会公益广告宣传，倡导社会新风尚，弘扬人间正能量。</w:t>
      </w:r>
    </w:p>
    <w:p>
      <w:pPr>
        <w:pStyle w:val="25"/>
      </w:pPr>
      <w:r>
        <w:t>绩效指标：全年制作播出《高阳新闻》156期，制作发布公众号《高阳之声》365期、《高阳电视台》365期，向高阳人民传播文化和信息，对县委、县政府及各部门开展的专项活动进行专题报道。</w:t>
      </w:r>
    </w:p>
    <w:p>
      <w:pPr>
        <w:pStyle w:val="25"/>
      </w:pPr>
      <w:r>
        <w:rPr>
          <w:rFonts w:hint="eastAsia"/>
          <w:lang w:val="en-US" w:eastAsia="zh-CN"/>
        </w:rPr>
        <w:t>2</w:t>
      </w:r>
      <w:r>
        <w:t>、举办文化活动，丰富百姓文化生活。</w:t>
      </w:r>
    </w:p>
    <w:p>
      <w:pPr>
        <w:pStyle w:val="25"/>
      </w:pPr>
      <w:r>
        <w:t>绩效目标：202</w:t>
      </w:r>
      <w:r>
        <w:rPr>
          <w:rFonts w:hint="eastAsia"/>
          <w:lang w:val="en-US" w:eastAsia="zh-CN"/>
        </w:rPr>
        <w:t>5</w:t>
      </w:r>
      <w:r>
        <w:t>年《纺乡大舞台》继续深入基层、深入农村，在百姓身边搭建舞台，让广大百姓成为荧屏主角，举办多场大规模、有影响的文化活动，进一步丰富农村百姓文化生活，展现高阳新风貌，促进全县精神文明建设。在元旦、春节等节日举办大型文艺晚会，让中国传统节日更加深入人心。</w:t>
      </w:r>
    </w:p>
    <w:p>
      <w:pPr>
        <w:pStyle w:val="25"/>
      </w:pPr>
      <w:r>
        <w:t>绩效指标：全年制作播出《纺乡大舞台》52期，举办各类大型文艺晚会10余场左右。</w:t>
      </w:r>
    </w:p>
    <w:p>
      <w:pPr>
        <w:pStyle w:val="25"/>
      </w:pPr>
      <w:r>
        <w:rPr>
          <w:rFonts w:hint="eastAsia"/>
          <w:lang w:val="en-US" w:eastAsia="zh-CN"/>
        </w:rPr>
        <w:t>3</w:t>
      </w:r>
      <w:r>
        <w:t>、开展新技术应用，促进媒体融合</w:t>
      </w:r>
    </w:p>
    <w:p>
      <w:pPr>
        <w:pStyle w:val="25"/>
      </w:pPr>
      <w:r>
        <w:t>绩效目标：加强技术管理、技术升级改造及设备实施维护，建立广播电视安全播出保障体系，加强安全播出管理。对广播电视节目传输、覆盖及网络和新媒体内容等的安全播出情况进行管理。开展新技术应用，向移动互联网跨越发展，打造智能生活服务类客户端，促进媒体融合。利用微信公众号、快手、抖音、学习强国等平台，多种形式、多种渠道开展宣传活动。绩效指标：全年安全播出电视节目5000小时，在各平台发布宣传视频及文稿200条左右。</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rPr>
          <w:rFonts w:hint="eastAsia"/>
          <w:lang w:val="en-US" w:eastAsia="zh-CN"/>
        </w:rPr>
        <w:t>1、</w:t>
      </w:r>
      <w:r>
        <w:t>完善制度建设。包括制定完善预算绩效管理制度、资金管理办法、工作保障制度等，为全年预算绩效目标的实现奠定制度基础。</w:t>
      </w:r>
    </w:p>
    <w:p>
      <w:pPr>
        <w:pStyle w:val="26"/>
      </w:pP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pPr>
        <w:pStyle w:val="26"/>
      </w:pPr>
      <w:r>
        <w:rPr>
          <w:rFonts w:hint="eastAsia"/>
          <w:lang w:val="en-US" w:eastAsia="zh-CN"/>
        </w:rPr>
        <w:t>3、</w:t>
      </w:r>
      <w:r>
        <w:t>加强绩效运行监控。按要求开展绩效运行监控，发现问题及时采取措施，确保绩效目标如期保质实现。</w:t>
      </w:r>
    </w:p>
    <w:p>
      <w:pPr>
        <w:pStyle w:val="26"/>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6"/>
      </w:pPr>
      <w:r>
        <w:rPr>
          <w:rFonts w:hint="eastAsia"/>
          <w:lang w:val="en-US" w:eastAsia="zh-CN"/>
        </w:rPr>
        <w:t>5、</w:t>
      </w:r>
      <w:r>
        <w:t>规范财务资产管理。完善财务管理制度，严格审批程序，加强固定资产登记、使用和报废处置管理，做到支出合理，物尽其用。</w:t>
      </w:r>
    </w:p>
    <w:p>
      <w:pPr>
        <w:pStyle w:val="26"/>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lang w:val="en-US" w:eastAsia="uk-UA"/>
        </w:rPr>
      </w:pPr>
    </w:p>
    <w:p>
      <w:pPr>
        <w:tabs>
          <w:tab w:val="left" w:pos="1160"/>
        </w:tabs>
        <w:bidi w:val="0"/>
        <w:jc w:val="left"/>
        <w:rPr>
          <w:rFonts w:hint="eastAsia"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ab/>
      </w:r>
      <w:r>
        <w:rPr>
          <w:rFonts w:hint="eastAsia" w:eastAsia="宋体"/>
          <w:sz w:val="32"/>
          <w:szCs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1、融媒体工作经费（劳务派遣）绩效目标表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13062825P00011510060F</w:t>
            </w:r>
          </w:p>
        </w:tc>
        <w:tc>
          <w:tcPr>
            <w:tcW w:w="2835" w:type="dxa"/>
            <w:vAlign w:val="center"/>
          </w:tcPr>
          <w:p>
            <w:pPr>
              <w:pStyle w:val="13"/>
            </w:pPr>
            <w:r>
              <w:t>项目名称</w:t>
            </w:r>
          </w:p>
        </w:tc>
        <w:tc>
          <w:tcPr>
            <w:tcW w:w="6095" w:type="dxa"/>
            <w:gridSpan w:val="3"/>
            <w:vAlign w:val="center"/>
          </w:tcPr>
          <w:p>
            <w:pPr>
              <w:pStyle w:val="15"/>
            </w:pPr>
            <w:r>
              <w:t>融媒体工作经费（劳务派遣）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64.53</w:t>
            </w:r>
          </w:p>
        </w:tc>
        <w:tc>
          <w:tcPr>
            <w:tcW w:w="2835" w:type="dxa"/>
            <w:vAlign w:val="center"/>
          </w:tcPr>
          <w:p>
            <w:pPr>
              <w:pStyle w:val="13"/>
            </w:pPr>
            <w:r>
              <w:t>其中：财政    资金</w:t>
            </w:r>
          </w:p>
        </w:tc>
        <w:tc>
          <w:tcPr>
            <w:tcW w:w="2551" w:type="dxa"/>
            <w:vAlign w:val="center"/>
          </w:tcPr>
          <w:p>
            <w:pPr>
              <w:pStyle w:val="15"/>
            </w:pPr>
            <w:r>
              <w:t>64.53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保障融媒体工作正常运行。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r>
              <w:rPr>
                <w:rFonts w:hint="eastAsia"/>
                <w:lang w:eastAsia="zh-CN"/>
              </w:rPr>
              <w:t>万元</w:t>
            </w:r>
            <w:r>
              <w:t>）</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16.20</w:t>
            </w:r>
          </w:p>
        </w:tc>
        <w:tc>
          <w:tcPr>
            <w:tcW w:w="2835" w:type="dxa"/>
            <w:vAlign w:val="center"/>
          </w:tcPr>
          <w:p>
            <w:pPr>
              <w:pStyle w:val="16"/>
            </w:pPr>
            <w:r>
              <w:t>32.40</w:t>
            </w:r>
          </w:p>
        </w:tc>
        <w:tc>
          <w:tcPr>
            <w:tcW w:w="2551" w:type="dxa"/>
            <w:vAlign w:val="center"/>
          </w:tcPr>
          <w:p>
            <w:pPr>
              <w:pStyle w:val="16"/>
            </w:pPr>
            <w:r>
              <w:t>48.60</w:t>
            </w:r>
          </w:p>
        </w:tc>
        <w:tc>
          <w:tcPr>
            <w:tcW w:w="3544" w:type="dxa"/>
            <w:gridSpan w:val="2"/>
            <w:vAlign w:val="center"/>
          </w:tcPr>
          <w:p>
            <w:pPr>
              <w:pStyle w:val="16"/>
            </w:pPr>
            <w:r>
              <w:t>64.53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1.保障融媒体工作正常运行，活跃群众文化氛围，巩固文化宣传阵地。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制作播出高阳新闻数量</w:t>
            </w:r>
          </w:p>
        </w:tc>
        <w:tc>
          <w:tcPr>
            <w:tcW w:w="5386" w:type="dxa"/>
            <w:vAlign w:val="center"/>
          </w:tcPr>
          <w:p>
            <w:pPr>
              <w:pStyle w:val="15"/>
            </w:pPr>
            <w:r>
              <w:t>制作播出高阳新闻，向高阳人民传播文化和信息</w:t>
            </w:r>
          </w:p>
        </w:tc>
        <w:tc>
          <w:tcPr>
            <w:tcW w:w="2268" w:type="dxa"/>
            <w:vAlign w:val="center"/>
          </w:tcPr>
          <w:p>
            <w:pPr>
              <w:pStyle w:val="15"/>
            </w:pPr>
            <w:r>
              <w:t>156期</w:t>
            </w:r>
          </w:p>
        </w:tc>
        <w:tc>
          <w:tcPr>
            <w:tcW w:w="1276" w:type="dxa"/>
            <w:vAlign w:val="center"/>
          </w:tcPr>
          <w:p>
            <w:pPr>
              <w:pStyle w:val="15"/>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工作高质量完成率</w:t>
            </w:r>
          </w:p>
        </w:tc>
        <w:tc>
          <w:tcPr>
            <w:tcW w:w="5386" w:type="dxa"/>
            <w:vAlign w:val="center"/>
          </w:tcPr>
          <w:p>
            <w:pPr>
              <w:pStyle w:val="15"/>
            </w:pPr>
            <w:r>
              <w:t>工作高质量完成率</w:t>
            </w:r>
          </w:p>
        </w:tc>
        <w:tc>
          <w:tcPr>
            <w:tcW w:w="2268" w:type="dxa"/>
            <w:vAlign w:val="center"/>
          </w:tcPr>
          <w:p>
            <w:pPr>
              <w:pStyle w:val="15"/>
            </w:pPr>
            <w:r>
              <w:t>≥90%</w:t>
            </w:r>
          </w:p>
        </w:tc>
        <w:tc>
          <w:tcPr>
            <w:tcW w:w="1276" w:type="dxa"/>
            <w:vAlign w:val="center"/>
          </w:tcPr>
          <w:p>
            <w:pPr>
              <w:pStyle w:val="15"/>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及时率</w:t>
            </w:r>
          </w:p>
        </w:tc>
        <w:tc>
          <w:tcPr>
            <w:tcW w:w="5386" w:type="dxa"/>
            <w:vAlign w:val="center"/>
          </w:tcPr>
          <w:p>
            <w:pPr>
              <w:pStyle w:val="15"/>
            </w:pPr>
            <w:r>
              <w:t>在第一时间将党的方针、政策进行传达情况</w:t>
            </w:r>
          </w:p>
        </w:tc>
        <w:tc>
          <w:tcPr>
            <w:tcW w:w="2268" w:type="dxa"/>
            <w:vAlign w:val="center"/>
          </w:tcPr>
          <w:p>
            <w:pPr>
              <w:pStyle w:val="15"/>
            </w:pPr>
            <w:r>
              <w:t>≥95%</w:t>
            </w:r>
          </w:p>
        </w:tc>
        <w:tc>
          <w:tcPr>
            <w:tcW w:w="1276" w:type="dxa"/>
            <w:vAlign w:val="center"/>
          </w:tcPr>
          <w:p>
            <w:pPr>
              <w:pStyle w:val="15"/>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宣传活动影响力</w:t>
            </w:r>
          </w:p>
        </w:tc>
        <w:tc>
          <w:tcPr>
            <w:tcW w:w="5386" w:type="dxa"/>
            <w:vAlign w:val="center"/>
          </w:tcPr>
          <w:p>
            <w:pPr>
              <w:pStyle w:val="15"/>
            </w:pPr>
            <w:r>
              <w:t>新媒体、全媒体项目在宣传党和政府声音、传播正能量方面的报道情况</w:t>
            </w:r>
          </w:p>
        </w:tc>
        <w:tc>
          <w:tcPr>
            <w:tcW w:w="2268" w:type="dxa"/>
            <w:vAlign w:val="center"/>
          </w:tcPr>
          <w:p>
            <w:pPr>
              <w:pStyle w:val="15"/>
            </w:pPr>
            <w:r>
              <w:t>≥85%</w:t>
            </w:r>
          </w:p>
        </w:tc>
        <w:tc>
          <w:tcPr>
            <w:tcW w:w="1276" w:type="dxa"/>
            <w:vAlign w:val="center"/>
          </w:tcPr>
          <w:p>
            <w:pPr>
              <w:pStyle w:val="15"/>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电视观众对播音员、主持人播音水平的</w:t>
            </w:r>
            <w:r>
              <w:rPr>
                <w:rFonts w:hint="eastAsia"/>
                <w:lang w:eastAsia="zh-CN"/>
              </w:rPr>
              <w:t>反映</w:t>
            </w:r>
            <w:r>
              <w:t>情况</w:t>
            </w:r>
          </w:p>
        </w:tc>
        <w:tc>
          <w:tcPr>
            <w:tcW w:w="2268" w:type="dxa"/>
            <w:vAlign w:val="center"/>
          </w:tcPr>
          <w:p>
            <w:pPr>
              <w:pStyle w:val="15"/>
            </w:pPr>
            <w:r>
              <w:t>≥85%</w:t>
            </w:r>
          </w:p>
        </w:tc>
        <w:tc>
          <w:tcPr>
            <w:tcW w:w="1276" w:type="dxa"/>
            <w:vAlign w:val="center"/>
          </w:tcPr>
          <w:p>
            <w:pPr>
              <w:pStyle w:val="15"/>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2、广播电视运行维护经费绩效目标表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13062825P00996710003P</w:t>
            </w:r>
          </w:p>
        </w:tc>
        <w:tc>
          <w:tcPr>
            <w:tcW w:w="2835" w:type="dxa"/>
            <w:vAlign w:val="center"/>
          </w:tcPr>
          <w:p>
            <w:pPr>
              <w:pStyle w:val="13"/>
            </w:pPr>
            <w:r>
              <w:t>项目名称</w:t>
            </w:r>
          </w:p>
        </w:tc>
        <w:tc>
          <w:tcPr>
            <w:tcW w:w="6095" w:type="dxa"/>
            <w:gridSpan w:val="3"/>
            <w:vAlign w:val="center"/>
          </w:tcPr>
          <w:p>
            <w:pPr>
              <w:pStyle w:val="15"/>
            </w:pPr>
            <w:r>
              <w:t>广播电视运行维护经费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广播电视及网络设施的运行保障。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r>
              <w:rPr>
                <w:rFonts w:hint="eastAsia"/>
                <w:lang w:eastAsia="zh-CN"/>
              </w:rPr>
              <w:t>万元</w:t>
            </w:r>
            <w:r>
              <w:t>）</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5.00</w:t>
            </w:r>
          </w:p>
        </w:tc>
        <w:tc>
          <w:tcPr>
            <w:tcW w:w="2835" w:type="dxa"/>
            <w:vAlign w:val="center"/>
          </w:tcPr>
          <w:p>
            <w:pPr>
              <w:pStyle w:val="16"/>
            </w:pPr>
            <w:r>
              <w:t>10.00</w:t>
            </w:r>
          </w:p>
        </w:tc>
        <w:tc>
          <w:tcPr>
            <w:tcW w:w="2551" w:type="dxa"/>
            <w:vAlign w:val="center"/>
          </w:tcPr>
          <w:p>
            <w:pPr>
              <w:pStyle w:val="16"/>
            </w:pPr>
            <w:r>
              <w:t>15.00</w:t>
            </w:r>
          </w:p>
        </w:tc>
        <w:tc>
          <w:tcPr>
            <w:tcW w:w="3544" w:type="dxa"/>
            <w:gridSpan w:val="2"/>
            <w:vAlign w:val="center"/>
          </w:tcPr>
          <w:p>
            <w:pPr>
              <w:pStyle w:val="16"/>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1.保障广播电视塔的维护及保养，保障广播电视节目网络安全传输，确保广播电视节目安全播出。</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电视塔的维护保养</w:t>
            </w:r>
          </w:p>
        </w:tc>
        <w:tc>
          <w:tcPr>
            <w:tcW w:w="5386" w:type="dxa"/>
            <w:vAlign w:val="center"/>
          </w:tcPr>
          <w:p>
            <w:pPr>
              <w:pStyle w:val="15"/>
            </w:pPr>
            <w:r>
              <w:t>每年定期对广播电视发射塔进行维护保养</w:t>
            </w:r>
          </w:p>
        </w:tc>
        <w:tc>
          <w:tcPr>
            <w:tcW w:w="2268" w:type="dxa"/>
            <w:vAlign w:val="center"/>
          </w:tcPr>
          <w:p>
            <w:pPr>
              <w:pStyle w:val="15"/>
            </w:pPr>
            <w:r>
              <w:t>≥2次</w:t>
            </w:r>
          </w:p>
        </w:tc>
        <w:tc>
          <w:tcPr>
            <w:tcW w:w="1276" w:type="dxa"/>
            <w:vAlign w:val="center"/>
          </w:tcPr>
          <w:p>
            <w:pPr>
              <w:pStyle w:val="15"/>
            </w:pPr>
            <w:r>
              <w:t>广播电视发射塔维护保养协议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广播电视节目安全播出及传输</w:t>
            </w:r>
          </w:p>
        </w:tc>
        <w:tc>
          <w:tcPr>
            <w:tcW w:w="5386" w:type="dxa"/>
            <w:vAlign w:val="center"/>
          </w:tcPr>
          <w:p>
            <w:pPr>
              <w:pStyle w:val="15"/>
            </w:pPr>
            <w:r>
              <w:t>全年无线、有线电视、IPTV广播电视节目安全播出及传输</w:t>
            </w:r>
          </w:p>
        </w:tc>
        <w:tc>
          <w:tcPr>
            <w:tcW w:w="2268" w:type="dxa"/>
            <w:vAlign w:val="center"/>
          </w:tcPr>
          <w:p>
            <w:pPr>
              <w:pStyle w:val="15"/>
            </w:pPr>
            <w:r>
              <w:t>≥5000小时</w:t>
            </w:r>
          </w:p>
        </w:tc>
        <w:tc>
          <w:tcPr>
            <w:tcW w:w="1276" w:type="dxa"/>
            <w:vAlign w:val="center"/>
          </w:tcPr>
          <w:p>
            <w:pPr>
              <w:pStyle w:val="15"/>
            </w:pPr>
            <w:r>
              <w:t>签订的数据专线业务合作协议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5386" w:type="dxa"/>
            <w:vAlign w:val="center"/>
          </w:tcPr>
          <w:p>
            <w:pPr>
              <w:pStyle w:val="15"/>
            </w:pPr>
            <w:r>
              <w:t>确保广播电视发射、传输设施安全运行。</w:t>
            </w:r>
          </w:p>
        </w:tc>
        <w:tc>
          <w:tcPr>
            <w:tcW w:w="2268" w:type="dxa"/>
            <w:vAlign w:val="center"/>
          </w:tcPr>
          <w:p>
            <w:pPr>
              <w:pStyle w:val="15"/>
            </w:pPr>
            <w:r>
              <w:t>≥95%</w:t>
            </w:r>
          </w:p>
        </w:tc>
        <w:tc>
          <w:tcPr>
            <w:tcW w:w="1276" w:type="dxa"/>
            <w:vAlign w:val="center"/>
          </w:tcPr>
          <w:p>
            <w:pPr>
              <w:pStyle w:val="15"/>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 xml:space="preserve">及时率 </w:t>
            </w:r>
          </w:p>
        </w:tc>
        <w:tc>
          <w:tcPr>
            <w:tcW w:w="5386" w:type="dxa"/>
            <w:vAlign w:val="center"/>
          </w:tcPr>
          <w:p>
            <w:pPr>
              <w:pStyle w:val="15"/>
            </w:pPr>
            <w:r>
              <w:t>确保广播电视节目安全播出发射，并及时将广播电视节目传输至各转播平台。</w:t>
            </w:r>
          </w:p>
        </w:tc>
        <w:tc>
          <w:tcPr>
            <w:tcW w:w="2268" w:type="dxa"/>
            <w:vAlign w:val="center"/>
          </w:tcPr>
          <w:p>
            <w:pPr>
              <w:pStyle w:val="15"/>
            </w:pPr>
            <w:r>
              <w:t>≥95%</w:t>
            </w:r>
          </w:p>
        </w:tc>
        <w:tc>
          <w:tcPr>
            <w:tcW w:w="1276" w:type="dxa"/>
            <w:vAlign w:val="center"/>
          </w:tcPr>
          <w:p>
            <w:pPr>
              <w:pStyle w:val="15"/>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提高广播电视影响力</w:t>
            </w:r>
          </w:p>
        </w:tc>
        <w:tc>
          <w:tcPr>
            <w:tcW w:w="5386" w:type="dxa"/>
            <w:vAlign w:val="center"/>
          </w:tcPr>
          <w:p>
            <w:pPr>
              <w:pStyle w:val="15"/>
            </w:pPr>
            <w:r>
              <w:t>确保全县人民及时收听、收看到各类广播电视节目</w:t>
            </w:r>
          </w:p>
        </w:tc>
        <w:tc>
          <w:tcPr>
            <w:tcW w:w="2268" w:type="dxa"/>
            <w:vAlign w:val="center"/>
          </w:tcPr>
          <w:p>
            <w:pPr>
              <w:pStyle w:val="15"/>
            </w:pPr>
            <w:r>
              <w:t>≥85%</w:t>
            </w:r>
          </w:p>
        </w:tc>
        <w:tc>
          <w:tcPr>
            <w:tcW w:w="1276" w:type="dxa"/>
            <w:vAlign w:val="center"/>
          </w:tcPr>
          <w:p>
            <w:pPr>
              <w:pStyle w:val="15"/>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群众对广播电视节目的满意程度</w:t>
            </w:r>
          </w:p>
        </w:tc>
        <w:tc>
          <w:tcPr>
            <w:tcW w:w="5386" w:type="dxa"/>
            <w:vAlign w:val="center"/>
          </w:tcPr>
          <w:p>
            <w:pPr>
              <w:pStyle w:val="15"/>
            </w:pPr>
            <w:r>
              <w:t>对全县群众收听收看广播电视节目满意度调查</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359高阳县融媒体中心</w:t>
            </w:r>
          </w:p>
        </w:tc>
        <w:tc>
          <w:tcPr>
            <w:tcW w:w="771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8" w:type="dxa"/>
            <w:gridSpan w:val="7"/>
            <w:vAlign w:val="center"/>
          </w:tcPr>
          <w:p>
            <w:pPr>
              <w:pStyle w:val="13"/>
            </w:pPr>
            <w:r>
              <w:t>政府采购金额（当年部门预算安排资金）</w:t>
            </w:r>
          </w:p>
        </w:tc>
        <w:tc>
          <w:tcPr>
            <w:tcW w:w="964" w:type="dxa"/>
            <w:vMerge w:val="restart"/>
            <w:vAlign w:val="center"/>
          </w:tcPr>
          <w:p>
            <w:pPr>
              <w:pStyle w:val="13"/>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高阳县融媒体中心（含所属单位）上年末固定资产金额为579.09万元（详见下表）。本年度拟购置固定资产总额为4.74万元，</w:t>
      </w:r>
      <w:bookmarkStart w:id="20" w:name="_GoBack"/>
      <w:r>
        <w:rPr>
          <w:rFonts w:hint="eastAsia" w:eastAsia="方正仿宋_GBK" w:cs="Times New Roman"/>
          <w:b w:val="0"/>
          <w:color w:val="000000"/>
          <w:sz w:val="28"/>
          <w:lang w:eastAsia="zh-CN"/>
        </w:rPr>
        <w:t>购置项目未达到政府采购标准，不在政府采购预算体现。</w:t>
      </w:r>
      <w:bookmarkEnd w:id="20"/>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2"/>
            </w:pPr>
            <w:r>
              <w:t>359高阳县融媒体中心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579.09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13.72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3、单价在20万元以上的设备</w:t>
            </w:r>
          </w:p>
        </w:tc>
        <w:tc>
          <w:tcPr>
            <w:tcW w:w="2835" w:type="dxa"/>
            <w:vAlign w:val="center"/>
          </w:tcPr>
          <w:p>
            <w:pPr>
              <w:pStyle w:val="16"/>
            </w:pPr>
            <w:r>
              <w:t>1</w:t>
            </w:r>
          </w:p>
        </w:tc>
        <w:tc>
          <w:tcPr>
            <w:tcW w:w="2835" w:type="dxa"/>
            <w:vAlign w:val="center"/>
          </w:tcPr>
          <w:p>
            <w:pPr>
              <w:pStyle w:val="14"/>
            </w:pPr>
            <w:r>
              <w:t>52.82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4、其他固定资产</w:t>
            </w:r>
          </w:p>
        </w:tc>
        <w:tc>
          <w:tcPr>
            <w:tcW w:w="2835" w:type="dxa"/>
            <w:vAlign w:val="center"/>
          </w:tcPr>
          <w:p>
            <w:pPr>
              <w:pStyle w:val="16"/>
            </w:pPr>
            <w:r>
              <w:t>341</w:t>
            </w:r>
          </w:p>
        </w:tc>
        <w:tc>
          <w:tcPr>
            <w:tcW w:w="2835" w:type="dxa"/>
            <w:vAlign w:val="center"/>
          </w:tcPr>
          <w:p>
            <w:pPr>
              <w:pStyle w:val="14"/>
            </w:pPr>
            <w:r>
              <w:t>512.55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ascii="黑体" w:hAnsi="黑体" w:eastAsia="黑体" w:cs="黑体"/>
          <w:color w:val="000000"/>
          <w:sz w:val="32"/>
        </w:rPr>
      </w:pPr>
      <w:bookmarkStart w:id="19" w:name="_Toc_3_3_0000000020"/>
    </w:p>
    <w:p>
      <w:pPr>
        <w:spacing w:before="10" w:after="10" w:line="240" w:lineRule="auto"/>
        <w:ind w:firstLine="640"/>
        <w:jc w:val="left"/>
        <w:outlineLvl w:val="2"/>
      </w:pPr>
      <w:r>
        <w:rPr>
          <w:rFonts w:ascii="黑体" w:hAnsi="黑体" w:eastAsia="黑体" w:cs="黑体"/>
          <w:color w:val="000000"/>
          <w:sz w:val="32"/>
        </w:rPr>
        <w:t>十一、其他需要说明的事项</w:t>
      </w:r>
      <w:bookmarkEnd w:id="19"/>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AA6683"/>
    <w:rsid w:val="167A5602"/>
    <w:rsid w:val="16F2367C"/>
    <w:rsid w:val="1C8A35E0"/>
    <w:rsid w:val="1DB96EA2"/>
    <w:rsid w:val="1E000574"/>
    <w:rsid w:val="34547DAC"/>
    <w:rsid w:val="367252E0"/>
    <w:rsid w:val="3CF96B37"/>
    <w:rsid w:val="4899628E"/>
    <w:rsid w:val="527356D2"/>
    <w:rsid w:val="53691738"/>
    <w:rsid w:val="53B312E1"/>
    <w:rsid w:val="5B8930BB"/>
    <w:rsid w:val="76852DCA"/>
    <w:rsid w:val="77857A39"/>
    <w:rsid w:val="7BD6279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7059</Words>
  <Characters>8015</Characters>
  <TotalTime>9</TotalTime>
  <ScaleCrop>false</ScaleCrop>
  <LinksUpToDate>false</LinksUpToDate>
  <CharactersWithSpaces>8182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2025-02-07T10:56:00Z</dcterms:created>
  <dc:creator>Administrator</dc:creator>
  <cp:lastModifiedBy>Administrator</cp:lastModifiedBy>
  <dcterms:modified xsi:type="dcterms:W3CDTF">2025-02-11T07:19:29Z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4C5E521F86C34EBD832CBE8A0B7A38F2</vt:lpwstr>
  </property>
</Properties>
</file>