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4"/>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高阳县融媒体中心</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359</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eastAsia="zh-CN"/>
          <w14:textFill>
            <w14:solidFill>
              <w14:schemeClr w14:val="tx1">
                <w14:lumMod w14:val="95000"/>
                <w14:lumOff w14:val="5000"/>
              </w14:schemeClr>
            </w14:solidFill>
          </w14:textFill>
        </w:rPr>
        <w:t>十</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14:paraId="6E4EE8C6">
      <w:pPr>
        <w:spacing w:line="600" w:lineRule="auto"/>
        <w:jc w:val="both"/>
        <w:rPr>
          <w:rFonts w:hint="eastAsia" w:ascii="楷体_GB2312" w:hAnsi="楷体_GB2312" w:eastAsia="楷体_GB2312" w:cs="楷体_GB2312"/>
          <w:color w:val="000000"/>
          <w:sz w:val="40"/>
          <w:szCs w:val="40"/>
        </w:rPr>
        <w:sectPr>
          <w:headerReference r:id="rId3" w:type="default"/>
          <w:footerReference r:id="rId4"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5410D19A">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高阳县融媒体中心</w:t>
      </w:r>
    </w:p>
    <w:p w14:paraId="2E3ECFE1">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4EEA29AD">
      <w:pPr>
        <w:widowControl/>
        <w:spacing w:before="0" w:beforeLines="0" w:beforeAutospacing="0" w:after="0" w:afterLines="0" w:afterAutospacing="0" w:line="360" w:lineRule="auto"/>
        <w:jc w:val="center"/>
        <w:rPr>
          <w:rFonts w:ascii="Times New Roman" w:eastAsia="楷体_GB2312"/>
          <w:b w:val="0"/>
          <w:sz w:val="44"/>
          <w:szCs w:val="44"/>
        </w:rPr>
      </w:pPr>
      <w:r>
        <w:rPr>
          <w:rFonts w:ascii="Times New Roman" w:eastAsia="楷体_GB2312"/>
          <w:b w:val="0"/>
          <w:sz w:val="44"/>
          <w:szCs w:val="44"/>
        </w:rPr>
        <w:t>高阳县融媒体中心</w:t>
      </w:r>
    </w:p>
    <w:p w14:paraId="3303CDFF">
      <w:pPr>
        <w:widowControl/>
        <w:spacing w:before="0" w:beforeLines="0" w:beforeAutospacing="0" w:after="0" w:afterLines="0" w:afterAutospacing="0" w:line="360" w:lineRule="auto"/>
        <w:jc w:val="center"/>
        <w:rPr>
          <w:rFonts w:ascii="Times New Roman" w:eastAsia="楷体_GB2312"/>
          <w:b w:val="0"/>
          <w:sz w:val="44"/>
          <w:szCs w:val="44"/>
        </w:rPr>
      </w:pPr>
    </w:p>
    <w:p w14:paraId="25E95A48">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lang w:eastAsia="zh-CN"/>
        </w:rPr>
        <w:t>十</w:t>
      </w:r>
      <w:r>
        <w:rPr>
          <w:rFonts w:ascii="Times New Roman" w:eastAsia="楷体_GB2312"/>
          <w:b w:val="0"/>
          <w:sz w:val="44"/>
          <w:szCs w:val="44"/>
        </w:rPr>
        <w:t>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5"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7BF0168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0F69D2AF">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14:paraId="12E1C7E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14:paraId="2D445F8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6DD537A3">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69B7690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796DE28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1DBDA9A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3D945E1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2AB0E1B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1EB594E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41D76DC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7312EF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2FDF4AC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173CE322">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695C8BD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2B6E440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00A99DF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49B855C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3DBDE16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1DEC400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7D5AC1D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5BD9B8B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60175DB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7349604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19E98372">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7" w:type="first"/>
          <w:footerReference r:id="rId9" w:type="first"/>
          <w:headerReference r:id="rId6" w:type="default"/>
          <w:footerReference r:id="rId8"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E23488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47EA2331">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14:paraId="5EABCA2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(一)宣传贯彻党的路线、方针、政策，坚持正确的舆论导向。(二)负责时政新闻的报道，完成县委、县政府交办的广播电视宣传任务。(三) 制作、播出和转播广播电视节目，丰富人民文化生活。(四) 广播电视产业经营，提供广播电视广告服务。(五) 负责县委、县政府交办的其他事项。</w:t>
      </w:r>
    </w:p>
    <w:p w14:paraId="63DD8200">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5436A4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518"/>
        <w:gridCol w:w="2592"/>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518"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592"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Borders>
              <w:bottom w:val="single" w:color="auto" w:sz="4" w:space="0"/>
            </w:tcBorders>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Borders>
              <w:bottom w:val="single" w:color="auto" w:sz="4" w:space="0"/>
            </w:tcBorders>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高阳县融媒体中心(本级)</w:t>
            </w:r>
          </w:p>
        </w:tc>
        <w:tc>
          <w:tcPr>
            <w:tcW w:w="2518" w:type="dxa"/>
            <w:tcBorders>
              <w:bottom w:val="single" w:color="auto" w:sz="4" w:space="0"/>
            </w:tcBorders>
          </w:tcPr>
          <w:p w14:paraId="2E44318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 Black"/>
                <w:kern w:val="0"/>
                <w:sz w:val="28"/>
                <w:szCs w:val="28"/>
              </w:rPr>
              <w:t>经费自理事业单位</w:t>
            </w:r>
          </w:p>
        </w:tc>
        <w:tc>
          <w:tcPr>
            <w:tcW w:w="2592" w:type="dxa"/>
            <w:tcBorders>
              <w:bottom w:val="single" w:color="auto" w:sz="4" w:space="0"/>
            </w:tcBorders>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自收自支</w:t>
            </w:r>
          </w:p>
        </w:tc>
      </w:tr>
      <w:tr w14:paraId="7246B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580" w:type="dxa"/>
            <w:gridSpan w:val="4"/>
            <w:tcBorders>
              <w:top w:val="single" w:color="auto" w:sz="4" w:space="0"/>
              <w:left w:val="nil"/>
              <w:bottom w:val="nil"/>
              <w:right w:val="nil"/>
            </w:tcBorders>
          </w:tcPr>
          <w:p w14:paraId="0692FA8D">
            <w:pPr>
              <w:widowControl/>
              <w:spacing w:after="160" w:line="580" w:lineRule="exact"/>
              <w:ind w:firstLine="640" w:firstLineChars="200"/>
              <w:rPr>
                <w:rFonts w:hint="eastAsia" w:ascii="仿宋_GB2312" w:hAnsi="仿宋_GB2312" w:eastAsia="仿宋_GB2312" w:cs="仿宋_GB2312"/>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highlight w:val="none"/>
                <w:shd w:val="clear" w:fill="FFFFFF"/>
                <w:lang w:val="en-US" w:eastAsia="zh-CN" w:bidi="ar"/>
              </w:rPr>
              <w:t>我部门无二级预算单位，因此，高阳县融媒体中心2025年度部门决算即高阳县融媒体中心本级2025年度决算。</w:t>
            </w:r>
          </w:p>
          <w:p w14:paraId="2966CA6E">
            <w:pPr>
              <w:spacing w:line="560" w:lineRule="exact"/>
              <w:jc w:val="center"/>
              <w:rPr>
                <w:rFonts w:hint="eastAsia" w:ascii="仿宋_GB2312" w:hAnsi="Calibri" w:eastAsia="仿宋_GB2312" w:cs="ArialUnicodeMS"/>
                <w:kern w:val="0"/>
                <w:sz w:val="28"/>
                <w:szCs w:val="28"/>
                <w:lang w:val="en-US" w:eastAsia="zh-CN"/>
              </w:rPr>
            </w:pP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22091E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部门：高阳县融媒体中心</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837.51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837.51</w:t>
            </w: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837.51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837.51</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837.51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837.51</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部门：高阳县融媒体中心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837.51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837.51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837.51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837.51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401C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BD4C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149C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广播电视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099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837.51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A69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837.51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94A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BD9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FC6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B8A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BA1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F72F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290F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2070808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ABE4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广播电视事务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748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F6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D5C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2FB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D1DA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434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9F6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028B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E49D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2070899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6D11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其他广播电视支出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512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754.56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D73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754.56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A25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B56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115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CBD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07D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部门：高阳县融媒体中心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837.51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754.56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82.95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837.51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754.56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365B7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CD55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2CE7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广播电视</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00B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837.51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88B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754.56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D41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6437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B0D9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8F630">
            <w:pPr>
              <w:jc w:val="right"/>
              <w:rPr>
                <w:rFonts w:hint="default" w:ascii="Times New Roman" w:hAnsi="Times New Roman" w:eastAsia="宋体" w:cs="Times New Roman"/>
                <w:i w:val="0"/>
                <w:iCs w:val="0"/>
                <w:color w:val="000000"/>
                <w:sz w:val="20"/>
                <w:szCs w:val="20"/>
                <w:highlight w:val="none"/>
                <w:u w:val="none"/>
              </w:rPr>
            </w:pPr>
          </w:p>
        </w:tc>
      </w:tr>
      <w:tr w14:paraId="29DE8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749B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2070808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511D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广播电视事务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CC0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EE06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993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E96F3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B001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D64F4">
            <w:pPr>
              <w:jc w:val="right"/>
              <w:rPr>
                <w:rFonts w:hint="default" w:ascii="Times New Roman" w:hAnsi="Times New Roman" w:eastAsia="宋体" w:cs="Times New Roman"/>
                <w:i w:val="0"/>
                <w:iCs w:val="0"/>
                <w:color w:val="000000"/>
                <w:sz w:val="20"/>
                <w:szCs w:val="20"/>
                <w:highlight w:val="none"/>
                <w:u w:val="none"/>
              </w:rPr>
            </w:pPr>
          </w:p>
        </w:tc>
      </w:tr>
      <w:tr w14:paraId="32448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F30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2070899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35C0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其他广播电视支出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BC8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754.56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ABF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754.56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B557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0EB6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2530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670CB">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部门：高阳县融媒体中心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837.51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837.51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837.51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837.51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837.51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837.51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837.51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837.51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837.51</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25"/>
        <w:gridCol w:w="2416"/>
        <w:gridCol w:w="514"/>
        <w:gridCol w:w="1109"/>
        <w:gridCol w:w="1169"/>
        <w:gridCol w:w="455"/>
        <w:gridCol w:w="1912"/>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部门：高阳县融媒体中心</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837.51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754.56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82.95</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837.51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754.56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82.95</w:t>
            </w:r>
          </w:p>
        </w:tc>
      </w:tr>
      <w:tr w14:paraId="01B0D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57594C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B9B2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广播电视</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66A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837.51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BC7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754.56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83FBD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82.95</w:t>
            </w:r>
          </w:p>
        </w:tc>
      </w:tr>
      <w:tr w14:paraId="055F4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F90F67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2070808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70AA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广播电视事务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76C4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CF12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E8613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82.95</w:t>
            </w:r>
          </w:p>
        </w:tc>
      </w:tr>
      <w:tr w14:paraId="77176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5633AA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2070899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187C8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其他广播电视支出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1F0C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754.56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4101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754.56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261CA5A">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部门：高阳县融媒体中心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715.77</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31.96</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361.97</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10.83</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29.63</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4.74</w:t>
            </w: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148.93</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4.74</w:t>
            </w: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67.09</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8.47</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33.55</w:t>
            </w: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28.14</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4.55</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41.91</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0.50</w:t>
            </w: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0.42</w:t>
            </w: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2.10</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4.86</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4.70</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0.90</w:t>
            </w: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1.80</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0.38</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717.87</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36.70</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部门：高阳县融媒体中心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注：本表反映部门本年度政府性基金预算财政拨款收入、支出及结转和结余情况。（本部门本年度无相关收入及结转结余情况,按要求空表列式）</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部门：高阳县融媒体中心</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注：本表反映部门本年度国有资本经营预算财政拨款支出情况。（本部门本年度无相关支出情况，按要求空表列式）</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部门：高阳县融媒体中心</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1.80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1.80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1.80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1.80</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1.80</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1.80</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10" w:type="default"/>
          <w:footerReference r:id="rId11"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3FFAA3B">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2"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71755A3C">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3F452DF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本部门2025年度收、支总计（含结转和结余）均为837.51万元。与2024年度决算相比，收支各增加71.12万元，增长9.3%，主要原因是2024年度补缴清算单位人员期间养老保险及职业年金。</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7BDAAEA7">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7BA4AE1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本部门2025年度本年收入合计837.51万元，其中：财政拨款收入837.51万元，占100.0%。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46DC88B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10506CE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本部门2025年度本年支出合计837.51万元，其中：基本支出754.56万元，占90.1%；项目支出82.95万元，占9.9%。</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9E2269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2283753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2C8920D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本部门2025年度财政拨款收、支总计（含结转和结余）均为837.51万元。与2024年度相比，财政拨款收支各增加71.12万元，增长9.3%，主要原因是2024年度补缴清算单位人员期间养老保险及职业年金。</w:t>
      </w:r>
    </w:p>
    <w:p w14:paraId="71D91F2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837.51万元,比上年增加71.12万元，增长9.3%，主要原因是2024年度补缴清算单位人员期间养老保险及职业年金；本年支出837.51万元，比上年增加71.12万元，增长9.3%，主要原因是2024年度补缴清算单位人员期间养老保险及职业年金。具体情况如下：</w:t>
      </w:r>
    </w:p>
    <w:p w14:paraId="006798CA">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837.51万元,比上年增加71.12万元，增长9.3%，主要原因是2024年度补缴清算单位人员期间养老保险及职业年金；本年支出837.51万元，比上年增加71.12万元，增长9.3%，主要原因是2024年度补缴清算单位人员期间养老保险及职业年金。</w:t>
      </w:r>
    </w:p>
    <w:p w14:paraId="0DE3402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w:t>
      </w:r>
      <w:r>
        <w:rPr>
          <w:rFonts w:hint="eastAsia" w:ascii="仿宋_GB2312" w:hAnsi="Times New Roman" w:eastAsia="仿宋_GB2312" w:cs="DengXian-Regular"/>
          <w:sz w:val="32"/>
          <w:szCs w:val="32"/>
          <w:lang w:eastAsia="zh-CN"/>
        </w:rPr>
        <w:t>无政府性基金预算财政拨款</w:t>
      </w:r>
      <w:r>
        <w:rPr>
          <w:rFonts w:ascii="Times New Roman" w:eastAsia="仿宋_GB2312"/>
          <w:b w:val="0"/>
          <w:sz w:val="32"/>
          <w:szCs w:val="32"/>
        </w:rPr>
        <w:t>；本年支出0.00万元，比上年增加0.00万元，增长0.00%，主要原因是</w:t>
      </w:r>
      <w:r>
        <w:rPr>
          <w:rFonts w:hint="eastAsia" w:ascii="仿宋_GB2312" w:hAnsi="Times New Roman" w:eastAsia="仿宋_GB2312" w:cs="DengXian-Regular"/>
          <w:sz w:val="32"/>
          <w:szCs w:val="32"/>
          <w:lang w:eastAsia="zh-CN"/>
        </w:rPr>
        <w:t>无政府性基金预算财政拨款</w:t>
      </w:r>
      <w:r>
        <w:rPr>
          <w:rFonts w:ascii="Times New Roman" w:eastAsia="仿宋_GB2312"/>
          <w:b w:val="0"/>
          <w:sz w:val="32"/>
          <w:szCs w:val="32"/>
        </w:rPr>
        <w:t>。</w:t>
      </w:r>
    </w:p>
    <w:p w14:paraId="3ABE1C9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w:t>
      </w:r>
      <w:r>
        <w:rPr>
          <w:rFonts w:hint="eastAsia" w:ascii="仿宋_GB2312" w:hAnsi="Times New Roman" w:eastAsia="仿宋_GB2312" w:cs="DengXian-Regular"/>
          <w:sz w:val="32"/>
          <w:szCs w:val="32"/>
          <w:lang w:eastAsia="zh-CN"/>
        </w:rPr>
        <w:t>无国有资本经营预算财政拨款</w:t>
      </w:r>
      <w:r>
        <w:rPr>
          <w:rFonts w:ascii="Times New Roman" w:eastAsia="仿宋_GB2312"/>
          <w:b w:val="0"/>
          <w:sz w:val="32"/>
          <w:szCs w:val="32"/>
        </w:rPr>
        <w:t>；本年支出0.00万元，比上年增加0.00万元，增长0.00%，主要原因是</w:t>
      </w:r>
      <w:r>
        <w:rPr>
          <w:rFonts w:hint="eastAsia" w:ascii="仿宋_GB2312" w:hAnsi="Times New Roman" w:eastAsia="仿宋_GB2312" w:cs="DengXian-Regular"/>
          <w:sz w:val="32"/>
          <w:szCs w:val="32"/>
          <w:lang w:eastAsia="zh-CN"/>
        </w:rPr>
        <w:t>无国有资本经营预算财政拨款</w:t>
      </w:r>
      <w:r>
        <w:rPr>
          <w:rFonts w:ascii="Times New Roman" w:eastAsia="仿宋_GB2312"/>
          <w:b w:val="0"/>
          <w:sz w:val="32"/>
          <w:szCs w:val="32"/>
        </w:rPr>
        <w:t>。</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3F70E5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08B2561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837.51万元，完成年初预算的106.5%，比年初预算增加51.35万元，决算数大于预算数主要原因是工资调整，人员经费增加；本年支出837.51万元，完成年初预算的106.5%，比年初预算增加51.35万元，决算数大于预算数主要原因是工资调整，人员经费增加。具体情况如下：</w:t>
      </w:r>
    </w:p>
    <w:p w14:paraId="29B6786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106.5%，比年初预算增加51.35万元，主要原因是工资调整，人员经费增加；支出完成年初预算的106.5%，比年初预算增加51.35万元，主要原因是工资调整，人员经费增加。</w:t>
      </w:r>
    </w:p>
    <w:p w14:paraId="00B591B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w:t>
      </w:r>
      <w:r>
        <w:rPr>
          <w:rFonts w:hint="eastAsia" w:ascii="仿宋_GB2312" w:hAnsi="Times New Roman" w:eastAsia="仿宋_GB2312" w:cs="DengXian-Regular"/>
          <w:sz w:val="32"/>
          <w:szCs w:val="32"/>
          <w:lang w:eastAsia="zh-CN"/>
        </w:rPr>
        <w:t>无政府性基金预算财政拨款</w:t>
      </w:r>
      <w:r>
        <w:rPr>
          <w:rFonts w:ascii="Times New Roman" w:eastAsia="仿宋_GB2312"/>
          <w:b w:val="0"/>
          <w:sz w:val="32"/>
          <w:szCs w:val="32"/>
        </w:rPr>
        <w:t>；支出完成年初预算的0.0%，比年初预算增加0.00万元，主要原因是</w:t>
      </w:r>
      <w:r>
        <w:rPr>
          <w:rFonts w:hint="eastAsia" w:ascii="仿宋_GB2312" w:hAnsi="Times New Roman" w:eastAsia="仿宋_GB2312" w:cs="DengXian-Regular"/>
          <w:sz w:val="32"/>
          <w:szCs w:val="32"/>
          <w:lang w:eastAsia="zh-CN"/>
        </w:rPr>
        <w:t>无政府性基金预算财政拨款</w:t>
      </w:r>
      <w:r>
        <w:rPr>
          <w:rFonts w:ascii="Times New Roman" w:eastAsia="仿宋_GB2312"/>
          <w:b w:val="0"/>
          <w:sz w:val="32"/>
          <w:szCs w:val="32"/>
        </w:rPr>
        <w:t>。</w:t>
      </w:r>
    </w:p>
    <w:p w14:paraId="6A03E48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w:t>
      </w:r>
      <w:r>
        <w:rPr>
          <w:rFonts w:hint="eastAsia" w:ascii="Times New Roman" w:hAnsi="Times New Roman" w:eastAsia="仿宋_GB2312" w:cs="Times New Roman"/>
          <w:kern w:val="2"/>
          <w:sz w:val="32"/>
          <w:szCs w:val="32"/>
          <w:lang w:val="zh-CN"/>
        </w:rPr>
        <w:t>无</w:t>
      </w:r>
      <w:r>
        <w:rPr>
          <w:rFonts w:hint="default" w:ascii="Times New Roman" w:hAnsi="Times New Roman" w:eastAsia="仿宋_GB2312" w:cs="Times New Roman"/>
          <w:kern w:val="2"/>
          <w:sz w:val="32"/>
          <w:szCs w:val="32"/>
          <w:lang w:val="zh-CN"/>
        </w:rPr>
        <w:t>国有资本经营预算财政拨款</w:t>
      </w:r>
      <w:r>
        <w:rPr>
          <w:rFonts w:ascii="Times New Roman" w:eastAsia="仿宋_GB2312"/>
          <w:b w:val="0"/>
          <w:sz w:val="32"/>
          <w:szCs w:val="32"/>
        </w:rPr>
        <w:t>；支出完成年初预算的0.0%，比年初预算增加0.00万元，主要原因是</w:t>
      </w:r>
      <w:r>
        <w:rPr>
          <w:rFonts w:hint="eastAsia" w:ascii="Times New Roman" w:hAnsi="Times New Roman" w:eastAsia="仿宋_GB2312" w:cs="Times New Roman"/>
          <w:kern w:val="2"/>
          <w:sz w:val="32"/>
          <w:szCs w:val="32"/>
          <w:lang w:val="zh-CN"/>
        </w:rPr>
        <w:t>无</w:t>
      </w:r>
      <w:r>
        <w:rPr>
          <w:rFonts w:hint="default" w:ascii="Times New Roman" w:hAnsi="Times New Roman" w:eastAsia="仿宋_GB2312" w:cs="Times New Roman"/>
          <w:kern w:val="2"/>
          <w:sz w:val="32"/>
          <w:szCs w:val="32"/>
          <w:lang w:val="zh-CN"/>
        </w:rPr>
        <w:t>国有资本经营预算财政拨款</w:t>
      </w:r>
      <w:r>
        <w:rPr>
          <w:rFonts w:ascii="Times New Roman" w:eastAsia="仿宋_GB2312"/>
          <w:b w:val="0"/>
          <w:sz w:val="32"/>
          <w:szCs w:val="32"/>
        </w:rPr>
        <w:t>。</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F20CA6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16F12B4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2025年度财政拨款支出837.51万元，主要用于以下方面：</w:t>
      </w:r>
    </w:p>
    <w:p w14:paraId="032AEF2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0899FB85">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文化旅游体育与传媒（类）支出837.51万元，占100.0%</w:t>
      </w:r>
      <w:r>
        <w:rPr>
          <w:rFonts w:hint="eastAsia" w:ascii="Times New Roman" w:eastAsia="仿宋_GB2312"/>
          <w:b w:val="0"/>
          <w:sz w:val="32"/>
          <w:szCs w:val="32"/>
          <w:lang w:eastAsia="zh-CN"/>
        </w:rPr>
        <w:t>，</w:t>
      </w:r>
      <w:r>
        <w:rPr>
          <w:rFonts w:ascii="Times New Roman" w:eastAsia="仿宋_GB2312"/>
          <w:b w:val="0"/>
          <w:sz w:val="32"/>
          <w:szCs w:val="32"/>
        </w:rPr>
        <w:t>主要用于</w:t>
      </w:r>
      <w:r>
        <w:rPr>
          <w:rFonts w:hint="eastAsia" w:ascii="Times New Roman" w:eastAsia="仿宋_GB2312"/>
          <w:b w:val="0"/>
          <w:sz w:val="32"/>
          <w:szCs w:val="32"/>
          <w:lang w:eastAsia="zh-CN"/>
        </w:rPr>
        <w:t>人员经费和项目</w:t>
      </w:r>
      <w:r>
        <w:rPr>
          <w:rFonts w:ascii="Times New Roman" w:eastAsia="仿宋_GB2312"/>
          <w:b w:val="0"/>
          <w:sz w:val="32"/>
          <w:szCs w:val="32"/>
        </w:rPr>
        <w:t>等支出</w:t>
      </w:r>
      <w:r>
        <w:rPr>
          <w:rFonts w:hint="eastAsia" w:ascii="Times New Roman" w:eastAsia="仿宋_GB2312"/>
          <w:b w:val="0"/>
          <w:sz w:val="32"/>
          <w:szCs w:val="32"/>
          <w:lang w:eastAsia="zh-CN"/>
        </w:rPr>
        <w:t>。</w:t>
      </w:r>
    </w:p>
    <w:p w14:paraId="088C7483">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r>
        <w:rPr>
          <w:rFonts w:ascii="Times New Roman" w:eastAsia="仿宋_GB2312"/>
          <w:b/>
          <w:sz w:val="32"/>
          <w:szCs w:val="32"/>
        </w:rPr>
        <w:t>政府性基金预算财政拨款支出：</w:t>
      </w:r>
    </w:p>
    <w:p w14:paraId="64584A7F">
      <w:pPr>
        <w:widowControl/>
        <w:spacing w:before="0" w:beforeLines="0" w:beforeAutospacing="0" w:after="0" w:afterLines="0" w:afterAutospacing="0" w:line="360" w:lineRule="auto"/>
        <w:ind w:firstLine="640" w:firstLineChars="200"/>
        <w:jc w:val="left"/>
        <w:rPr>
          <w:rFonts w:ascii="Times New Roman" w:eastAsia="仿宋_GB2312"/>
          <w:b/>
          <w:sz w:val="32"/>
          <w:szCs w:val="32"/>
        </w:rPr>
      </w:pPr>
      <w:r>
        <w:rPr>
          <w:rFonts w:hint="eastAsia" w:ascii="仿宋_GB2312" w:hAnsi="Times New Roman" w:eastAsia="仿宋_GB2312" w:cs="DengXian-Regular"/>
          <w:sz w:val="32"/>
          <w:szCs w:val="32"/>
          <w:lang w:val="en-US" w:eastAsia="zh-CN"/>
        </w:rPr>
        <w:t>本年度</w:t>
      </w:r>
      <w:r>
        <w:rPr>
          <w:rFonts w:hint="eastAsia" w:ascii="仿宋_GB2312" w:hAnsi="Times New Roman" w:eastAsia="仿宋_GB2312" w:cs="DengXian-Regular"/>
          <w:sz w:val="32"/>
          <w:szCs w:val="32"/>
          <w:lang w:eastAsia="zh-CN"/>
        </w:rPr>
        <w:t>无政府性基金预算财政拨款。</w:t>
      </w:r>
    </w:p>
    <w:p w14:paraId="15D01DC0">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r>
        <w:rPr>
          <w:rFonts w:ascii="Times New Roman" w:eastAsia="仿宋_GB2312"/>
          <w:b/>
          <w:sz w:val="32"/>
          <w:szCs w:val="32"/>
        </w:rPr>
        <w:t>国有资本经营预算财政拨款支出：</w:t>
      </w:r>
    </w:p>
    <w:p w14:paraId="6059DC25">
      <w:pPr>
        <w:widowControl/>
        <w:spacing w:before="0" w:beforeLines="0" w:beforeAutospacing="0" w:after="0" w:afterLines="0" w:afterAutospacing="0" w:line="360" w:lineRule="auto"/>
        <w:ind w:firstLine="640" w:firstLineChars="200"/>
        <w:jc w:val="left"/>
        <w:rPr>
          <w:rFonts w:ascii="Times New Roman" w:eastAsia="仿宋_GB2312"/>
          <w:b/>
          <w:sz w:val="32"/>
          <w:szCs w:val="32"/>
        </w:rPr>
      </w:pPr>
      <w:r>
        <w:rPr>
          <w:rFonts w:hint="eastAsia" w:ascii="仿宋_GB2312" w:hAnsi="Times New Roman" w:eastAsia="仿宋_GB2312" w:cs="DengXian-Regular"/>
          <w:sz w:val="32"/>
          <w:szCs w:val="32"/>
          <w:lang w:val="en-US" w:eastAsia="zh-CN"/>
        </w:rPr>
        <w:t>本年度</w:t>
      </w:r>
      <w:r>
        <w:rPr>
          <w:rFonts w:hint="eastAsia" w:ascii="Times New Roman" w:hAnsi="Times New Roman" w:eastAsia="仿宋_GB2312" w:cs="Times New Roman"/>
          <w:kern w:val="2"/>
          <w:sz w:val="32"/>
          <w:szCs w:val="32"/>
          <w:lang w:val="zh-CN"/>
        </w:rPr>
        <w:t>无</w:t>
      </w:r>
      <w:r>
        <w:rPr>
          <w:rFonts w:hint="default" w:ascii="Times New Roman" w:hAnsi="Times New Roman" w:eastAsia="仿宋_GB2312" w:cs="Times New Roman"/>
          <w:kern w:val="2"/>
          <w:sz w:val="32"/>
          <w:szCs w:val="32"/>
          <w:lang w:val="zh-CN"/>
        </w:rPr>
        <w:t>国有资本经营预算财政拨款</w:t>
      </w:r>
      <w:r>
        <w:rPr>
          <w:rFonts w:ascii="Times New Roman" w:eastAsia="仿宋_GB2312"/>
          <w:b w:val="0"/>
          <w:sz w:val="32"/>
          <w:szCs w:val="32"/>
        </w:rPr>
        <w:t>。</w:t>
      </w:r>
    </w:p>
    <w:p w14:paraId="60AE932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07B30E0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2025年度财政拨款基本支出754.56万元，其中：</w:t>
      </w:r>
    </w:p>
    <w:p w14:paraId="7E7A0BB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人员经费717.87万元，主要包括基本工资</w:t>
      </w:r>
      <w:r>
        <w:rPr>
          <w:rFonts w:hint="eastAsia" w:ascii="Times New Roman" w:eastAsia="仿宋_GB2312"/>
          <w:b w:val="0"/>
          <w:sz w:val="32"/>
          <w:szCs w:val="32"/>
        </w:rPr>
        <w:t>361.97</w:t>
      </w:r>
      <w:r>
        <w:rPr>
          <w:rFonts w:hint="eastAsia" w:ascii="Times New Roman" w:eastAsia="仿宋_GB2312"/>
          <w:b w:val="0"/>
          <w:sz w:val="32"/>
          <w:szCs w:val="32"/>
          <w:lang w:eastAsia="zh-CN"/>
        </w:rPr>
        <w:t>万元</w:t>
      </w:r>
      <w:r>
        <w:rPr>
          <w:rFonts w:ascii="Times New Roman" w:eastAsia="仿宋_GB2312"/>
          <w:b w:val="0"/>
          <w:sz w:val="32"/>
          <w:szCs w:val="32"/>
        </w:rPr>
        <w:t>、津贴补贴、奖金</w:t>
      </w:r>
      <w:r>
        <w:rPr>
          <w:rFonts w:hint="eastAsia" w:ascii="Times New Roman" w:eastAsia="仿宋_GB2312"/>
          <w:b w:val="0"/>
          <w:sz w:val="32"/>
          <w:szCs w:val="32"/>
        </w:rPr>
        <w:t>29.63</w:t>
      </w:r>
      <w:r>
        <w:rPr>
          <w:rFonts w:hint="eastAsia" w:ascii="Times New Roman" w:eastAsia="仿宋_GB2312"/>
          <w:b w:val="0"/>
          <w:sz w:val="32"/>
          <w:szCs w:val="32"/>
          <w:lang w:eastAsia="zh-CN"/>
        </w:rPr>
        <w:t>万元</w:t>
      </w:r>
      <w:r>
        <w:rPr>
          <w:rFonts w:ascii="Times New Roman" w:eastAsia="仿宋_GB2312"/>
          <w:b w:val="0"/>
          <w:sz w:val="32"/>
          <w:szCs w:val="32"/>
        </w:rPr>
        <w:t>、绩效工资</w:t>
      </w:r>
      <w:r>
        <w:rPr>
          <w:rFonts w:hint="eastAsia" w:ascii="Times New Roman" w:eastAsia="仿宋_GB2312"/>
          <w:b w:val="0"/>
          <w:sz w:val="32"/>
          <w:szCs w:val="32"/>
        </w:rPr>
        <w:t>148.93</w:t>
      </w:r>
      <w:r>
        <w:rPr>
          <w:rFonts w:hint="eastAsia" w:ascii="Times New Roman" w:eastAsia="仿宋_GB2312"/>
          <w:b w:val="0"/>
          <w:sz w:val="32"/>
          <w:szCs w:val="32"/>
          <w:lang w:eastAsia="zh-CN"/>
        </w:rPr>
        <w:t>万元</w:t>
      </w:r>
      <w:r>
        <w:rPr>
          <w:rFonts w:ascii="Times New Roman" w:eastAsia="仿宋_GB2312"/>
          <w:b w:val="0"/>
          <w:sz w:val="32"/>
          <w:szCs w:val="32"/>
        </w:rPr>
        <w:t>、机关事业部门基本养老保险缴费</w:t>
      </w:r>
      <w:r>
        <w:rPr>
          <w:rFonts w:hint="eastAsia" w:ascii="Times New Roman" w:eastAsia="仿宋_GB2312"/>
          <w:b w:val="0"/>
          <w:sz w:val="32"/>
          <w:szCs w:val="32"/>
        </w:rPr>
        <w:t>67.09</w:t>
      </w:r>
      <w:r>
        <w:rPr>
          <w:rFonts w:hint="eastAsia" w:ascii="Times New Roman" w:eastAsia="仿宋_GB2312"/>
          <w:b w:val="0"/>
          <w:sz w:val="32"/>
          <w:szCs w:val="32"/>
          <w:lang w:eastAsia="zh-CN"/>
        </w:rPr>
        <w:t>万元</w:t>
      </w:r>
      <w:r>
        <w:rPr>
          <w:rFonts w:ascii="Times New Roman" w:eastAsia="仿宋_GB2312"/>
          <w:b w:val="0"/>
          <w:sz w:val="32"/>
          <w:szCs w:val="32"/>
        </w:rPr>
        <w:t>、职业年金缴费</w:t>
      </w:r>
      <w:r>
        <w:rPr>
          <w:rFonts w:hint="eastAsia" w:ascii="Times New Roman" w:eastAsia="仿宋_GB2312"/>
          <w:b w:val="0"/>
          <w:sz w:val="32"/>
          <w:szCs w:val="32"/>
        </w:rPr>
        <w:t>33.55</w:t>
      </w:r>
      <w:r>
        <w:rPr>
          <w:rFonts w:hint="eastAsia" w:ascii="Times New Roman" w:eastAsia="仿宋_GB2312"/>
          <w:b w:val="0"/>
          <w:sz w:val="32"/>
          <w:szCs w:val="32"/>
          <w:lang w:eastAsia="zh-CN"/>
        </w:rPr>
        <w:t>万元</w:t>
      </w:r>
      <w:r>
        <w:rPr>
          <w:rFonts w:ascii="Times New Roman" w:eastAsia="仿宋_GB2312"/>
          <w:b w:val="0"/>
          <w:sz w:val="32"/>
          <w:szCs w:val="32"/>
        </w:rPr>
        <w:t>、职工基本医疗保险缴费</w:t>
      </w:r>
      <w:r>
        <w:rPr>
          <w:rFonts w:hint="eastAsia" w:ascii="Times New Roman" w:eastAsia="仿宋_GB2312"/>
          <w:b w:val="0"/>
          <w:sz w:val="32"/>
          <w:szCs w:val="32"/>
        </w:rPr>
        <w:t>28.14</w:t>
      </w:r>
      <w:r>
        <w:rPr>
          <w:rFonts w:hint="eastAsia" w:ascii="Times New Roman" w:eastAsia="仿宋_GB2312"/>
          <w:b w:val="0"/>
          <w:sz w:val="32"/>
          <w:szCs w:val="32"/>
          <w:lang w:eastAsia="zh-CN"/>
        </w:rPr>
        <w:t>万元</w:t>
      </w:r>
      <w:r>
        <w:rPr>
          <w:rFonts w:ascii="Times New Roman" w:eastAsia="仿宋_GB2312"/>
          <w:b w:val="0"/>
          <w:sz w:val="32"/>
          <w:szCs w:val="32"/>
        </w:rPr>
        <w:t>、住房公积金</w:t>
      </w:r>
      <w:r>
        <w:rPr>
          <w:rFonts w:hint="eastAsia" w:ascii="Times New Roman" w:eastAsia="仿宋_GB2312"/>
          <w:b w:val="0"/>
          <w:sz w:val="32"/>
          <w:szCs w:val="32"/>
        </w:rPr>
        <w:t>41.91</w:t>
      </w:r>
      <w:r>
        <w:rPr>
          <w:rFonts w:hint="eastAsia" w:ascii="Times New Roman" w:eastAsia="仿宋_GB2312"/>
          <w:b w:val="0"/>
          <w:sz w:val="32"/>
          <w:szCs w:val="32"/>
          <w:lang w:eastAsia="zh-CN"/>
        </w:rPr>
        <w:t>万元</w:t>
      </w:r>
      <w:r>
        <w:rPr>
          <w:rFonts w:ascii="Times New Roman" w:eastAsia="仿宋_GB2312"/>
          <w:b w:val="0"/>
          <w:sz w:val="32"/>
          <w:szCs w:val="32"/>
        </w:rPr>
        <w:t>、其他社会保障缴费</w:t>
      </w:r>
      <w:r>
        <w:rPr>
          <w:rFonts w:hint="eastAsia" w:ascii="Times New Roman" w:eastAsia="仿宋_GB2312"/>
          <w:b w:val="0"/>
          <w:sz w:val="32"/>
          <w:szCs w:val="32"/>
        </w:rPr>
        <w:t>4.55</w:t>
      </w:r>
      <w:r>
        <w:rPr>
          <w:rFonts w:hint="eastAsia" w:ascii="Times New Roman" w:eastAsia="仿宋_GB2312"/>
          <w:b w:val="0"/>
          <w:sz w:val="32"/>
          <w:szCs w:val="32"/>
          <w:lang w:eastAsia="zh-CN"/>
        </w:rPr>
        <w:t>万元</w:t>
      </w:r>
      <w:r>
        <w:rPr>
          <w:rFonts w:ascii="Times New Roman" w:eastAsia="仿宋_GB2312"/>
          <w:b w:val="0"/>
          <w:sz w:val="32"/>
          <w:szCs w:val="32"/>
        </w:rPr>
        <w:t>、生活补助</w:t>
      </w:r>
      <w:r>
        <w:rPr>
          <w:rFonts w:hint="eastAsia" w:ascii="Times New Roman" w:eastAsia="仿宋_GB2312"/>
          <w:b w:val="0"/>
          <w:sz w:val="32"/>
          <w:szCs w:val="32"/>
        </w:rPr>
        <w:t>1.2</w:t>
      </w:r>
      <w:r>
        <w:rPr>
          <w:rFonts w:hint="eastAsia" w:ascii="Times New Roman" w:eastAsia="仿宋_GB2312"/>
          <w:b w:val="0"/>
          <w:sz w:val="32"/>
          <w:szCs w:val="32"/>
          <w:lang w:eastAsia="zh-CN"/>
        </w:rPr>
        <w:t>万元</w:t>
      </w:r>
      <w:r>
        <w:rPr>
          <w:rFonts w:ascii="Times New Roman" w:eastAsia="仿宋_GB2312"/>
          <w:b w:val="0"/>
          <w:sz w:val="32"/>
          <w:szCs w:val="32"/>
        </w:rPr>
        <w:t>、奖励金</w:t>
      </w:r>
      <w:r>
        <w:rPr>
          <w:rFonts w:hint="eastAsia" w:ascii="Times New Roman" w:eastAsia="仿宋_GB2312"/>
          <w:b w:val="0"/>
          <w:sz w:val="32"/>
          <w:szCs w:val="32"/>
        </w:rPr>
        <w:t>0.9</w:t>
      </w:r>
      <w:r>
        <w:rPr>
          <w:rFonts w:hint="eastAsia" w:ascii="Times New Roman" w:eastAsia="仿宋_GB2312"/>
          <w:b w:val="0"/>
          <w:sz w:val="32"/>
          <w:szCs w:val="32"/>
          <w:lang w:eastAsia="zh-CN"/>
        </w:rPr>
        <w:t>万元</w:t>
      </w:r>
      <w:r>
        <w:rPr>
          <w:rFonts w:ascii="Times New Roman" w:eastAsia="仿宋_GB2312"/>
          <w:b w:val="0"/>
          <w:sz w:val="32"/>
          <w:szCs w:val="32"/>
        </w:rPr>
        <w:t>。</w:t>
      </w:r>
    </w:p>
    <w:p w14:paraId="776AF0F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公用经费36.70万元，主要包括办公费</w:t>
      </w:r>
      <w:r>
        <w:rPr>
          <w:rFonts w:hint="eastAsia" w:ascii="Times New Roman" w:eastAsia="仿宋_GB2312"/>
          <w:b w:val="0"/>
          <w:sz w:val="32"/>
          <w:szCs w:val="32"/>
        </w:rPr>
        <w:t>10.83</w:t>
      </w:r>
      <w:r>
        <w:rPr>
          <w:rFonts w:hint="eastAsia" w:ascii="Times New Roman" w:eastAsia="仿宋_GB2312"/>
          <w:b w:val="0"/>
          <w:sz w:val="32"/>
          <w:szCs w:val="32"/>
          <w:lang w:eastAsia="zh-CN"/>
        </w:rPr>
        <w:t>万元</w:t>
      </w:r>
      <w:r>
        <w:rPr>
          <w:rFonts w:ascii="Times New Roman" w:eastAsia="仿宋_GB2312"/>
          <w:b w:val="0"/>
          <w:sz w:val="32"/>
          <w:szCs w:val="32"/>
        </w:rPr>
        <w:t>、邮电费</w:t>
      </w:r>
      <w:r>
        <w:rPr>
          <w:rFonts w:hint="eastAsia" w:ascii="Times New Roman" w:eastAsia="仿宋_GB2312"/>
          <w:b w:val="0"/>
          <w:sz w:val="32"/>
          <w:szCs w:val="32"/>
        </w:rPr>
        <w:t>8.47</w:t>
      </w:r>
      <w:r>
        <w:rPr>
          <w:rFonts w:hint="eastAsia" w:ascii="Times New Roman" w:eastAsia="仿宋_GB2312"/>
          <w:b w:val="0"/>
          <w:sz w:val="32"/>
          <w:szCs w:val="32"/>
          <w:lang w:eastAsia="zh-CN"/>
        </w:rPr>
        <w:t>万元</w:t>
      </w:r>
      <w:r>
        <w:rPr>
          <w:rFonts w:ascii="Times New Roman" w:eastAsia="仿宋_GB2312"/>
          <w:b w:val="0"/>
          <w:sz w:val="32"/>
          <w:szCs w:val="32"/>
        </w:rPr>
        <w:t>、维修（护）费</w:t>
      </w:r>
      <w:r>
        <w:rPr>
          <w:rFonts w:hint="eastAsia" w:ascii="Times New Roman" w:eastAsia="仿宋_GB2312"/>
          <w:b w:val="0"/>
          <w:sz w:val="32"/>
          <w:szCs w:val="32"/>
        </w:rPr>
        <w:t>0.5</w:t>
      </w:r>
      <w:r>
        <w:rPr>
          <w:rFonts w:hint="eastAsia" w:ascii="Times New Roman" w:eastAsia="仿宋_GB2312"/>
          <w:b w:val="0"/>
          <w:sz w:val="32"/>
          <w:szCs w:val="32"/>
          <w:lang w:eastAsia="zh-CN"/>
        </w:rPr>
        <w:t>万元</w:t>
      </w:r>
      <w:r>
        <w:rPr>
          <w:rFonts w:ascii="Times New Roman" w:eastAsia="仿宋_GB2312"/>
          <w:b w:val="0"/>
          <w:sz w:val="32"/>
          <w:szCs w:val="32"/>
        </w:rPr>
        <w:t>、租赁费</w:t>
      </w:r>
      <w:r>
        <w:rPr>
          <w:rFonts w:hint="eastAsia" w:ascii="Times New Roman" w:eastAsia="仿宋_GB2312"/>
          <w:b w:val="0"/>
          <w:sz w:val="32"/>
          <w:szCs w:val="32"/>
        </w:rPr>
        <w:t>0.42</w:t>
      </w:r>
      <w:r>
        <w:rPr>
          <w:rFonts w:hint="eastAsia" w:ascii="Times New Roman" w:eastAsia="仿宋_GB2312"/>
          <w:b w:val="0"/>
          <w:sz w:val="32"/>
          <w:szCs w:val="32"/>
          <w:lang w:eastAsia="zh-CN"/>
        </w:rPr>
        <w:t>万元</w:t>
      </w:r>
      <w:r>
        <w:rPr>
          <w:rFonts w:ascii="Times New Roman" w:eastAsia="仿宋_GB2312"/>
          <w:b w:val="0"/>
          <w:sz w:val="32"/>
          <w:szCs w:val="32"/>
        </w:rPr>
        <w:t>、工会经费</w:t>
      </w:r>
      <w:r>
        <w:rPr>
          <w:rFonts w:hint="eastAsia" w:ascii="Times New Roman" w:eastAsia="仿宋_GB2312"/>
          <w:b w:val="0"/>
          <w:sz w:val="32"/>
          <w:szCs w:val="32"/>
        </w:rPr>
        <w:t>4.86</w:t>
      </w:r>
      <w:r>
        <w:rPr>
          <w:rFonts w:hint="eastAsia" w:ascii="Times New Roman" w:eastAsia="仿宋_GB2312"/>
          <w:b w:val="0"/>
          <w:sz w:val="32"/>
          <w:szCs w:val="32"/>
          <w:lang w:eastAsia="zh-CN"/>
        </w:rPr>
        <w:t>万元</w:t>
      </w:r>
      <w:r>
        <w:rPr>
          <w:rFonts w:ascii="Times New Roman" w:eastAsia="仿宋_GB2312"/>
          <w:b w:val="0"/>
          <w:sz w:val="32"/>
          <w:szCs w:val="32"/>
        </w:rPr>
        <w:t>、福利费</w:t>
      </w:r>
      <w:r>
        <w:rPr>
          <w:rFonts w:hint="eastAsia" w:ascii="Times New Roman" w:eastAsia="仿宋_GB2312"/>
          <w:b w:val="0"/>
          <w:sz w:val="32"/>
          <w:szCs w:val="32"/>
          <w:lang w:val="en-US" w:eastAsia="zh-CN"/>
        </w:rPr>
        <w:t>4.7万元</w:t>
      </w:r>
      <w:r>
        <w:rPr>
          <w:rFonts w:ascii="Times New Roman" w:eastAsia="仿宋_GB2312"/>
          <w:b w:val="0"/>
          <w:sz w:val="32"/>
          <w:szCs w:val="32"/>
        </w:rPr>
        <w:t>、公务用车运行维护费</w:t>
      </w:r>
      <w:r>
        <w:rPr>
          <w:rFonts w:hint="eastAsia" w:ascii="Times New Roman" w:eastAsia="仿宋_GB2312"/>
          <w:b w:val="0"/>
          <w:sz w:val="32"/>
          <w:szCs w:val="32"/>
          <w:lang w:val="en-US" w:eastAsia="zh-CN"/>
        </w:rPr>
        <w:t>1.8万元</w:t>
      </w:r>
      <w:r>
        <w:rPr>
          <w:rFonts w:ascii="Times New Roman" w:eastAsia="仿宋_GB2312"/>
          <w:b w:val="0"/>
          <w:sz w:val="32"/>
          <w:szCs w:val="32"/>
        </w:rPr>
        <w:t>、其他商品和服务支出</w:t>
      </w:r>
      <w:r>
        <w:rPr>
          <w:rFonts w:hint="eastAsia" w:ascii="Times New Roman" w:eastAsia="仿宋_GB2312"/>
          <w:b w:val="0"/>
          <w:sz w:val="32"/>
          <w:szCs w:val="32"/>
          <w:lang w:val="en-US" w:eastAsia="zh-CN"/>
        </w:rPr>
        <w:t>0.38万元</w:t>
      </w:r>
      <w:r>
        <w:rPr>
          <w:rFonts w:ascii="Times New Roman" w:eastAsia="仿宋_GB2312"/>
          <w:b w:val="0"/>
          <w:sz w:val="32"/>
          <w:szCs w:val="32"/>
        </w:rPr>
        <w:t>、办公设备购置</w:t>
      </w:r>
      <w:r>
        <w:rPr>
          <w:rFonts w:hint="eastAsia" w:ascii="Times New Roman" w:eastAsia="仿宋_GB2312"/>
          <w:b w:val="0"/>
          <w:sz w:val="32"/>
          <w:szCs w:val="32"/>
          <w:lang w:val="en-US" w:eastAsia="zh-CN"/>
        </w:rPr>
        <w:t>4.74万元</w:t>
      </w:r>
      <w:r>
        <w:rPr>
          <w:rFonts w:ascii="Times New Roman" w:eastAsia="仿宋_GB2312"/>
          <w:b w:val="0"/>
          <w:sz w:val="32"/>
          <w:szCs w:val="32"/>
        </w:rPr>
        <w:t>。</w:t>
      </w:r>
    </w:p>
    <w:p w14:paraId="220585C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3987F456">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7B8EFBCB">
      <w:pPr>
        <w:widowControl/>
        <w:spacing w:before="0" w:beforeLines="0" w:beforeAutospacing="0" w:after="0" w:afterLines="0" w:afterAutospacing="0" w:line="360" w:lineRule="auto"/>
        <w:ind w:firstLine="640" w:firstLineChars="200"/>
        <w:jc w:val="left"/>
        <w:rPr>
          <w:rFonts w:ascii="Times New Roman" w:eastAsia="仿宋_GB2312"/>
          <w:color w:val="000000" w:themeColor="text1"/>
          <w:sz w:val="32"/>
          <w:szCs w:val="32"/>
          <w14:textFill>
            <w14:solidFill>
              <w14:schemeClr w14:val="tx1"/>
            </w14:solidFill>
          </w14:textFill>
        </w:rPr>
      </w:pPr>
      <w:r>
        <w:rPr>
          <w:rFonts w:ascii="Times New Roman" w:eastAsia="仿宋_GB2312"/>
          <w:b w:val="0"/>
          <w:color w:val="000000" w:themeColor="text1"/>
          <w:sz w:val="32"/>
          <w:szCs w:val="32"/>
          <w14:textFill>
            <w14:solidFill>
              <w14:schemeClr w14:val="tx1"/>
            </w14:solidFill>
          </w14:textFill>
        </w:rPr>
        <w:t>本部门2025年度“三公”经费财政拨款支出预算为1.80万元，支出决算为1.80万元，完成预算的100.0%，较预算增加0.00万元，增长0.0%，主要原因是厉行节约，减少三公经费支出；较2024年度决算增加0.00万元，增长0.0%，主要原因是厉行节约，减少三公经费支出。</w:t>
      </w:r>
    </w:p>
    <w:p w14:paraId="7C893C21">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27B01DF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2025年度因公出国（境）费支出预算为0.00万元,支出决算0.00万元。完成预算的0.0%。因公出国（境）费支出较预算增加0.00万元，增长0.0%,主要原因是无因公出国（境）的情况；较上年增加0.00万元，增长0.00%,主要原因是无因公出国（境）的情况。因公出国（境）团组0个、共0人、参加其他单位组织的因公出国（境）团组0个、共0人/无本部门组织的出国（境）团组。</w:t>
      </w:r>
    </w:p>
    <w:p w14:paraId="645F558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本部门2025年度公务用车购置及运行维护费预算为1.80万元，支出决算1.80万元，完成预算的100.0%,较预算增加0.00万元，增长0.0%,主要原因是厉行节约；较上年增加0.00万元，增长0.0%,主要原因是厉行节约。其中：</w:t>
      </w:r>
    </w:p>
    <w:p w14:paraId="327A379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部门2025年度公务用车购置量0辆，发生“公务用车购置”经费支出0.00万元。公务用车购置费支出较预算增加0.00万元，增长0.0%,主要原因是无公务用车购置支出；较上年增加0.00万元，增长0.00%,主要原因是无公务用车购置支出。</w:t>
      </w:r>
    </w:p>
    <w:p w14:paraId="091F585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公务用车运行维护费支出1.80万元：</w:t>
      </w:r>
      <w:r>
        <w:rPr>
          <w:rFonts w:ascii="Times New Roman" w:eastAsia="仿宋_GB2312"/>
          <w:b w:val="0"/>
          <w:sz w:val="32"/>
          <w:szCs w:val="32"/>
        </w:rPr>
        <w:t>本部门2025年度单位公务用车保有量1辆，发生运行维护费支出1.80万元。公车运行维护费支出较预算增加0.00万元，增长0.0%,主要原因是厉行节约；较上年增加0.00万元，增长0.0%，主要原因是厉行节约。</w:t>
      </w:r>
    </w:p>
    <w:p w14:paraId="44256E4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本部门2025年度公务接待费支出预</w:t>
      </w:r>
      <w:r>
        <w:rPr>
          <w:rFonts w:ascii="Times New Roman" w:eastAsia="仿宋_GB2312"/>
          <w:b w:val="0"/>
          <w:color w:val="000000" w:themeColor="text1"/>
          <w:sz w:val="32"/>
          <w:szCs w:val="32"/>
          <w14:textFill>
            <w14:solidFill>
              <w14:schemeClr w14:val="tx1"/>
            </w14:solidFill>
          </w14:textFill>
        </w:rPr>
        <w:t>算为0.</w:t>
      </w:r>
      <w:r>
        <w:rPr>
          <w:rFonts w:hint="eastAsia" w:ascii="Times New Roman" w:eastAsia="仿宋_GB2312"/>
          <w:b w:val="0"/>
          <w:color w:val="000000" w:themeColor="text1"/>
          <w:sz w:val="32"/>
          <w:szCs w:val="32"/>
          <w:lang w:val="en-US" w:eastAsia="zh-CN"/>
          <w14:textFill>
            <w14:solidFill>
              <w14:schemeClr w14:val="tx1"/>
            </w14:solidFill>
          </w14:textFill>
        </w:rPr>
        <w:t>0</w:t>
      </w:r>
      <w:r>
        <w:rPr>
          <w:rFonts w:ascii="Times New Roman" w:eastAsia="仿宋_GB2312"/>
          <w:b w:val="0"/>
          <w:color w:val="000000" w:themeColor="text1"/>
          <w:sz w:val="32"/>
          <w:szCs w:val="32"/>
          <w14:textFill>
            <w14:solidFill>
              <w14:schemeClr w14:val="tx1"/>
            </w14:solidFill>
          </w14:textFill>
        </w:rPr>
        <w:t>0万元，</w:t>
      </w:r>
      <w:r>
        <w:rPr>
          <w:rFonts w:ascii="Times New Roman" w:eastAsia="仿宋_GB2312"/>
          <w:b w:val="0"/>
          <w:sz w:val="32"/>
          <w:szCs w:val="32"/>
        </w:rPr>
        <w:t>支出决算0.00万元，完成预算的0.0%。公务接待费支出较预算增加0.00万元，增长0.0%,主要原因是无公务接待费支出；较上年度增加0.00万元，增长0.00%,主要原因是无公务接待费支出。本年度共发生公务接待0批次、0人次。</w:t>
      </w:r>
    </w:p>
    <w:p w14:paraId="0122B818">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7258ABE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本部门2025年度机关运行经费支出0.00万元，较2024年度增加0.00万元，增长0.00%。主要原因是本部门为事业单位无机关运行经费。</w:t>
      </w:r>
    </w:p>
    <w:p w14:paraId="29C36E3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7232FF7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0E2A72E5">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61B0FD0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部门共有车辆1辆，比上年增加0辆，主要是无公务用车购置。其中，副部（省）级及以上领导用车0辆，主要负责人用车0辆，机要通信用车1辆，应急保障用车0辆，执法执勤用车0辆，特种专业技术用车0辆，离退休干部用车0辆，其他用车0辆。单位价值100万元（含）以上设备（不含车辆）0台（套）。</w:t>
      </w:r>
    </w:p>
    <w:p w14:paraId="1BD69F5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662924C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37A6F9F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根据预算绩效管理要求，本部门组织对2025年度本级预算项目支出全面开展绩效自评，共涉及资金82.95万元（决算金额）。其中，一般公共预算项目2个，涉及资金82.95万元，占一般公共预算项目支出总额的100%；</w:t>
      </w:r>
      <w:r>
        <w:rPr>
          <w:rFonts w:hint="eastAsia" w:ascii="Times New Roman" w:eastAsia="仿宋_GB2312"/>
          <w:b w:val="0"/>
          <w:sz w:val="32"/>
          <w:szCs w:val="32"/>
          <w:lang w:val="zh-CN" w:eastAsia="zh-CN"/>
        </w:rPr>
        <w:t>无</w:t>
      </w:r>
      <w:r>
        <w:rPr>
          <w:rFonts w:hint="default" w:ascii="Times New Roman" w:eastAsia="仿宋_GB2312"/>
          <w:b w:val="0"/>
          <w:sz w:val="32"/>
          <w:szCs w:val="32"/>
          <w:lang w:val="zh-CN" w:eastAsia="zh-CN"/>
        </w:rPr>
        <w:t>政府性基金预算项目</w:t>
      </w:r>
      <w:r>
        <w:rPr>
          <w:rFonts w:hint="eastAsia" w:ascii="Times New Roman" w:eastAsia="仿宋_GB2312"/>
          <w:b w:val="0"/>
          <w:sz w:val="32"/>
          <w:szCs w:val="32"/>
          <w:lang w:val="zh-CN" w:eastAsia="zh-CN"/>
        </w:rPr>
        <w:t>和</w:t>
      </w:r>
      <w:r>
        <w:rPr>
          <w:rFonts w:hint="default" w:ascii="Times New Roman" w:eastAsia="仿宋_GB2312"/>
          <w:b w:val="0"/>
          <w:sz w:val="32"/>
          <w:szCs w:val="32"/>
          <w:lang w:val="zh-CN" w:eastAsia="zh-CN"/>
        </w:rPr>
        <w:t>国有资本经</w:t>
      </w:r>
      <w:r>
        <w:rPr>
          <w:rFonts w:hint="default" w:ascii="Times New Roman" w:eastAsia="仿宋_GB2312"/>
          <w:b w:val="0"/>
          <w:color w:val="000000" w:themeColor="text1"/>
          <w:sz w:val="32"/>
          <w:szCs w:val="32"/>
          <w:lang w:val="zh-CN" w:eastAsia="zh-CN"/>
          <w14:textFill>
            <w14:solidFill>
              <w14:schemeClr w14:val="tx1"/>
            </w14:solidFill>
          </w14:textFill>
        </w:rPr>
        <w:t>营预算项目</w:t>
      </w:r>
      <w:r>
        <w:rPr>
          <w:rFonts w:hint="eastAsia" w:ascii="Times New Roman" w:eastAsia="仿宋_GB2312"/>
          <w:b w:val="0"/>
          <w:color w:val="000000" w:themeColor="text1"/>
          <w:sz w:val="32"/>
          <w:szCs w:val="32"/>
          <w:lang w:val="zh-CN" w:eastAsia="zh-CN"/>
          <w14:textFill>
            <w14:solidFill>
              <w14:schemeClr w14:val="tx1"/>
            </w14:solidFill>
          </w14:textFill>
        </w:rPr>
        <w:t>。</w:t>
      </w:r>
    </w:p>
    <w:p w14:paraId="1AD445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lang w:eastAsia="zh-CN"/>
        </w:rPr>
        <w:t>“</w:t>
      </w:r>
      <w:r>
        <w:rPr>
          <w:rFonts w:ascii="Times New Roman" w:eastAsia="仿宋_GB2312"/>
          <w:b w:val="0"/>
          <w:sz w:val="32"/>
          <w:szCs w:val="32"/>
        </w:rPr>
        <w:t>融媒体工作经费（劳务派遣）</w:t>
      </w:r>
      <w:r>
        <w:rPr>
          <w:rFonts w:hint="eastAsia" w:ascii="Times New Roman" w:eastAsia="仿宋_GB2312"/>
          <w:b w:val="0"/>
          <w:sz w:val="32"/>
          <w:szCs w:val="32"/>
          <w:lang w:eastAsia="zh-CN"/>
        </w:rPr>
        <w:t>”“</w:t>
      </w:r>
      <w:r>
        <w:rPr>
          <w:rFonts w:hint="eastAsia" w:ascii="Times New Roman" w:eastAsia="仿宋_GB2312"/>
          <w:b w:val="0"/>
          <w:sz w:val="32"/>
          <w:szCs w:val="32"/>
        </w:rPr>
        <w:t>广播电视运行维护经费</w:t>
      </w:r>
      <w:r>
        <w:rPr>
          <w:rFonts w:hint="eastAsia" w:ascii="Times New Roman" w:eastAsia="仿宋_GB2312"/>
          <w:b w:val="0"/>
          <w:sz w:val="32"/>
          <w:szCs w:val="32"/>
          <w:lang w:eastAsia="zh-CN"/>
        </w:rPr>
        <w:t>”</w:t>
      </w:r>
      <w:r>
        <w:rPr>
          <w:rFonts w:ascii="Times New Roman" w:eastAsia="仿宋_GB2312"/>
          <w:b w:val="0"/>
          <w:sz w:val="32"/>
          <w:szCs w:val="32"/>
        </w:rPr>
        <w:t>等2个项目开展了部门重点评价，涉及一般公共预算支出82.95万元，政府性基金预算支出0万元，国有资本经营预算支出0万元，从评价情况来看。</w:t>
      </w:r>
      <w:bookmarkStart w:id="0" w:name="_GoBack"/>
      <w:bookmarkEnd w:id="0"/>
    </w:p>
    <w:p w14:paraId="243A4B8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4F5DDA2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本部门在今年部门决算公开中反映</w:t>
      </w:r>
      <w:r>
        <w:rPr>
          <w:rFonts w:hint="eastAsia" w:ascii="Times New Roman" w:eastAsia="仿宋_GB2312"/>
          <w:b w:val="0"/>
          <w:sz w:val="32"/>
          <w:szCs w:val="32"/>
          <w:lang w:eastAsia="zh-CN"/>
        </w:rPr>
        <w:t>“</w:t>
      </w:r>
      <w:r>
        <w:rPr>
          <w:rFonts w:ascii="Times New Roman" w:eastAsia="仿宋_GB2312"/>
          <w:b w:val="0"/>
          <w:sz w:val="32"/>
          <w:szCs w:val="32"/>
        </w:rPr>
        <w:t>融媒体工作经费（劳务派遣）</w:t>
      </w:r>
      <w:r>
        <w:rPr>
          <w:rFonts w:hint="eastAsia" w:ascii="Times New Roman" w:eastAsia="仿宋_GB2312"/>
          <w:b w:val="0"/>
          <w:sz w:val="32"/>
          <w:szCs w:val="32"/>
          <w:lang w:eastAsia="zh-CN"/>
        </w:rPr>
        <w:t>”“</w:t>
      </w:r>
      <w:r>
        <w:rPr>
          <w:rFonts w:hint="eastAsia" w:ascii="Times New Roman" w:eastAsia="仿宋_GB2312"/>
          <w:b w:val="0"/>
          <w:sz w:val="32"/>
          <w:szCs w:val="32"/>
        </w:rPr>
        <w:t>广播电视运行维护经费</w:t>
      </w:r>
      <w:r>
        <w:rPr>
          <w:rFonts w:hint="eastAsia" w:ascii="Times New Roman" w:eastAsia="仿宋_GB2312"/>
          <w:b w:val="0"/>
          <w:sz w:val="32"/>
          <w:szCs w:val="32"/>
          <w:lang w:eastAsia="zh-CN"/>
        </w:rPr>
        <w:t>”</w:t>
      </w:r>
      <w:r>
        <w:rPr>
          <w:rFonts w:ascii="Times New Roman" w:eastAsia="仿宋_GB2312"/>
          <w:b w:val="0"/>
          <w:sz w:val="32"/>
          <w:szCs w:val="32"/>
        </w:rPr>
        <w:t>等2个项目绩效自评结果。</w:t>
      </w:r>
    </w:p>
    <w:p w14:paraId="035578CB">
      <w:pPr>
        <w:widowControl/>
        <w:numPr>
          <w:ilvl w:val="0"/>
          <w:numId w:val="2"/>
        </w:numPr>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融媒体工作经费（劳务派遣）项目绩效自评情况：根据年初设定的绩效目标，融媒体工作经费（劳务派遣）项目绩效自评得分为95分（绩效自评表附后）。全年预算数为64.53万元，执行数为62.9</w:t>
      </w:r>
      <w:r>
        <w:rPr>
          <w:rFonts w:hint="eastAsia" w:ascii="Times New Roman" w:eastAsia="仿宋_GB2312"/>
          <w:b w:val="0"/>
          <w:sz w:val="32"/>
          <w:szCs w:val="32"/>
          <w:lang w:val="en-US" w:eastAsia="zh-CN"/>
        </w:rPr>
        <w:t>5</w:t>
      </w:r>
      <w:r>
        <w:rPr>
          <w:rFonts w:ascii="Times New Roman" w:eastAsia="仿宋_GB2312"/>
          <w:b w:val="0"/>
          <w:sz w:val="32"/>
          <w:szCs w:val="32"/>
        </w:rPr>
        <w:t>万元，完成预算的98%。项目绩效目标完成情况：一是通过项目实施，完成了年初设定的各项绩效目标，完成保障融媒体工作正常运行；二是活跃群众文化氛围，巩固文化宣传阵地，未发现问题。</w:t>
      </w:r>
    </w:p>
    <w:p w14:paraId="0860D94D">
      <w:pPr>
        <w:widowControl/>
        <w:numPr>
          <w:ilvl w:val="0"/>
          <w:numId w:val="2"/>
        </w:numPr>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b w:val="0"/>
          <w:sz w:val="32"/>
          <w:szCs w:val="32"/>
        </w:rPr>
        <w:t>广播电视运行维护经费</w:t>
      </w:r>
      <w:r>
        <w:rPr>
          <w:rFonts w:ascii="Times New Roman" w:eastAsia="仿宋_GB2312"/>
          <w:b w:val="0"/>
          <w:sz w:val="32"/>
          <w:szCs w:val="32"/>
        </w:rPr>
        <w:t>项目绩效自评综述：根据年初设定的绩效目标，广播电视运行维护经费绩效自评得分为100分（绩效自评表附后）。全年预算数为20万元，执行数为20万元，完成预算的100%。项目绩效目标完成情况：通过项目实施，完成了年初设定的各项绩效目标，组织开展全县文艺活动，保障广播电视及网络设施的运行。</w:t>
      </w:r>
    </w:p>
    <w:p w14:paraId="67BDF53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ind w:right="0"/>
        <w:jc w:val="left"/>
        <w:textAlignment w:val="auto"/>
        <w:rPr>
          <w:rFonts w:hint="eastAsia" w:ascii="仿宋_GB2312" w:hAnsi="仿宋_GB2312" w:eastAsia="仿宋_GB2312" w:cs="仿宋_GB2312"/>
          <w:b/>
          <w:bCs/>
          <w:sz w:val="32"/>
          <w:szCs w:val="32"/>
          <w:highlight w:val="none"/>
          <w:lang w:val="en-US" w:eastAsia="zh-CN"/>
        </w:rPr>
      </w:pPr>
      <w:r>
        <w:rPr>
          <w:rFonts w:hint="default" w:ascii="仿宋_GB2312" w:hAnsi="仿宋_GB2312" w:eastAsia="仿宋_GB2312" w:cs="仿宋_GB2312"/>
          <w:b/>
          <w:bCs/>
          <w:sz w:val="32"/>
          <w:szCs w:val="32"/>
          <w:highlight w:val="none"/>
          <w:lang w:val="en-US" w:eastAsia="zh-CN"/>
        </w:rPr>
        <w:t>绩效自评表</w:t>
      </w:r>
      <w:r>
        <w:rPr>
          <w:rFonts w:hint="eastAsia" w:ascii="仿宋_GB2312" w:hAnsi="仿宋_GB2312" w:eastAsia="仿宋_GB2312" w:cs="仿宋_GB2312"/>
          <w:b/>
          <w:bCs/>
          <w:sz w:val="32"/>
          <w:szCs w:val="32"/>
          <w:highlight w:val="none"/>
          <w:lang w:val="en-US" w:eastAsia="zh-CN"/>
        </w:rPr>
        <w:t>：</w:t>
      </w:r>
    </w:p>
    <w:tbl>
      <w:tblPr>
        <w:tblStyle w:val="11"/>
        <w:tblW w:w="1006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10"/>
        <w:gridCol w:w="126"/>
        <w:gridCol w:w="684"/>
        <w:gridCol w:w="696"/>
        <w:gridCol w:w="114"/>
        <w:gridCol w:w="810"/>
        <w:gridCol w:w="357"/>
        <w:gridCol w:w="453"/>
        <w:gridCol w:w="359"/>
        <w:gridCol w:w="451"/>
        <w:gridCol w:w="401"/>
        <w:gridCol w:w="409"/>
        <w:gridCol w:w="398"/>
        <w:gridCol w:w="412"/>
        <w:gridCol w:w="306"/>
        <w:gridCol w:w="630"/>
        <w:gridCol w:w="375"/>
        <w:gridCol w:w="309"/>
        <w:gridCol w:w="642"/>
        <w:gridCol w:w="279"/>
        <w:gridCol w:w="75"/>
        <w:gridCol w:w="969"/>
      </w:tblGrid>
      <w:tr w14:paraId="146CF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jc w:val="center"/>
        </w:trPr>
        <w:tc>
          <w:tcPr>
            <w:tcW w:w="10065" w:type="dxa"/>
            <w:gridSpan w:val="22"/>
            <w:tcBorders>
              <w:top w:val="nil"/>
              <w:left w:val="nil"/>
              <w:bottom w:val="nil"/>
              <w:right w:val="nil"/>
            </w:tcBorders>
            <w:shd w:val="clear" w:color="auto" w:fill="auto"/>
            <w:vAlign w:val="center"/>
          </w:tcPr>
          <w:p w14:paraId="1427B093">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0"/>
                <w:szCs w:val="40"/>
                <w:u w:val="none"/>
              </w:rPr>
            </w:pPr>
            <w:r>
              <w:rPr>
                <w:rFonts w:hint="eastAsia" w:ascii="方正小标宋_GBK" w:hAnsi="方正小标宋_GBK" w:eastAsia="方正小标宋_GBK" w:cs="方正小标宋_GBK"/>
                <w:i w:val="0"/>
                <w:iCs w:val="0"/>
                <w:color w:val="000000"/>
                <w:kern w:val="0"/>
                <w:sz w:val="40"/>
                <w:szCs w:val="40"/>
                <w:u w:val="none"/>
                <w:lang w:val="en-US" w:eastAsia="zh-CN" w:bidi="ar"/>
              </w:rPr>
              <w:t>高阳县2025年度预算项目绩效自评表</w:t>
            </w:r>
          </w:p>
        </w:tc>
      </w:tr>
      <w:tr w14:paraId="39FC4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936" w:type="dxa"/>
            <w:gridSpan w:val="2"/>
            <w:tcBorders>
              <w:top w:val="nil"/>
              <w:left w:val="nil"/>
              <w:bottom w:val="nil"/>
              <w:right w:val="nil"/>
            </w:tcBorders>
            <w:shd w:val="clear" w:color="auto" w:fill="auto"/>
            <w:noWrap/>
            <w:vAlign w:val="center"/>
          </w:tcPr>
          <w:p w14:paraId="337AC21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填报单位：</w:t>
            </w:r>
          </w:p>
        </w:tc>
        <w:tc>
          <w:tcPr>
            <w:tcW w:w="1380" w:type="dxa"/>
            <w:gridSpan w:val="2"/>
            <w:tcBorders>
              <w:top w:val="nil"/>
              <w:left w:val="nil"/>
              <w:bottom w:val="nil"/>
              <w:right w:val="nil"/>
            </w:tcBorders>
            <w:shd w:val="clear" w:color="auto" w:fill="auto"/>
            <w:noWrap/>
            <w:vAlign w:val="center"/>
          </w:tcPr>
          <w:p w14:paraId="6CF17A90">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高阳县融媒体中心</w:t>
            </w:r>
          </w:p>
        </w:tc>
        <w:tc>
          <w:tcPr>
            <w:tcW w:w="1281" w:type="dxa"/>
            <w:gridSpan w:val="3"/>
            <w:tcBorders>
              <w:top w:val="nil"/>
              <w:left w:val="nil"/>
              <w:bottom w:val="nil"/>
              <w:right w:val="nil"/>
            </w:tcBorders>
            <w:shd w:val="clear" w:color="auto" w:fill="auto"/>
            <w:vAlign w:val="center"/>
          </w:tcPr>
          <w:p w14:paraId="01A280F6">
            <w:pPr>
              <w:rPr>
                <w:rFonts w:hint="eastAsia" w:ascii="宋体" w:hAnsi="宋体" w:eastAsia="宋体" w:cs="宋体"/>
                <w:b/>
                <w:bCs/>
                <w:i w:val="0"/>
                <w:iCs w:val="0"/>
                <w:color w:val="000000"/>
                <w:sz w:val="18"/>
                <w:szCs w:val="18"/>
                <w:u w:val="none"/>
              </w:rPr>
            </w:pPr>
          </w:p>
        </w:tc>
        <w:tc>
          <w:tcPr>
            <w:tcW w:w="812" w:type="dxa"/>
            <w:gridSpan w:val="2"/>
            <w:tcBorders>
              <w:top w:val="nil"/>
              <w:left w:val="nil"/>
              <w:bottom w:val="nil"/>
              <w:right w:val="nil"/>
            </w:tcBorders>
            <w:shd w:val="clear" w:color="auto" w:fill="auto"/>
            <w:vAlign w:val="center"/>
          </w:tcPr>
          <w:p w14:paraId="584EB85B">
            <w:pPr>
              <w:rPr>
                <w:rFonts w:hint="eastAsia" w:ascii="宋体" w:hAnsi="宋体" w:eastAsia="宋体" w:cs="宋体"/>
                <w:b/>
                <w:bCs/>
                <w:i w:val="0"/>
                <w:iCs w:val="0"/>
                <w:color w:val="000000"/>
                <w:sz w:val="18"/>
                <w:szCs w:val="18"/>
                <w:u w:val="none"/>
              </w:rPr>
            </w:pPr>
          </w:p>
        </w:tc>
        <w:tc>
          <w:tcPr>
            <w:tcW w:w="852" w:type="dxa"/>
            <w:gridSpan w:val="2"/>
            <w:tcBorders>
              <w:top w:val="nil"/>
              <w:left w:val="nil"/>
              <w:bottom w:val="nil"/>
              <w:right w:val="nil"/>
            </w:tcBorders>
            <w:shd w:val="clear" w:color="auto" w:fill="auto"/>
            <w:vAlign w:val="center"/>
          </w:tcPr>
          <w:p w14:paraId="10FA7A6C">
            <w:pPr>
              <w:rPr>
                <w:rFonts w:hint="eastAsia" w:ascii="宋体" w:hAnsi="宋体" w:eastAsia="宋体" w:cs="宋体"/>
                <w:b/>
                <w:bCs/>
                <w:i w:val="0"/>
                <w:iCs w:val="0"/>
                <w:color w:val="000000"/>
                <w:sz w:val="18"/>
                <w:szCs w:val="18"/>
                <w:u w:val="none"/>
              </w:rPr>
            </w:pPr>
          </w:p>
        </w:tc>
        <w:tc>
          <w:tcPr>
            <w:tcW w:w="807" w:type="dxa"/>
            <w:gridSpan w:val="2"/>
            <w:tcBorders>
              <w:top w:val="nil"/>
              <w:left w:val="nil"/>
              <w:bottom w:val="nil"/>
              <w:right w:val="nil"/>
            </w:tcBorders>
            <w:shd w:val="clear" w:color="auto" w:fill="auto"/>
            <w:vAlign w:val="center"/>
          </w:tcPr>
          <w:p w14:paraId="5D8B1983">
            <w:pPr>
              <w:rPr>
                <w:rFonts w:hint="eastAsia" w:ascii="宋体" w:hAnsi="宋体" w:eastAsia="宋体" w:cs="宋体"/>
                <w:b/>
                <w:bCs/>
                <w:i w:val="0"/>
                <w:iCs w:val="0"/>
                <w:color w:val="000000"/>
                <w:sz w:val="18"/>
                <w:szCs w:val="18"/>
                <w:u w:val="none"/>
              </w:rPr>
            </w:pPr>
          </w:p>
        </w:tc>
        <w:tc>
          <w:tcPr>
            <w:tcW w:w="718" w:type="dxa"/>
            <w:gridSpan w:val="2"/>
            <w:tcBorders>
              <w:top w:val="nil"/>
              <w:left w:val="nil"/>
              <w:bottom w:val="nil"/>
              <w:right w:val="nil"/>
            </w:tcBorders>
            <w:shd w:val="clear" w:color="auto" w:fill="auto"/>
            <w:vAlign w:val="center"/>
          </w:tcPr>
          <w:p w14:paraId="1E94EEC8">
            <w:pPr>
              <w:rPr>
                <w:rFonts w:hint="eastAsia" w:ascii="宋体" w:hAnsi="宋体" w:eastAsia="宋体" w:cs="宋体"/>
                <w:b/>
                <w:bCs/>
                <w:i w:val="0"/>
                <w:iCs w:val="0"/>
                <w:color w:val="000000"/>
                <w:sz w:val="18"/>
                <w:szCs w:val="18"/>
                <w:u w:val="none"/>
              </w:rPr>
            </w:pPr>
          </w:p>
        </w:tc>
        <w:tc>
          <w:tcPr>
            <w:tcW w:w="1005" w:type="dxa"/>
            <w:gridSpan w:val="2"/>
            <w:tcBorders>
              <w:top w:val="nil"/>
              <w:left w:val="nil"/>
              <w:bottom w:val="nil"/>
              <w:right w:val="nil"/>
            </w:tcBorders>
            <w:shd w:val="clear" w:color="auto" w:fill="auto"/>
            <w:vAlign w:val="center"/>
          </w:tcPr>
          <w:p w14:paraId="6069EB88">
            <w:pPr>
              <w:rPr>
                <w:rFonts w:hint="eastAsia" w:ascii="宋体" w:hAnsi="宋体" w:eastAsia="宋体" w:cs="宋体"/>
                <w:b/>
                <w:bCs/>
                <w:i w:val="0"/>
                <w:iCs w:val="0"/>
                <w:color w:val="000000"/>
                <w:sz w:val="18"/>
                <w:szCs w:val="18"/>
                <w:u w:val="none"/>
              </w:rPr>
            </w:pPr>
          </w:p>
        </w:tc>
        <w:tc>
          <w:tcPr>
            <w:tcW w:w="951" w:type="dxa"/>
            <w:gridSpan w:val="2"/>
            <w:tcBorders>
              <w:top w:val="nil"/>
              <w:left w:val="nil"/>
              <w:bottom w:val="nil"/>
              <w:right w:val="nil"/>
            </w:tcBorders>
            <w:shd w:val="clear" w:color="auto" w:fill="auto"/>
            <w:noWrap/>
            <w:vAlign w:val="top"/>
          </w:tcPr>
          <w:p w14:paraId="59A59075">
            <w:pPr>
              <w:rPr>
                <w:rFonts w:hint="eastAsia" w:ascii="宋体" w:hAnsi="宋体" w:eastAsia="宋体" w:cs="宋体"/>
                <w:b/>
                <w:bCs/>
                <w:i w:val="0"/>
                <w:iCs w:val="0"/>
                <w:color w:val="000000"/>
                <w:sz w:val="18"/>
                <w:szCs w:val="18"/>
                <w:u w:val="none"/>
              </w:rPr>
            </w:pPr>
          </w:p>
        </w:tc>
        <w:tc>
          <w:tcPr>
            <w:tcW w:w="1323" w:type="dxa"/>
            <w:gridSpan w:val="3"/>
            <w:tcBorders>
              <w:top w:val="nil"/>
              <w:left w:val="nil"/>
              <w:bottom w:val="nil"/>
              <w:right w:val="nil"/>
            </w:tcBorders>
            <w:shd w:val="clear" w:color="auto" w:fill="auto"/>
            <w:vAlign w:val="center"/>
          </w:tcPr>
          <w:p w14:paraId="75EA2B0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金额单位：万元</w:t>
            </w:r>
          </w:p>
        </w:tc>
      </w:tr>
      <w:tr w14:paraId="345E8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828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一、基本情况</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E2433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2093" w:type="dxa"/>
            <w:gridSpan w:val="5"/>
            <w:tcBorders>
              <w:top w:val="single" w:color="000000" w:sz="4" w:space="0"/>
              <w:left w:val="single" w:color="000000" w:sz="4" w:space="0"/>
              <w:bottom w:val="single" w:color="000000" w:sz="4" w:space="0"/>
              <w:right w:val="nil"/>
            </w:tcBorders>
            <w:shd w:val="clear" w:color="auto" w:fill="auto"/>
            <w:vAlign w:val="center"/>
          </w:tcPr>
          <w:p w14:paraId="327622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融媒体工作经费（劳务派遣）</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57A0D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项目级次</w:t>
            </w:r>
          </w:p>
        </w:tc>
        <w:tc>
          <w:tcPr>
            <w:tcW w:w="15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8228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县级项目</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56AE1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实施（主管）单位</w:t>
            </w:r>
          </w:p>
        </w:tc>
        <w:tc>
          <w:tcPr>
            <w:tcW w:w="227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B1EF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行政事业股</w:t>
            </w:r>
          </w:p>
        </w:tc>
      </w:tr>
      <w:tr w14:paraId="11D0C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93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EAE5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二、预算执行情况</w:t>
            </w:r>
          </w:p>
        </w:tc>
        <w:tc>
          <w:tcPr>
            <w:tcW w:w="347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7F5889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预算安排情况</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（调整后）</w:t>
            </w:r>
          </w:p>
        </w:tc>
        <w:tc>
          <w:tcPr>
            <w:tcW w:w="237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956EC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资金到位情况</w:t>
            </w:r>
          </w:p>
        </w:tc>
        <w:tc>
          <w:tcPr>
            <w:tcW w:w="23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F0E080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资金执行情况</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D342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预算执行进度</w:t>
            </w:r>
          </w:p>
        </w:tc>
      </w:tr>
      <w:tr w14:paraId="72954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93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43F24">
            <w:pPr>
              <w:jc w:val="center"/>
              <w:rPr>
                <w:rFonts w:hint="eastAsia" w:ascii="宋体" w:hAnsi="宋体" w:eastAsia="宋体" w:cs="宋体"/>
                <w:i w:val="0"/>
                <w:iCs w:val="0"/>
                <w:color w:val="000000"/>
                <w:sz w:val="18"/>
                <w:szCs w:val="18"/>
                <w:u w:val="none"/>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6DD1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预算数</w:t>
            </w:r>
          </w:p>
        </w:tc>
        <w:tc>
          <w:tcPr>
            <w:tcW w:w="209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D260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64.5316</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B5F5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到位数</w:t>
            </w:r>
          </w:p>
        </w:tc>
        <w:tc>
          <w:tcPr>
            <w:tcW w:w="15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3700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64.5316</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8BDAB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执行数</w:t>
            </w:r>
          </w:p>
        </w:tc>
        <w:tc>
          <w:tcPr>
            <w:tcW w:w="13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46B9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62.946998</w:t>
            </w:r>
          </w:p>
        </w:tc>
        <w:tc>
          <w:tcPr>
            <w:tcW w:w="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393E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r>
      <w:tr w14:paraId="79DCD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93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DFCFA">
            <w:pPr>
              <w:jc w:val="center"/>
              <w:rPr>
                <w:rFonts w:hint="eastAsia" w:ascii="宋体" w:hAnsi="宋体" w:eastAsia="宋体" w:cs="宋体"/>
                <w:i w:val="0"/>
                <w:iCs w:val="0"/>
                <w:color w:val="000000"/>
                <w:sz w:val="18"/>
                <w:szCs w:val="18"/>
                <w:u w:val="none"/>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C289D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209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3DC9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64.5316</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EA58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15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E811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64.5316</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424C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13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96F2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62.946998</w:t>
            </w:r>
          </w:p>
        </w:tc>
        <w:tc>
          <w:tcPr>
            <w:tcW w:w="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4D993">
            <w:pPr>
              <w:jc w:val="center"/>
              <w:rPr>
                <w:rFonts w:hint="eastAsia" w:ascii="宋体" w:hAnsi="宋体" w:eastAsia="宋体" w:cs="宋体"/>
                <w:i w:val="0"/>
                <w:iCs w:val="0"/>
                <w:color w:val="000000"/>
                <w:sz w:val="18"/>
                <w:szCs w:val="18"/>
                <w:u w:val="none"/>
              </w:rPr>
            </w:pPr>
          </w:p>
        </w:tc>
      </w:tr>
      <w:tr w14:paraId="47DBB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93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65E62">
            <w:pPr>
              <w:jc w:val="center"/>
              <w:rPr>
                <w:rFonts w:hint="eastAsia" w:ascii="宋体" w:hAnsi="宋体" w:eastAsia="宋体" w:cs="宋体"/>
                <w:i w:val="0"/>
                <w:iCs w:val="0"/>
                <w:color w:val="000000"/>
                <w:sz w:val="18"/>
                <w:szCs w:val="18"/>
                <w:u w:val="none"/>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7413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2093"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419787DE">
            <w:pPr>
              <w:jc w:val="center"/>
              <w:rPr>
                <w:rFonts w:hint="eastAsia" w:ascii="宋体" w:hAnsi="宋体" w:eastAsia="宋体" w:cs="宋体"/>
                <w:i w:val="0"/>
                <w:iCs w:val="0"/>
                <w:color w:val="000000"/>
                <w:sz w:val="22"/>
                <w:szCs w:val="22"/>
                <w:u w:val="none"/>
              </w:rPr>
            </w:pP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110B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525" w:type="dxa"/>
            <w:gridSpan w:val="4"/>
            <w:tcBorders>
              <w:top w:val="single" w:color="000000" w:sz="4" w:space="0"/>
              <w:left w:val="single" w:color="000000" w:sz="4" w:space="0"/>
              <w:bottom w:val="single" w:color="000000" w:sz="4" w:space="0"/>
              <w:right w:val="nil"/>
            </w:tcBorders>
            <w:shd w:val="clear" w:color="auto" w:fill="auto"/>
            <w:vAlign w:val="center"/>
          </w:tcPr>
          <w:p w14:paraId="006670BF">
            <w:pPr>
              <w:jc w:val="center"/>
              <w:rPr>
                <w:rFonts w:hint="eastAsia" w:ascii="宋体" w:hAnsi="宋体" w:eastAsia="宋体" w:cs="宋体"/>
                <w:i w:val="0"/>
                <w:iCs w:val="0"/>
                <w:color w:val="000000"/>
                <w:sz w:val="18"/>
                <w:szCs w:val="18"/>
                <w:u w:val="none"/>
              </w:rPr>
            </w:pP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E754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305"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1F480813">
            <w:pPr>
              <w:jc w:val="center"/>
              <w:rPr>
                <w:rFonts w:hint="eastAsia" w:ascii="宋体" w:hAnsi="宋体" w:eastAsia="宋体" w:cs="宋体"/>
                <w:i w:val="0"/>
                <w:iCs w:val="0"/>
                <w:color w:val="000000"/>
                <w:sz w:val="18"/>
                <w:szCs w:val="18"/>
                <w:u w:val="none"/>
              </w:rPr>
            </w:pPr>
          </w:p>
        </w:tc>
        <w:tc>
          <w:tcPr>
            <w:tcW w:w="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DAFE7">
            <w:pPr>
              <w:jc w:val="center"/>
              <w:rPr>
                <w:rFonts w:hint="eastAsia" w:ascii="宋体" w:hAnsi="宋体" w:eastAsia="宋体" w:cs="宋体"/>
                <w:i w:val="0"/>
                <w:iCs w:val="0"/>
                <w:color w:val="000000"/>
                <w:sz w:val="18"/>
                <w:szCs w:val="18"/>
                <w:u w:val="none"/>
              </w:rPr>
            </w:pPr>
          </w:p>
        </w:tc>
      </w:tr>
      <w:tr w14:paraId="53A0A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93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00F1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三、目标完成情况</w:t>
            </w:r>
          </w:p>
        </w:tc>
        <w:tc>
          <w:tcPr>
            <w:tcW w:w="432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BBE849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年度预期目标</w:t>
            </w:r>
          </w:p>
        </w:tc>
        <w:tc>
          <w:tcPr>
            <w:tcW w:w="383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C94A9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具体完成情况</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D1AD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总体完成率</w:t>
            </w:r>
          </w:p>
        </w:tc>
      </w:tr>
      <w:tr w14:paraId="439F3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93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FF050">
            <w:pPr>
              <w:jc w:val="center"/>
              <w:rPr>
                <w:rFonts w:hint="eastAsia" w:ascii="宋体" w:hAnsi="宋体" w:eastAsia="宋体" w:cs="宋体"/>
                <w:i w:val="0"/>
                <w:iCs w:val="0"/>
                <w:color w:val="000000"/>
                <w:sz w:val="18"/>
                <w:szCs w:val="18"/>
                <w:u w:val="none"/>
              </w:rPr>
            </w:pPr>
          </w:p>
        </w:tc>
        <w:tc>
          <w:tcPr>
            <w:tcW w:w="4325" w:type="dxa"/>
            <w:gridSpan w:val="9"/>
            <w:tcBorders>
              <w:top w:val="single" w:color="000000" w:sz="4" w:space="0"/>
              <w:left w:val="single" w:color="000000" w:sz="4" w:space="0"/>
              <w:bottom w:val="single" w:color="000000" w:sz="4" w:space="0"/>
              <w:right w:val="nil"/>
            </w:tcBorders>
            <w:shd w:val="clear" w:color="auto" w:fill="auto"/>
            <w:vAlign w:val="center"/>
          </w:tcPr>
          <w:p w14:paraId="6D0228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保障融媒体工作正常运行，活跃群众文化氛围，巩固文化宣传阵地。     </w:t>
            </w:r>
          </w:p>
        </w:tc>
        <w:tc>
          <w:tcPr>
            <w:tcW w:w="383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BA53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保障融媒体工作正常运行，活跃群众文化氛围，巩固文化宣传阵地。     </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71F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r>
      <w:tr w14:paraId="75340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93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E465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四、年度绩效指标完成情况</w:t>
            </w:r>
          </w:p>
        </w:tc>
        <w:tc>
          <w:tcPr>
            <w:tcW w:w="13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DC98D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128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A5FE0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81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47B6F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85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EDF56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指标分值</w:t>
            </w:r>
          </w:p>
        </w:tc>
        <w:tc>
          <w:tcPr>
            <w:tcW w:w="25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0E9FD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预期指标值</w:t>
            </w:r>
          </w:p>
        </w:tc>
        <w:tc>
          <w:tcPr>
            <w:tcW w:w="9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20D74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实际完成值</w:t>
            </w:r>
          </w:p>
        </w:tc>
        <w:tc>
          <w:tcPr>
            <w:tcW w:w="35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F48D6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单项指标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完成情况</w:t>
            </w:r>
          </w:p>
        </w:tc>
        <w:tc>
          <w:tcPr>
            <w:tcW w:w="9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94083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自评得分</w:t>
            </w:r>
          </w:p>
        </w:tc>
      </w:tr>
      <w:tr w14:paraId="151B2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93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0FC49">
            <w:pPr>
              <w:jc w:val="center"/>
              <w:rPr>
                <w:rFonts w:hint="eastAsia" w:ascii="宋体" w:hAnsi="宋体" w:eastAsia="宋体" w:cs="宋体"/>
                <w:i w:val="0"/>
                <w:iCs w:val="0"/>
                <w:color w:val="000000"/>
                <w:sz w:val="18"/>
                <w:szCs w:val="18"/>
                <w:u w:val="none"/>
              </w:rPr>
            </w:pPr>
          </w:p>
        </w:tc>
        <w:tc>
          <w:tcPr>
            <w:tcW w:w="13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E67EF">
            <w:pPr>
              <w:jc w:val="center"/>
              <w:rPr>
                <w:rFonts w:hint="eastAsia" w:ascii="宋体" w:hAnsi="宋体" w:eastAsia="宋体" w:cs="宋体"/>
                <w:b/>
                <w:bCs/>
                <w:i w:val="0"/>
                <w:iCs w:val="0"/>
                <w:color w:val="000000"/>
                <w:sz w:val="18"/>
                <w:szCs w:val="18"/>
                <w:u w:val="none"/>
              </w:rPr>
            </w:pPr>
          </w:p>
        </w:tc>
        <w:tc>
          <w:tcPr>
            <w:tcW w:w="128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00001">
            <w:pPr>
              <w:jc w:val="center"/>
              <w:rPr>
                <w:rFonts w:hint="eastAsia" w:ascii="宋体" w:hAnsi="宋体" w:eastAsia="宋体" w:cs="宋体"/>
                <w:b/>
                <w:bCs/>
                <w:i w:val="0"/>
                <w:iCs w:val="0"/>
                <w:color w:val="000000"/>
                <w:sz w:val="18"/>
                <w:szCs w:val="18"/>
                <w:u w:val="none"/>
              </w:rPr>
            </w:pPr>
          </w:p>
        </w:tc>
        <w:tc>
          <w:tcPr>
            <w:tcW w:w="8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15025">
            <w:pPr>
              <w:jc w:val="center"/>
              <w:rPr>
                <w:rFonts w:hint="eastAsia" w:ascii="宋体" w:hAnsi="宋体" w:eastAsia="宋体" w:cs="宋体"/>
                <w:b/>
                <w:bCs/>
                <w:i w:val="0"/>
                <w:iCs w:val="0"/>
                <w:color w:val="000000"/>
                <w:sz w:val="18"/>
                <w:szCs w:val="18"/>
                <w:u w:val="none"/>
              </w:rPr>
            </w:pPr>
          </w:p>
        </w:tc>
        <w:tc>
          <w:tcPr>
            <w:tcW w:w="8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10C0B">
            <w:pPr>
              <w:jc w:val="center"/>
              <w:rPr>
                <w:rFonts w:hint="eastAsia" w:ascii="宋体" w:hAnsi="宋体" w:eastAsia="宋体" w:cs="宋体"/>
                <w:b/>
                <w:bCs/>
                <w:i w:val="0"/>
                <w:iCs w:val="0"/>
                <w:color w:val="000000"/>
                <w:sz w:val="18"/>
                <w:szCs w:val="18"/>
                <w:u w:val="none"/>
              </w:rPr>
            </w:pP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94AB2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符号</w:t>
            </w:r>
          </w:p>
        </w:tc>
        <w:tc>
          <w:tcPr>
            <w:tcW w:w="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EA7AC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值</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F4FB4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（文字描述）</w:t>
            </w:r>
          </w:p>
        </w:tc>
        <w:tc>
          <w:tcPr>
            <w:tcW w:w="9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4B66B">
            <w:pPr>
              <w:jc w:val="center"/>
              <w:rPr>
                <w:rFonts w:hint="eastAsia" w:ascii="宋体" w:hAnsi="宋体" w:eastAsia="宋体" w:cs="宋体"/>
                <w:b/>
                <w:bCs/>
                <w:i w:val="0"/>
                <w:iCs w:val="0"/>
                <w:color w:val="000000"/>
                <w:sz w:val="18"/>
                <w:szCs w:val="18"/>
                <w:u w:val="none"/>
              </w:rPr>
            </w:pPr>
          </w:p>
        </w:tc>
        <w:tc>
          <w:tcPr>
            <w:tcW w:w="35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AA20C">
            <w:pPr>
              <w:jc w:val="center"/>
              <w:rPr>
                <w:rFonts w:hint="eastAsia" w:ascii="宋体" w:hAnsi="宋体" w:eastAsia="宋体" w:cs="宋体"/>
                <w:b/>
                <w:bCs/>
                <w:i w:val="0"/>
                <w:iCs w:val="0"/>
                <w:color w:val="000000"/>
                <w:sz w:val="18"/>
                <w:szCs w:val="18"/>
                <w:u w:val="none"/>
              </w:rPr>
            </w:pPr>
          </w:p>
        </w:tc>
        <w:tc>
          <w:tcPr>
            <w:tcW w:w="9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A6DBD">
            <w:pPr>
              <w:jc w:val="center"/>
              <w:rPr>
                <w:rFonts w:hint="eastAsia" w:ascii="宋体" w:hAnsi="宋体" w:eastAsia="宋体" w:cs="宋体"/>
                <w:b/>
                <w:bCs/>
                <w:i w:val="0"/>
                <w:iCs w:val="0"/>
                <w:color w:val="000000"/>
                <w:sz w:val="18"/>
                <w:szCs w:val="18"/>
                <w:u w:val="none"/>
              </w:rPr>
            </w:pPr>
          </w:p>
        </w:tc>
      </w:tr>
      <w:tr w14:paraId="7AF88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93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1FA86">
            <w:pPr>
              <w:jc w:val="center"/>
              <w:rPr>
                <w:rFonts w:hint="eastAsia" w:ascii="宋体" w:hAnsi="宋体" w:eastAsia="宋体" w:cs="宋体"/>
                <w:i w:val="0"/>
                <w:iCs w:val="0"/>
                <w:color w:val="000000"/>
                <w:sz w:val="18"/>
                <w:szCs w:val="18"/>
                <w:u w:val="none"/>
              </w:rPr>
            </w:pPr>
          </w:p>
        </w:tc>
        <w:tc>
          <w:tcPr>
            <w:tcW w:w="13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8D4A2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产出指标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（50）</w:t>
            </w:r>
          </w:p>
        </w:tc>
        <w:tc>
          <w:tcPr>
            <w:tcW w:w="12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5930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8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660D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制作播出高阳新闻数量</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DEBA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C41B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749E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156</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CC52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期</w:t>
            </w:r>
          </w:p>
        </w:tc>
        <w:tc>
          <w:tcPr>
            <w:tcW w:w="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27EF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156</w:t>
            </w:r>
          </w:p>
        </w:tc>
        <w:tc>
          <w:tcPr>
            <w:tcW w:w="3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777B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972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r>
      <w:tr w14:paraId="08202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93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CB86A">
            <w:pPr>
              <w:jc w:val="center"/>
              <w:rPr>
                <w:rFonts w:hint="eastAsia" w:ascii="宋体" w:hAnsi="宋体" w:eastAsia="宋体" w:cs="宋体"/>
                <w:i w:val="0"/>
                <w:iCs w:val="0"/>
                <w:color w:val="000000"/>
                <w:sz w:val="18"/>
                <w:szCs w:val="18"/>
                <w:u w:val="none"/>
              </w:rPr>
            </w:pPr>
          </w:p>
        </w:tc>
        <w:tc>
          <w:tcPr>
            <w:tcW w:w="13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AC2FD">
            <w:pPr>
              <w:jc w:val="center"/>
              <w:rPr>
                <w:rFonts w:hint="eastAsia" w:ascii="宋体" w:hAnsi="宋体" w:eastAsia="宋体" w:cs="宋体"/>
                <w:b/>
                <w:bCs/>
                <w:i w:val="0"/>
                <w:iCs w:val="0"/>
                <w:color w:val="000000"/>
                <w:sz w:val="18"/>
                <w:szCs w:val="18"/>
                <w:u w:val="none"/>
              </w:rPr>
            </w:pPr>
          </w:p>
        </w:tc>
        <w:tc>
          <w:tcPr>
            <w:tcW w:w="12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9923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8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55E7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工作高质量完成率</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92CF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B628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9C44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C06F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FE93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3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AF36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567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226AD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93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7E96D">
            <w:pPr>
              <w:jc w:val="center"/>
              <w:rPr>
                <w:rFonts w:hint="eastAsia" w:ascii="宋体" w:hAnsi="宋体" w:eastAsia="宋体" w:cs="宋体"/>
                <w:i w:val="0"/>
                <w:iCs w:val="0"/>
                <w:color w:val="000000"/>
                <w:sz w:val="18"/>
                <w:szCs w:val="18"/>
                <w:u w:val="none"/>
              </w:rPr>
            </w:pPr>
          </w:p>
        </w:tc>
        <w:tc>
          <w:tcPr>
            <w:tcW w:w="13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6AD89">
            <w:pPr>
              <w:jc w:val="center"/>
              <w:rPr>
                <w:rFonts w:hint="eastAsia" w:ascii="宋体" w:hAnsi="宋体" w:eastAsia="宋体" w:cs="宋体"/>
                <w:b/>
                <w:bCs/>
                <w:i w:val="0"/>
                <w:iCs w:val="0"/>
                <w:color w:val="000000"/>
                <w:sz w:val="18"/>
                <w:szCs w:val="18"/>
                <w:u w:val="none"/>
              </w:rPr>
            </w:pPr>
          </w:p>
        </w:tc>
        <w:tc>
          <w:tcPr>
            <w:tcW w:w="12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0D40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8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BF21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及时率</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A835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1D90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C77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3274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F450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3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9D0D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D59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1F308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93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7C95D">
            <w:pPr>
              <w:jc w:val="center"/>
              <w:rPr>
                <w:rFonts w:hint="eastAsia" w:ascii="宋体" w:hAnsi="宋体" w:eastAsia="宋体" w:cs="宋体"/>
                <w:i w:val="0"/>
                <w:iCs w:val="0"/>
                <w:color w:val="000000"/>
                <w:sz w:val="18"/>
                <w:szCs w:val="18"/>
                <w:u w:val="none"/>
              </w:rPr>
            </w:pPr>
          </w:p>
        </w:tc>
        <w:tc>
          <w:tcPr>
            <w:tcW w:w="13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7D414">
            <w:pPr>
              <w:jc w:val="center"/>
              <w:rPr>
                <w:rFonts w:hint="eastAsia" w:ascii="宋体" w:hAnsi="宋体" w:eastAsia="宋体" w:cs="宋体"/>
                <w:b/>
                <w:bCs/>
                <w:i w:val="0"/>
                <w:iCs w:val="0"/>
                <w:color w:val="000000"/>
                <w:sz w:val="18"/>
                <w:szCs w:val="18"/>
                <w:u w:val="none"/>
              </w:rPr>
            </w:pPr>
          </w:p>
        </w:tc>
        <w:tc>
          <w:tcPr>
            <w:tcW w:w="12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229A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8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9ED4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成本控制率</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CFE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E9BE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6D96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97FD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C2CF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F740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030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3DF33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jc w:val="center"/>
        </w:trPr>
        <w:tc>
          <w:tcPr>
            <w:tcW w:w="93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13D0F">
            <w:pPr>
              <w:jc w:val="center"/>
              <w:rPr>
                <w:rFonts w:hint="eastAsia" w:ascii="宋体" w:hAnsi="宋体" w:eastAsia="宋体" w:cs="宋体"/>
                <w:i w:val="0"/>
                <w:iCs w:val="0"/>
                <w:color w:val="000000"/>
                <w:sz w:val="18"/>
                <w:szCs w:val="18"/>
                <w:u w:val="none"/>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184FE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效益指标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（30）</w:t>
            </w:r>
          </w:p>
        </w:tc>
        <w:tc>
          <w:tcPr>
            <w:tcW w:w="12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50E6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8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2E45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宣传活动影响力</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D02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256F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C3DC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D446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227D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3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A3E6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597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r>
      <w:tr w14:paraId="6B334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93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A01D8">
            <w:pPr>
              <w:jc w:val="center"/>
              <w:rPr>
                <w:rFonts w:hint="eastAsia" w:ascii="宋体" w:hAnsi="宋体" w:eastAsia="宋体" w:cs="宋体"/>
                <w:i w:val="0"/>
                <w:iCs w:val="0"/>
                <w:color w:val="000000"/>
                <w:sz w:val="18"/>
                <w:szCs w:val="18"/>
                <w:u w:val="none"/>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A86A6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满意度指标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（10）</w:t>
            </w:r>
          </w:p>
        </w:tc>
        <w:tc>
          <w:tcPr>
            <w:tcW w:w="12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3E15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8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BDE2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7E50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AD9E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B15B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E40B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64E1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3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03DB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13B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29ED9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93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9CEB6">
            <w:pPr>
              <w:jc w:val="center"/>
              <w:rPr>
                <w:rFonts w:hint="eastAsia" w:ascii="宋体" w:hAnsi="宋体" w:eastAsia="宋体" w:cs="宋体"/>
                <w:i w:val="0"/>
                <w:iCs w:val="0"/>
                <w:color w:val="000000"/>
                <w:sz w:val="18"/>
                <w:szCs w:val="18"/>
                <w:u w:val="none"/>
              </w:rPr>
            </w:pP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79074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预算执行率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（10）</w:t>
            </w:r>
          </w:p>
        </w:tc>
        <w:tc>
          <w:tcPr>
            <w:tcW w:w="12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9140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8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9B97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B82A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660F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66BF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9CD2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9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FE14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9DDE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3B5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6937F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93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28F13">
            <w:pPr>
              <w:jc w:val="center"/>
              <w:rPr>
                <w:rFonts w:hint="eastAsia" w:ascii="宋体" w:hAnsi="宋体" w:eastAsia="宋体" w:cs="宋体"/>
                <w:i w:val="0"/>
                <w:iCs w:val="0"/>
                <w:color w:val="000000"/>
                <w:sz w:val="18"/>
                <w:szCs w:val="18"/>
                <w:u w:val="none"/>
              </w:rPr>
            </w:pPr>
          </w:p>
        </w:tc>
        <w:tc>
          <w:tcPr>
            <w:tcW w:w="8160"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05DAF66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自评总分</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A59B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95</w:t>
            </w:r>
          </w:p>
        </w:tc>
      </w:tr>
      <w:tr w14:paraId="33620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jc w:val="center"/>
        </w:trPr>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41A4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五、存在问题、原因及下一步整改措施</w:t>
            </w:r>
          </w:p>
        </w:tc>
        <w:tc>
          <w:tcPr>
            <w:tcW w:w="9129"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798264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14:paraId="6CB0F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936" w:type="dxa"/>
            <w:gridSpan w:val="2"/>
            <w:tcBorders>
              <w:top w:val="nil"/>
              <w:left w:val="nil"/>
              <w:bottom w:val="nil"/>
              <w:right w:val="nil"/>
            </w:tcBorders>
            <w:shd w:val="clear" w:color="auto" w:fill="auto"/>
            <w:noWrap/>
            <w:vAlign w:val="center"/>
          </w:tcPr>
          <w:p w14:paraId="0A2BA0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填报人：</w:t>
            </w:r>
          </w:p>
        </w:tc>
        <w:tc>
          <w:tcPr>
            <w:tcW w:w="1380" w:type="dxa"/>
            <w:gridSpan w:val="2"/>
            <w:tcBorders>
              <w:top w:val="nil"/>
              <w:left w:val="nil"/>
              <w:bottom w:val="nil"/>
              <w:right w:val="nil"/>
            </w:tcBorders>
            <w:shd w:val="clear" w:color="auto" w:fill="auto"/>
            <w:noWrap/>
            <w:vAlign w:val="center"/>
          </w:tcPr>
          <w:p w14:paraId="14CD8A5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刘婉莹</w:t>
            </w:r>
          </w:p>
        </w:tc>
        <w:tc>
          <w:tcPr>
            <w:tcW w:w="1281" w:type="dxa"/>
            <w:gridSpan w:val="3"/>
            <w:tcBorders>
              <w:top w:val="nil"/>
              <w:left w:val="nil"/>
              <w:bottom w:val="nil"/>
              <w:right w:val="nil"/>
            </w:tcBorders>
            <w:shd w:val="clear" w:color="auto" w:fill="auto"/>
            <w:vAlign w:val="top"/>
          </w:tcPr>
          <w:p w14:paraId="6A45DA0A">
            <w:pPr>
              <w:rPr>
                <w:rFonts w:hint="eastAsia" w:ascii="宋体" w:hAnsi="宋体" w:eastAsia="宋体" w:cs="宋体"/>
                <w:i w:val="0"/>
                <w:iCs w:val="0"/>
                <w:color w:val="000000"/>
                <w:sz w:val="18"/>
                <w:szCs w:val="18"/>
                <w:u w:val="none"/>
              </w:rPr>
            </w:pPr>
          </w:p>
        </w:tc>
        <w:tc>
          <w:tcPr>
            <w:tcW w:w="812" w:type="dxa"/>
            <w:gridSpan w:val="2"/>
            <w:tcBorders>
              <w:top w:val="nil"/>
              <w:left w:val="nil"/>
              <w:bottom w:val="nil"/>
              <w:right w:val="nil"/>
            </w:tcBorders>
            <w:shd w:val="clear" w:color="auto" w:fill="auto"/>
            <w:vAlign w:val="top"/>
          </w:tcPr>
          <w:p w14:paraId="16C05E87">
            <w:pPr>
              <w:rPr>
                <w:rFonts w:hint="eastAsia" w:ascii="宋体" w:hAnsi="宋体" w:eastAsia="宋体" w:cs="宋体"/>
                <w:i w:val="0"/>
                <w:iCs w:val="0"/>
                <w:color w:val="000000"/>
                <w:sz w:val="18"/>
                <w:szCs w:val="18"/>
                <w:u w:val="none"/>
              </w:rPr>
            </w:pPr>
          </w:p>
        </w:tc>
        <w:tc>
          <w:tcPr>
            <w:tcW w:w="852" w:type="dxa"/>
            <w:gridSpan w:val="2"/>
            <w:tcBorders>
              <w:top w:val="nil"/>
              <w:left w:val="nil"/>
              <w:bottom w:val="nil"/>
              <w:right w:val="nil"/>
            </w:tcBorders>
            <w:shd w:val="clear" w:color="auto" w:fill="auto"/>
            <w:vAlign w:val="top"/>
          </w:tcPr>
          <w:p w14:paraId="5709B1D1">
            <w:pPr>
              <w:rPr>
                <w:rFonts w:hint="eastAsia" w:ascii="宋体" w:hAnsi="宋体" w:eastAsia="宋体" w:cs="宋体"/>
                <w:i w:val="0"/>
                <w:iCs w:val="0"/>
                <w:color w:val="000000"/>
                <w:sz w:val="18"/>
                <w:szCs w:val="18"/>
                <w:u w:val="none"/>
              </w:rPr>
            </w:pPr>
          </w:p>
        </w:tc>
        <w:tc>
          <w:tcPr>
            <w:tcW w:w="807" w:type="dxa"/>
            <w:gridSpan w:val="2"/>
            <w:tcBorders>
              <w:top w:val="nil"/>
              <w:left w:val="nil"/>
              <w:bottom w:val="nil"/>
              <w:right w:val="nil"/>
            </w:tcBorders>
            <w:shd w:val="clear" w:color="auto" w:fill="auto"/>
            <w:vAlign w:val="top"/>
          </w:tcPr>
          <w:p w14:paraId="31A96783">
            <w:pPr>
              <w:rPr>
                <w:rFonts w:hint="eastAsia" w:ascii="宋体" w:hAnsi="宋体" w:eastAsia="宋体" w:cs="宋体"/>
                <w:i w:val="0"/>
                <w:iCs w:val="0"/>
                <w:color w:val="000000"/>
                <w:sz w:val="18"/>
                <w:szCs w:val="18"/>
                <w:u w:val="none"/>
              </w:rPr>
            </w:pPr>
          </w:p>
        </w:tc>
        <w:tc>
          <w:tcPr>
            <w:tcW w:w="718" w:type="dxa"/>
            <w:gridSpan w:val="2"/>
            <w:tcBorders>
              <w:top w:val="nil"/>
              <w:left w:val="nil"/>
              <w:bottom w:val="nil"/>
              <w:right w:val="nil"/>
            </w:tcBorders>
            <w:shd w:val="clear" w:color="auto" w:fill="auto"/>
            <w:vAlign w:val="top"/>
          </w:tcPr>
          <w:p w14:paraId="5A1C6482">
            <w:pPr>
              <w:rPr>
                <w:rFonts w:hint="eastAsia" w:ascii="宋体" w:hAnsi="宋体" w:eastAsia="宋体" w:cs="宋体"/>
                <w:i w:val="0"/>
                <w:iCs w:val="0"/>
                <w:color w:val="000000"/>
                <w:sz w:val="18"/>
                <w:szCs w:val="18"/>
                <w:u w:val="none"/>
              </w:rPr>
            </w:pPr>
          </w:p>
        </w:tc>
        <w:tc>
          <w:tcPr>
            <w:tcW w:w="1005" w:type="dxa"/>
            <w:gridSpan w:val="2"/>
            <w:tcBorders>
              <w:top w:val="nil"/>
              <w:left w:val="nil"/>
              <w:bottom w:val="nil"/>
              <w:right w:val="nil"/>
            </w:tcBorders>
            <w:shd w:val="clear" w:color="auto" w:fill="auto"/>
            <w:vAlign w:val="center"/>
          </w:tcPr>
          <w:p w14:paraId="0DA8C0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联系电话：</w:t>
            </w:r>
          </w:p>
        </w:tc>
        <w:tc>
          <w:tcPr>
            <w:tcW w:w="951" w:type="dxa"/>
            <w:gridSpan w:val="2"/>
            <w:tcBorders>
              <w:top w:val="nil"/>
              <w:left w:val="nil"/>
              <w:bottom w:val="nil"/>
              <w:right w:val="nil"/>
            </w:tcBorders>
            <w:shd w:val="clear" w:color="auto" w:fill="auto"/>
            <w:vAlign w:val="center"/>
          </w:tcPr>
          <w:p w14:paraId="7EDF42F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6699027</w:t>
            </w:r>
          </w:p>
        </w:tc>
        <w:tc>
          <w:tcPr>
            <w:tcW w:w="354" w:type="dxa"/>
            <w:gridSpan w:val="2"/>
            <w:tcBorders>
              <w:top w:val="nil"/>
              <w:left w:val="nil"/>
              <w:bottom w:val="nil"/>
              <w:right w:val="nil"/>
            </w:tcBorders>
            <w:shd w:val="clear" w:color="auto" w:fill="auto"/>
            <w:vAlign w:val="top"/>
          </w:tcPr>
          <w:p w14:paraId="085F6A52">
            <w:pPr>
              <w:rPr>
                <w:rFonts w:hint="eastAsia" w:ascii="宋体" w:hAnsi="宋体" w:eastAsia="宋体" w:cs="宋体"/>
                <w:i w:val="0"/>
                <w:iCs w:val="0"/>
                <w:color w:val="000000"/>
                <w:sz w:val="18"/>
                <w:szCs w:val="18"/>
                <w:u w:val="none"/>
              </w:rPr>
            </w:pPr>
          </w:p>
        </w:tc>
        <w:tc>
          <w:tcPr>
            <w:tcW w:w="969" w:type="dxa"/>
            <w:tcBorders>
              <w:top w:val="nil"/>
              <w:left w:val="nil"/>
              <w:bottom w:val="nil"/>
              <w:right w:val="nil"/>
            </w:tcBorders>
            <w:shd w:val="clear" w:color="auto" w:fill="auto"/>
            <w:vAlign w:val="top"/>
          </w:tcPr>
          <w:p w14:paraId="1EC1F336">
            <w:pPr>
              <w:rPr>
                <w:rFonts w:hint="eastAsia" w:ascii="宋体" w:hAnsi="宋体" w:eastAsia="宋体" w:cs="宋体"/>
                <w:i w:val="0"/>
                <w:iCs w:val="0"/>
                <w:color w:val="000000"/>
                <w:sz w:val="18"/>
                <w:szCs w:val="18"/>
                <w:u w:val="none"/>
              </w:rPr>
            </w:pPr>
          </w:p>
        </w:tc>
      </w:tr>
      <w:tr w14:paraId="17EBE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044" w:type="dxa"/>
          <w:trHeight w:val="690" w:hRule="atLeast"/>
          <w:jc w:val="center"/>
        </w:trPr>
        <w:tc>
          <w:tcPr>
            <w:tcW w:w="9021" w:type="dxa"/>
            <w:gridSpan w:val="20"/>
            <w:tcBorders>
              <w:top w:val="nil"/>
              <w:left w:val="nil"/>
              <w:bottom w:val="nil"/>
              <w:right w:val="nil"/>
            </w:tcBorders>
            <w:shd w:val="clear" w:color="auto" w:fill="auto"/>
            <w:vAlign w:val="center"/>
          </w:tcPr>
          <w:p w14:paraId="76CE66F7">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0"/>
                <w:szCs w:val="40"/>
                <w:u w:val="none"/>
              </w:rPr>
            </w:pPr>
            <w:r>
              <w:rPr>
                <w:rFonts w:hint="eastAsia" w:ascii="方正小标宋_GBK" w:hAnsi="方正小标宋_GBK" w:eastAsia="方正小标宋_GBK" w:cs="方正小标宋_GBK"/>
                <w:i w:val="0"/>
                <w:iCs w:val="0"/>
                <w:color w:val="000000"/>
                <w:kern w:val="0"/>
                <w:sz w:val="40"/>
                <w:szCs w:val="40"/>
                <w:u w:val="none"/>
                <w:lang w:val="en-US" w:eastAsia="zh-CN" w:bidi="ar"/>
              </w:rPr>
              <w:t>高阳县2025年度预算项目绩效自评表</w:t>
            </w:r>
          </w:p>
        </w:tc>
      </w:tr>
      <w:tr w14:paraId="66288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44" w:type="dxa"/>
          <w:trHeight w:val="465" w:hRule="atLeast"/>
          <w:jc w:val="center"/>
        </w:trPr>
        <w:tc>
          <w:tcPr>
            <w:tcW w:w="810" w:type="dxa"/>
            <w:tcBorders>
              <w:top w:val="nil"/>
              <w:left w:val="nil"/>
              <w:bottom w:val="nil"/>
              <w:right w:val="nil"/>
            </w:tcBorders>
            <w:shd w:val="clear" w:color="auto" w:fill="auto"/>
            <w:vAlign w:val="center"/>
          </w:tcPr>
          <w:p w14:paraId="1F1A17C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填报单位：</w:t>
            </w:r>
          </w:p>
        </w:tc>
        <w:tc>
          <w:tcPr>
            <w:tcW w:w="810" w:type="dxa"/>
            <w:gridSpan w:val="2"/>
            <w:tcBorders>
              <w:top w:val="nil"/>
              <w:left w:val="nil"/>
              <w:bottom w:val="nil"/>
              <w:right w:val="nil"/>
            </w:tcBorders>
            <w:shd w:val="clear" w:color="auto" w:fill="auto"/>
            <w:vAlign w:val="center"/>
          </w:tcPr>
          <w:p w14:paraId="7F1D5B8C">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高阳县融媒体中心</w:t>
            </w:r>
          </w:p>
        </w:tc>
        <w:tc>
          <w:tcPr>
            <w:tcW w:w="810" w:type="dxa"/>
            <w:gridSpan w:val="2"/>
            <w:tcBorders>
              <w:top w:val="nil"/>
              <w:left w:val="nil"/>
              <w:bottom w:val="nil"/>
              <w:right w:val="nil"/>
            </w:tcBorders>
            <w:shd w:val="clear" w:color="auto" w:fill="auto"/>
            <w:vAlign w:val="center"/>
          </w:tcPr>
          <w:p w14:paraId="7A8D31B0">
            <w:pPr>
              <w:rPr>
                <w:rFonts w:hint="eastAsia" w:ascii="宋体" w:hAnsi="宋体" w:eastAsia="宋体" w:cs="宋体"/>
                <w:b/>
                <w:bCs/>
                <w:i w:val="0"/>
                <w:iCs w:val="0"/>
                <w:color w:val="000000"/>
                <w:sz w:val="18"/>
                <w:szCs w:val="18"/>
                <w:u w:val="none"/>
              </w:rPr>
            </w:pPr>
          </w:p>
        </w:tc>
        <w:tc>
          <w:tcPr>
            <w:tcW w:w="810" w:type="dxa"/>
            <w:tcBorders>
              <w:top w:val="nil"/>
              <w:left w:val="nil"/>
              <w:bottom w:val="nil"/>
              <w:right w:val="nil"/>
            </w:tcBorders>
            <w:shd w:val="clear" w:color="auto" w:fill="auto"/>
            <w:vAlign w:val="center"/>
          </w:tcPr>
          <w:p w14:paraId="1BBE2A47">
            <w:pPr>
              <w:rPr>
                <w:rFonts w:hint="eastAsia" w:ascii="宋体" w:hAnsi="宋体" w:eastAsia="宋体" w:cs="宋体"/>
                <w:b/>
                <w:bCs/>
                <w:i w:val="0"/>
                <w:iCs w:val="0"/>
                <w:color w:val="000000"/>
                <w:sz w:val="18"/>
                <w:szCs w:val="18"/>
                <w:u w:val="none"/>
              </w:rPr>
            </w:pPr>
          </w:p>
        </w:tc>
        <w:tc>
          <w:tcPr>
            <w:tcW w:w="810" w:type="dxa"/>
            <w:gridSpan w:val="2"/>
            <w:tcBorders>
              <w:top w:val="nil"/>
              <w:left w:val="nil"/>
              <w:bottom w:val="nil"/>
              <w:right w:val="nil"/>
            </w:tcBorders>
            <w:shd w:val="clear" w:color="auto" w:fill="auto"/>
            <w:vAlign w:val="center"/>
          </w:tcPr>
          <w:p w14:paraId="6E6705E9">
            <w:pPr>
              <w:rPr>
                <w:rFonts w:hint="eastAsia" w:ascii="宋体" w:hAnsi="宋体" w:eastAsia="宋体" w:cs="宋体"/>
                <w:b/>
                <w:bCs/>
                <w:i w:val="0"/>
                <w:iCs w:val="0"/>
                <w:color w:val="000000"/>
                <w:sz w:val="18"/>
                <w:szCs w:val="18"/>
                <w:u w:val="none"/>
              </w:rPr>
            </w:pPr>
          </w:p>
        </w:tc>
        <w:tc>
          <w:tcPr>
            <w:tcW w:w="810" w:type="dxa"/>
            <w:gridSpan w:val="2"/>
            <w:tcBorders>
              <w:top w:val="nil"/>
              <w:left w:val="nil"/>
              <w:bottom w:val="nil"/>
              <w:right w:val="nil"/>
            </w:tcBorders>
            <w:shd w:val="clear" w:color="auto" w:fill="auto"/>
            <w:vAlign w:val="center"/>
          </w:tcPr>
          <w:p w14:paraId="293A8112">
            <w:pPr>
              <w:rPr>
                <w:rFonts w:hint="eastAsia" w:ascii="宋体" w:hAnsi="宋体" w:eastAsia="宋体" w:cs="宋体"/>
                <w:b/>
                <w:bCs/>
                <w:i w:val="0"/>
                <w:iCs w:val="0"/>
                <w:color w:val="000000"/>
                <w:sz w:val="18"/>
                <w:szCs w:val="18"/>
                <w:u w:val="none"/>
              </w:rPr>
            </w:pPr>
          </w:p>
        </w:tc>
        <w:tc>
          <w:tcPr>
            <w:tcW w:w="810" w:type="dxa"/>
            <w:gridSpan w:val="2"/>
            <w:tcBorders>
              <w:top w:val="nil"/>
              <w:left w:val="nil"/>
              <w:bottom w:val="nil"/>
              <w:right w:val="nil"/>
            </w:tcBorders>
            <w:shd w:val="clear" w:color="auto" w:fill="auto"/>
            <w:vAlign w:val="center"/>
          </w:tcPr>
          <w:p w14:paraId="69D68B2F">
            <w:pPr>
              <w:rPr>
                <w:rFonts w:hint="eastAsia" w:ascii="宋体" w:hAnsi="宋体" w:eastAsia="宋体" w:cs="宋体"/>
                <w:b/>
                <w:bCs/>
                <w:i w:val="0"/>
                <w:iCs w:val="0"/>
                <w:color w:val="000000"/>
                <w:sz w:val="18"/>
                <w:szCs w:val="18"/>
                <w:u w:val="none"/>
              </w:rPr>
            </w:pPr>
          </w:p>
        </w:tc>
        <w:tc>
          <w:tcPr>
            <w:tcW w:w="810" w:type="dxa"/>
            <w:gridSpan w:val="2"/>
            <w:tcBorders>
              <w:top w:val="nil"/>
              <w:left w:val="nil"/>
              <w:bottom w:val="nil"/>
              <w:right w:val="nil"/>
            </w:tcBorders>
            <w:shd w:val="clear" w:color="auto" w:fill="auto"/>
            <w:vAlign w:val="center"/>
          </w:tcPr>
          <w:p w14:paraId="013C24A8">
            <w:pPr>
              <w:rPr>
                <w:rFonts w:hint="eastAsia" w:ascii="宋体" w:hAnsi="宋体" w:eastAsia="宋体" w:cs="宋体"/>
                <w:b/>
                <w:bCs/>
                <w:i w:val="0"/>
                <w:iCs w:val="0"/>
                <w:color w:val="000000"/>
                <w:sz w:val="18"/>
                <w:szCs w:val="18"/>
                <w:u w:val="none"/>
              </w:rPr>
            </w:pPr>
          </w:p>
        </w:tc>
        <w:tc>
          <w:tcPr>
            <w:tcW w:w="936" w:type="dxa"/>
            <w:gridSpan w:val="2"/>
            <w:tcBorders>
              <w:top w:val="nil"/>
              <w:left w:val="nil"/>
              <w:bottom w:val="nil"/>
              <w:right w:val="nil"/>
            </w:tcBorders>
            <w:shd w:val="clear" w:color="auto" w:fill="auto"/>
            <w:vAlign w:val="top"/>
          </w:tcPr>
          <w:p w14:paraId="4810EE81">
            <w:pPr>
              <w:rPr>
                <w:rFonts w:hint="eastAsia" w:ascii="宋体" w:hAnsi="宋体" w:eastAsia="宋体" w:cs="宋体"/>
                <w:b/>
                <w:bCs/>
                <w:i w:val="0"/>
                <w:iCs w:val="0"/>
                <w:color w:val="000000"/>
                <w:sz w:val="18"/>
                <w:szCs w:val="18"/>
                <w:u w:val="none"/>
              </w:rPr>
            </w:pPr>
          </w:p>
        </w:tc>
        <w:tc>
          <w:tcPr>
            <w:tcW w:w="1605" w:type="dxa"/>
            <w:gridSpan w:val="4"/>
            <w:tcBorders>
              <w:top w:val="nil"/>
              <w:left w:val="nil"/>
              <w:bottom w:val="nil"/>
              <w:right w:val="nil"/>
            </w:tcBorders>
            <w:shd w:val="clear" w:color="auto" w:fill="auto"/>
            <w:vAlign w:val="center"/>
          </w:tcPr>
          <w:p w14:paraId="4526CDC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金额单位：万元</w:t>
            </w:r>
          </w:p>
        </w:tc>
      </w:tr>
      <w:tr w14:paraId="04A98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044" w:type="dxa"/>
          <w:trHeight w:val="780" w:hRule="atLeast"/>
          <w:jc w:val="center"/>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604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一、基本情况</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C9C20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1620" w:type="dxa"/>
            <w:gridSpan w:val="3"/>
            <w:tcBorders>
              <w:top w:val="single" w:color="000000" w:sz="4" w:space="0"/>
              <w:left w:val="single" w:color="000000" w:sz="4" w:space="0"/>
              <w:bottom w:val="single" w:color="000000" w:sz="4" w:space="0"/>
              <w:right w:val="nil"/>
            </w:tcBorders>
            <w:shd w:val="clear" w:color="auto" w:fill="auto"/>
            <w:vAlign w:val="center"/>
          </w:tcPr>
          <w:p w14:paraId="5CDB2F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广播电视运行维护经费</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5A58A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项目级次</w:t>
            </w:r>
          </w:p>
        </w:tc>
        <w:tc>
          <w:tcPr>
            <w:tcW w:w="16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954F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县级项目</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03CA4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实施（主管）单位</w:t>
            </w:r>
          </w:p>
        </w:tc>
        <w:tc>
          <w:tcPr>
            <w:tcW w:w="254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7980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行政事业股</w:t>
            </w:r>
          </w:p>
        </w:tc>
      </w:tr>
      <w:tr w14:paraId="45B94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44" w:type="dxa"/>
          <w:trHeight w:val="450" w:hRule="atLeast"/>
          <w:jc w:val="center"/>
        </w:trPr>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0B78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二、预算执行情况</w:t>
            </w:r>
          </w:p>
        </w:tc>
        <w:tc>
          <w:tcPr>
            <w:tcW w:w="24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837BB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预算安排情况</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（调整后）</w:t>
            </w:r>
          </w:p>
        </w:tc>
        <w:tc>
          <w:tcPr>
            <w:tcW w:w="24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990AE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资金到位情况</w:t>
            </w:r>
          </w:p>
        </w:tc>
        <w:tc>
          <w:tcPr>
            <w:tcW w:w="24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6B043C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资金执行情况</w:t>
            </w:r>
          </w:p>
        </w:tc>
        <w:tc>
          <w:tcPr>
            <w:tcW w:w="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A994D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预算执行进度</w:t>
            </w:r>
          </w:p>
        </w:tc>
      </w:tr>
      <w:tr w14:paraId="2B72E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44" w:type="dxa"/>
          <w:trHeight w:val="450" w:hRule="atLeast"/>
          <w:jc w:val="center"/>
        </w:trPr>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7EC72">
            <w:pPr>
              <w:jc w:val="center"/>
              <w:rPr>
                <w:rFonts w:hint="eastAsia" w:ascii="宋体" w:hAnsi="宋体" w:eastAsia="宋体" w:cs="宋体"/>
                <w:i w:val="0"/>
                <w:iCs w:val="0"/>
                <w:color w:val="000000"/>
                <w:sz w:val="18"/>
                <w:szCs w:val="18"/>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D498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预算数</w:t>
            </w:r>
          </w:p>
        </w:tc>
        <w:tc>
          <w:tcPr>
            <w:tcW w:w="16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470F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AFD6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到位数</w:t>
            </w:r>
          </w:p>
        </w:tc>
        <w:tc>
          <w:tcPr>
            <w:tcW w:w="16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0FA2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C426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执行数</w:t>
            </w:r>
          </w:p>
        </w:tc>
        <w:tc>
          <w:tcPr>
            <w:tcW w:w="16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8868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92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217A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067F2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044" w:type="dxa"/>
          <w:trHeight w:val="450" w:hRule="atLeast"/>
          <w:jc w:val="center"/>
        </w:trPr>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3F6B4">
            <w:pPr>
              <w:jc w:val="center"/>
              <w:rPr>
                <w:rFonts w:hint="eastAsia" w:ascii="宋体" w:hAnsi="宋体" w:eastAsia="宋体" w:cs="宋体"/>
                <w:i w:val="0"/>
                <w:iCs w:val="0"/>
                <w:color w:val="000000"/>
                <w:sz w:val="18"/>
                <w:szCs w:val="18"/>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FE5C8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16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2203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1FB7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16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86E0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DDCD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16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021A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92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25E6A">
            <w:pPr>
              <w:jc w:val="center"/>
              <w:rPr>
                <w:rFonts w:hint="eastAsia" w:ascii="宋体" w:hAnsi="宋体" w:eastAsia="宋体" w:cs="宋体"/>
                <w:i w:val="0"/>
                <w:iCs w:val="0"/>
                <w:color w:val="000000"/>
                <w:sz w:val="18"/>
                <w:szCs w:val="18"/>
                <w:u w:val="none"/>
              </w:rPr>
            </w:pPr>
          </w:p>
        </w:tc>
      </w:tr>
      <w:tr w14:paraId="4A6BC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44" w:type="dxa"/>
          <w:trHeight w:val="450" w:hRule="atLeast"/>
          <w:jc w:val="center"/>
        </w:trPr>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9EE6B">
            <w:pPr>
              <w:jc w:val="center"/>
              <w:rPr>
                <w:rFonts w:hint="eastAsia" w:ascii="宋体" w:hAnsi="宋体" w:eastAsia="宋体" w:cs="宋体"/>
                <w:i w:val="0"/>
                <w:iCs w:val="0"/>
                <w:color w:val="000000"/>
                <w:sz w:val="18"/>
                <w:szCs w:val="18"/>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B84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620"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046BAAC6">
            <w:pPr>
              <w:jc w:val="center"/>
              <w:rPr>
                <w:rFonts w:hint="eastAsia" w:ascii="宋体" w:hAnsi="宋体" w:eastAsia="宋体" w:cs="宋体"/>
                <w:i w:val="0"/>
                <w:iCs w:val="0"/>
                <w:color w:val="000000"/>
                <w:sz w:val="22"/>
                <w:szCs w:val="22"/>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088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620" w:type="dxa"/>
            <w:gridSpan w:val="4"/>
            <w:tcBorders>
              <w:top w:val="single" w:color="000000" w:sz="4" w:space="0"/>
              <w:left w:val="single" w:color="000000" w:sz="4" w:space="0"/>
              <w:bottom w:val="single" w:color="000000" w:sz="4" w:space="0"/>
              <w:right w:val="nil"/>
            </w:tcBorders>
            <w:shd w:val="clear" w:color="auto" w:fill="auto"/>
            <w:vAlign w:val="center"/>
          </w:tcPr>
          <w:p w14:paraId="78BE7837">
            <w:pPr>
              <w:jc w:val="center"/>
              <w:rPr>
                <w:rFonts w:hint="eastAsia" w:ascii="宋体" w:hAnsi="宋体" w:eastAsia="宋体" w:cs="宋体"/>
                <w:i w:val="0"/>
                <w:iCs w:val="0"/>
                <w:color w:val="000000"/>
                <w:sz w:val="18"/>
                <w:szCs w:val="18"/>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7FB2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1620"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3E61BF2D">
            <w:pPr>
              <w:jc w:val="center"/>
              <w:rPr>
                <w:rFonts w:hint="eastAsia" w:ascii="宋体" w:hAnsi="宋体" w:eastAsia="宋体" w:cs="宋体"/>
                <w:i w:val="0"/>
                <w:iCs w:val="0"/>
                <w:color w:val="000000"/>
                <w:sz w:val="18"/>
                <w:szCs w:val="18"/>
                <w:u w:val="none"/>
              </w:rPr>
            </w:pPr>
          </w:p>
        </w:tc>
        <w:tc>
          <w:tcPr>
            <w:tcW w:w="92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00CEE">
            <w:pPr>
              <w:jc w:val="center"/>
              <w:rPr>
                <w:rFonts w:hint="eastAsia" w:ascii="宋体" w:hAnsi="宋体" w:eastAsia="宋体" w:cs="宋体"/>
                <w:i w:val="0"/>
                <w:iCs w:val="0"/>
                <w:color w:val="000000"/>
                <w:sz w:val="18"/>
                <w:szCs w:val="18"/>
                <w:u w:val="none"/>
              </w:rPr>
            </w:pPr>
          </w:p>
        </w:tc>
      </w:tr>
      <w:tr w14:paraId="396B2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044" w:type="dxa"/>
          <w:trHeight w:val="600" w:hRule="atLeast"/>
          <w:jc w:val="center"/>
        </w:trPr>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9F82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三、目标完成情况</w:t>
            </w:r>
          </w:p>
        </w:tc>
        <w:tc>
          <w:tcPr>
            <w:tcW w:w="324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098390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年度预期目标</w:t>
            </w:r>
          </w:p>
        </w:tc>
        <w:tc>
          <w:tcPr>
            <w:tcW w:w="405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B8AB1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具体完成情况</w:t>
            </w:r>
          </w:p>
        </w:tc>
        <w:tc>
          <w:tcPr>
            <w:tcW w:w="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A5117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总体完成率</w:t>
            </w:r>
          </w:p>
        </w:tc>
      </w:tr>
      <w:tr w14:paraId="1AF06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44" w:type="dxa"/>
          <w:trHeight w:val="600" w:hRule="atLeast"/>
          <w:jc w:val="center"/>
        </w:trPr>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24873">
            <w:pPr>
              <w:jc w:val="center"/>
              <w:rPr>
                <w:rFonts w:hint="eastAsia" w:ascii="宋体" w:hAnsi="宋体" w:eastAsia="宋体" w:cs="宋体"/>
                <w:i w:val="0"/>
                <w:iCs w:val="0"/>
                <w:color w:val="000000"/>
                <w:sz w:val="18"/>
                <w:szCs w:val="18"/>
                <w:u w:val="none"/>
              </w:rPr>
            </w:pPr>
          </w:p>
        </w:tc>
        <w:tc>
          <w:tcPr>
            <w:tcW w:w="3240" w:type="dxa"/>
            <w:gridSpan w:val="7"/>
            <w:tcBorders>
              <w:top w:val="single" w:color="000000" w:sz="4" w:space="0"/>
              <w:left w:val="single" w:color="000000" w:sz="4" w:space="0"/>
              <w:bottom w:val="single" w:color="000000" w:sz="4" w:space="0"/>
              <w:right w:val="nil"/>
            </w:tcBorders>
            <w:shd w:val="clear" w:color="auto" w:fill="auto"/>
            <w:vAlign w:val="center"/>
          </w:tcPr>
          <w:p w14:paraId="207322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组织开展全县文艺活动，保障广播电视及网络设施的运行。     </w:t>
            </w:r>
          </w:p>
        </w:tc>
        <w:tc>
          <w:tcPr>
            <w:tcW w:w="405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5799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组织开展全县文艺活动，保障广播电视及网络设施的运行。     </w:t>
            </w:r>
          </w:p>
        </w:tc>
        <w:tc>
          <w:tcPr>
            <w:tcW w:w="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26F4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15F94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44" w:type="dxa"/>
          <w:trHeight w:val="600" w:hRule="atLeast"/>
          <w:jc w:val="center"/>
        </w:trPr>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4A25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四、年度绩效指标完成情况</w:t>
            </w:r>
          </w:p>
        </w:tc>
        <w:tc>
          <w:tcPr>
            <w:tcW w:w="8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91199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8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3A221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B692D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8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BDFA8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指标分值</w:t>
            </w:r>
          </w:p>
        </w:tc>
        <w:tc>
          <w:tcPr>
            <w:tcW w:w="24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6CC61F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预期指标值</w:t>
            </w:r>
          </w:p>
        </w:tc>
        <w:tc>
          <w:tcPr>
            <w:tcW w:w="93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BE5A7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实际完成值</w:t>
            </w:r>
          </w:p>
        </w:tc>
        <w:tc>
          <w:tcPr>
            <w:tcW w:w="68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B1319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单项指标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完成情况</w:t>
            </w:r>
          </w:p>
        </w:tc>
        <w:tc>
          <w:tcPr>
            <w:tcW w:w="92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F211B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自评得分</w:t>
            </w:r>
          </w:p>
        </w:tc>
      </w:tr>
      <w:tr w14:paraId="71280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44" w:type="dxa"/>
          <w:trHeight w:val="600" w:hRule="atLeast"/>
          <w:jc w:val="center"/>
        </w:trPr>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ACCD3">
            <w:pPr>
              <w:jc w:val="center"/>
              <w:rPr>
                <w:rFonts w:hint="eastAsia" w:ascii="宋体" w:hAnsi="宋体" w:eastAsia="宋体" w:cs="宋体"/>
                <w:i w:val="0"/>
                <w:iCs w:val="0"/>
                <w:color w:val="000000"/>
                <w:sz w:val="18"/>
                <w:szCs w:val="18"/>
                <w:u w:val="none"/>
              </w:rPr>
            </w:pPr>
          </w:p>
        </w:tc>
        <w:tc>
          <w:tcPr>
            <w:tcW w:w="8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CCCC8">
            <w:pPr>
              <w:jc w:val="center"/>
              <w:rPr>
                <w:rFonts w:hint="eastAsia" w:ascii="宋体" w:hAnsi="宋体" w:eastAsia="宋体" w:cs="宋体"/>
                <w:b/>
                <w:bCs/>
                <w:i w:val="0"/>
                <w:iCs w:val="0"/>
                <w:color w:val="000000"/>
                <w:sz w:val="18"/>
                <w:szCs w:val="18"/>
                <w:u w:val="none"/>
              </w:rPr>
            </w:pPr>
          </w:p>
        </w:tc>
        <w:tc>
          <w:tcPr>
            <w:tcW w:w="8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96F19">
            <w:pPr>
              <w:jc w:val="center"/>
              <w:rPr>
                <w:rFonts w:hint="eastAsia" w:ascii="宋体" w:hAnsi="宋体" w:eastAsia="宋体" w:cs="宋体"/>
                <w:b/>
                <w:bCs/>
                <w:i w:val="0"/>
                <w:iCs w:val="0"/>
                <w:color w:val="000000"/>
                <w:sz w:val="18"/>
                <w:szCs w:val="18"/>
                <w:u w:val="none"/>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4EB47">
            <w:pPr>
              <w:jc w:val="center"/>
              <w:rPr>
                <w:rFonts w:hint="eastAsia" w:ascii="宋体" w:hAnsi="宋体" w:eastAsia="宋体" w:cs="宋体"/>
                <w:b/>
                <w:bCs/>
                <w:i w:val="0"/>
                <w:iCs w:val="0"/>
                <w:color w:val="000000"/>
                <w:sz w:val="18"/>
                <w:szCs w:val="18"/>
                <w:u w:val="none"/>
              </w:rPr>
            </w:pPr>
          </w:p>
        </w:tc>
        <w:tc>
          <w:tcPr>
            <w:tcW w:w="8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5B701">
            <w:pPr>
              <w:jc w:val="center"/>
              <w:rPr>
                <w:rFonts w:hint="eastAsia" w:ascii="宋体" w:hAnsi="宋体" w:eastAsia="宋体" w:cs="宋体"/>
                <w:b/>
                <w:bCs/>
                <w:i w:val="0"/>
                <w:iCs w:val="0"/>
                <w:color w:val="000000"/>
                <w:sz w:val="18"/>
                <w:szCs w:val="18"/>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D6EA0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符号</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2EBBC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值</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75B9F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（文字描述）</w:t>
            </w:r>
          </w:p>
        </w:tc>
        <w:tc>
          <w:tcPr>
            <w:tcW w:w="93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E9124">
            <w:pPr>
              <w:jc w:val="center"/>
              <w:rPr>
                <w:rFonts w:hint="eastAsia" w:ascii="宋体" w:hAnsi="宋体" w:eastAsia="宋体" w:cs="宋体"/>
                <w:b/>
                <w:bCs/>
                <w:i w:val="0"/>
                <w:iCs w:val="0"/>
                <w:color w:val="000000"/>
                <w:sz w:val="18"/>
                <w:szCs w:val="18"/>
                <w:u w:val="none"/>
              </w:rPr>
            </w:pPr>
          </w:p>
        </w:tc>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966DC">
            <w:pPr>
              <w:jc w:val="center"/>
              <w:rPr>
                <w:rFonts w:hint="eastAsia" w:ascii="宋体" w:hAnsi="宋体" w:eastAsia="宋体" w:cs="宋体"/>
                <w:b/>
                <w:bCs/>
                <w:i w:val="0"/>
                <w:iCs w:val="0"/>
                <w:color w:val="000000"/>
                <w:sz w:val="18"/>
                <w:szCs w:val="18"/>
                <w:u w:val="none"/>
              </w:rPr>
            </w:pPr>
          </w:p>
        </w:tc>
        <w:tc>
          <w:tcPr>
            <w:tcW w:w="92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16906">
            <w:pPr>
              <w:jc w:val="center"/>
              <w:rPr>
                <w:rFonts w:hint="eastAsia" w:ascii="宋体" w:hAnsi="宋体" w:eastAsia="宋体" w:cs="宋体"/>
                <w:b/>
                <w:bCs/>
                <w:i w:val="0"/>
                <w:iCs w:val="0"/>
                <w:color w:val="000000"/>
                <w:sz w:val="18"/>
                <w:szCs w:val="18"/>
                <w:u w:val="none"/>
              </w:rPr>
            </w:pPr>
          </w:p>
        </w:tc>
      </w:tr>
      <w:tr w14:paraId="48EA9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044" w:type="dxa"/>
          <w:trHeight w:val="555" w:hRule="atLeast"/>
          <w:jc w:val="center"/>
        </w:trPr>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55885">
            <w:pPr>
              <w:jc w:val="center"/>
              <w:rPr>
                <w:rFonts w:hint="eastAsia" w:ascii="宋体" w:hAnsi="宋体" w:eastAsia="宋体" w:cs="宋体"/>
                <w:i w:val="0"/>
                <w:iCs w:val="0"/>
                <w:color w:val="000000"/>
                <w:sz w:val="18"/>
                <w:szCs w:val="18"/>
                <w:u w:val="none"/>
              </w:rPr>
            </w:pPr>
          </w:p>
        </w:tc>
        <w:tc>
          <w:tcPr>
            <w:tcW w:w="8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1932A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产出指标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（50）</w:t>
            </w:r>
          </w:p>
        </w:tc>
        <w:tc>
          <w:tcPr>
            <w:tcW w:w="8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D47A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353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电视塔的维护保养</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201D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3CF7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A085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D8FE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6B24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317A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07A8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50B12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44" w:type="dxa"/>
          <w:trHeight w:val="555" w:hRule="atLeast"/>
          <w:jc w:val="center"/>
        </w:trPr>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72A23">
            <w:pPr>
              <w:jc w:val="center"/>
              <w:rPr>
                <w:rFonts w:hint="eastAsia" w:ascii="宋体" w:hAnsi="宋体" w:eastAsia="宋体" w:cs="宋体"/>
                <w:i w:val="0"/>
                <w:iCs w:val="0"/>
                <w:color w:val="000000"/>
                <w:sz w:val="18"/>
                <w:szCs w:val="18"/>
                <w:u w:val="none"/>
              </w:rPr>
            </w:pPr>
          </w:p>
        </w:tc>
        <w:tc>
          <w:tcPr>
            <w:tcW w:w="8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33F3F">
            <w:pPr>
              <w:jc w:val="center"/>
              <w:rPr>
                <w:rFonts w:hint="eastAsia" w:ascii="宋体" w:hAnsi="宋体" w:eastAsia="宋体" w:cs="宋体"/>
                <w:b/>
                <w:bCs/>
                <w:i w:val="0"/>
                <w:iCs w:val="0"/>
                <w:color w:val="000000"/>
                <w:sz w:val="18"/>
                <w:szCs w:val="18"/>
                <w:u w:val="none"/>
              </w:rPr>
            </w:pPr>
          </w:p>
        </w:tc>
        <w:tc>
          <w:tcPr>
            <w:tcW w:w="8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8DD07">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34B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广播电视节目安全播出及传输</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124C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BBC9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15FB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5000</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7446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小时</w:t>
            </w: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A927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5000</w:t>
            </w:r>
          </w:p>
        </w:tc>
        <w:tc>
          <w:tcPr>
            <w:tcW w:w="6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C0F4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4C77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525B8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44" w:type="dxa"/>
          <w:trHeight w:val="560" w:hRule="atLeast"/>
          <w:jc w:val="center"/>
        </w:trPr>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BB677">
            <w:pPr>
              <w:jc w:val="center"/>
              <w:rPr>
                <w:rFonts w:hint="eastAsia" w:ascii="宋体" w:hAnsi="宋体" w:eastAsia="宋体" w:cs="宋体"/>
                <w:i w:val="0"/>
                <w:iCs w:val="0"/>
                <w:color w:val="000000"/>
                <w:sz w:val="18"/>
                <w:szCs w:val="18"/>
                <w:u w:val="none"/>
              </w:rPr>
            </w:pPr>
          </w:p>
        </w:tc>
        <w:tc>
          <w:tcPr>
            <w:tcW w:w="8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47995">
            <w:pPr>
              <w:jc w:val="center"/>
              <w:rPr>
                <w:rFonts w:hint="eastAsia" w:ascii="宋体" w:hAnsi="宋体" w:eastAsia="宋体" w:cs="宋体"/>
                <w:b/>
                <w:bCs/>
                <w:i w:val="0"/>
                <w:iCs w:val="0"/>
                <w:color w:val="000000"/>
                <w:sz w:val="18"/>
                <w:szCs w:val="18"/>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B579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220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工作高质量完成率</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BEE0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EDBD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1D28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831F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B083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6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F237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8D03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655C7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44" w:type="dxa"/>
          <w:trHeight w:val="580" w:hRule="atLeast"/>
          <w:jc w:val="center"/>
        </w:trPr>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BE61D">
            <w:pPr>
              <w:jc w:val="center"/>
              <w:rPr>
                <w:rFonts w:hint="eastAsia" w:ascii="宋体" w:hAnsi="宋体" w:eastAsia="宋体" w:cs="宋体"/>
                <w:i w:val="0"/>
                <w:iCs w:val="0"/>
                <w:color w:val="000000"/>
                <w:sz w:val="18"/>
                <w:szCs w:val="18"/>
                <w:u w:val="none"/>
              </w:rPr>
            </w:pPr>
          </w:p>
        </w:tc>
        <w:tc>
          <w:tcPr>
            <w:tcW w:w="8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BCBC5">
            <w:pPr>
              <w:jc w:val="center"/>
              <w:rPr>
                <w:rFonts w:hint="eastAsia" w:ascii="宋体" w:hAnsi="宋体" w:eastAsia="宋体" w:cs="宋体"/>
                <w:b/>
                <w:bCs/>
                <w:i w:val="0"/>
                <w:iCs w:val="0"/>
                <w:color w:val="000000"/>
                <w:sz w:val="18"/>
                <w:szCs w:val="18"/>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AA94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254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任务完成及时率</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BC9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BEDC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D5D9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8898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15D7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6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F229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FC3B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423B3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044" w:type="dxa"/>
          <w:trHeight w:val="540" w:hRule="atLeast"/>
          <w:jc w:val="center"/>
        </w:trPr>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A5A00">
            <w:pPr>
              <w:jc w:val="center"/>
              <w:rPr>
                <w:rFonts w:hint="eastAsia" w:ascii="宋体" w:hAnsi="宋体" w:eastAsia="宋体" w:cs="宋体"/>
                <w:i w:val="0"/>
                <w:iCs w:val="0"/>
                <w:color w:val="000000"/>
                <w:sz w:val="18"/>
                <w:szCs w:val="18"/>
                <w:u w:val="none"/>
              </w:rPr>
            </w:pPr>
          </w:p>
        </w:tc>
        <w:tc>
          <w:tcPr>
            <w:tcW w:w="8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1DDD3">
            <w:pPr>
              <w:jc w:val="center"/>
              <w:rPr>
                <w:rFonts w:hint="eastAsia" w:ascii="宋体" w:hAnsi="宋体" w:eastAsia="宋体" w:cs="宋体"/>
                <w:b/>
                <w:bCs/>
                <w:i w:val="0"/>
                <w:iCs w:val="0"/>
                <w:color w:val="000000"/>
                <w:sz w:val="18"/>
                <w:szCs w:val="18"/>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A307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C49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成本控制率</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03CE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C1AB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7804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4810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CBB6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8058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990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0E08D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044" w:type="dxa"/>
          <w:trHeight w:val="780" w:hRule="atLeast"/>
          <w:jc w:val="center"/>
        </w:trPr>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B3601">
            <w:pPr>
              <w:jc w:val="center"/>
              <w:rPr>
                <w:rFonts w:hint="eastAsia" w:ascii="宋体" w:hAnsi="宋体" w:eastAsia="宋体" w:cs="宋体"/>
                <w:i w:val="0"/>
                <w:iCs w:val="0"/>
                <w:color w:val="000000"/>
                <w:sz w:val="18"/>
                <w:szCs w:val="18"/>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274C6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效益指标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（30）</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1AC8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D8D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宣传活动影响力</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41E4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8463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DE24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D707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E798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6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587F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CC5D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r>
      <w:tr w14:paraId="0BA40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044" w:type="dxa"/>
          <w:trHeight w:val="720" w:hRule="atLeast"/>
          <w:jc w:val="center"/>
        </w:trPr>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DB337">
            <w:pPr>
              <w:jc w:val="center"/>
              <w:rPr>
                <w:rFonts w:hint="eastAsia" w:ascii="宋体" w:hAnsi="宋体" w:eastAsia="宋体" w:cs="宋体"/>
                <w:i w:val="0"/>
                <w:iCs w:val="0"/>
                <w:color w:val="000000"/>
                <w:sz w:val="18"/>
                <w:szCs w:val="18"/>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1EC99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满意度指标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（10）</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5919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83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F38C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1572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8CB7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A465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A22E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6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818E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7514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298B0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44" w:type="dxa"/>
          <w:trHeight w:val="660" w:hRule="atLeast"/>
          <w:jc w:val="center"/>
        </w:trPr>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A901C">
            <w:pPr>
              <w:jc w:val="center"/>
              <w:rPr>
                <w:rFonts w:hint="eastAsia" w:ascii="宋体" w:hAnsi="宋体" w:eastAsia="宋体" w:cs="宋体"/>
                <w:i w:val="0"/>
                <w:iCs w:val="0"/>
                <w:color w:val="000000"/>
                <w:sz w:val="18"/>
                <w:szCs w:val="18"/>
                <w:u w:val="none"/>
              </w:rPr>
            </w:pP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C3CF4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预算执行率</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（10）</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4D1F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F6E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0BA2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94DA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AB69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F00E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F309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EDED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w:t>
            </w:r>
          </w:p>
        </w:tc>
        <w:tc>
          <w:tcPr>
            <w:tcW w:w="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353D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1A9C2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44" w:type="dxa"/>
          <w:trHeight w:val="360" w:hRule="atLeast"/>
          <w:jc w:val="center"/>
        </w:trPr>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CBE95">
            <w:pPr>
              <w:jc w:val="center"/>
              <w:rPr>
                <w:rFonts w:hint="eastAsia" w:ascii="宋体" w:hAnsi="宋体" w:eastAsia="宋体" w:cs="宋体"/>
                <w:i w:val="0"/>
                <w:iCs w:val="0"/>
                <w:color w:val="000000"/>
                <w:sz w:val="18"/>
                <w:szCs w:val="18"/>
                <w:u w:val="none"/>
              </w:rPr>
            </w:pPr>
          </w:p>
        </w:tc>
        <w:tc>
          <w:tcPr>
            <w:tcW w:w="7290"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7B605B1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自评总分</w:t>
            </w:r>
          </w:p>
        </w:tc>
        <w:tc>
          <w:tcPr>
            <w:tcW w:w="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58F46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100</w:t>
            </w:r>
          </w:p>
        </w:tc>
      </w:tr>
      <w:tr w14:paraId="2681C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1044" w:type="dxa"/>
          <w:trHeight w:val="915" w:hRule="atLeast"/>
          <w:jc w:val="center"/>
        </w:trPr>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5DA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五、存在问题、原因及下一步整改措施</w:t>
            </w:r>
          </w:p>
        </w:tc>
        <w:tc>
          <w:tcPr>
            <w:tcW w:w="8211"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2EE4D5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14:paraId="56347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1044" w:type="dxa"/>
          <w:trHeight w:val="390" w:hRule="atLeast"/>
          <w:jc w:val="center"/>
        </w:trPr>
        <w:tc>
          <w:tcPr>
            <w:tcW w:w="810" w:type="dxa"/>
            <w:tcBorders>
              <w:top w:val="nil"/>
              <w:left w:val="nil"/>
              <w:bottom w:val="nil"/>
              <w:right w:val="nil"/>
            </w:tcBorders>
            <w:shd w:val="clear" w:color="auto" w:fill="auto"/>
            <w:vAlign w:val="center"/>
          </w:tcPr>
          <w:p w14:paraId="463A38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填报人：</w:t>
            </w:r>
          </w:p>
        </w:tc>
        <w:tc>
          <w:tcPr>
            <w:tcW w:w="810" w:type="dxa"/>
            <w:gridSpan w:val="2"/>
            <w:tcBorders>
              <w:top w:val="nil"/>
              <w:left w:val="nil"/>
              <w:bottom w:val="nil"/>
              <w:right w:val="nil"/>
            </w:tcBorders>
            <w:shd w:val="clear" w:color="auto" w:fill="auto"/>
            <w:vAlign w:val="center"/>
          </w:tcPr>
          <w:p w14:paraId="5FB0761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刘婉莹</w:t>
            </w:r>
          </w:p>
        </w:tc>
        <w:tc>
          <w:tcPr>
            <w:tcW w:w="810" w:type="dxa"/>
            <w:gridSpan w:val="2"/>
            <w:tcBorders>
              <w:top w:val="nil"/>
              <w:left w:val="nil"/>
              <w:bottom w:val="nil"/>
              <w:right w:val="nil"/>
            </w:tcBorders>
            <w:shd w:val="clear" w:color="auto" w:fill="auto"/>
            <w:vAlign w:val="top"/>
          </w:tcPr>
          <w:p w14:paraId="58F3A5B3">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top"/>
          </w:tcPr>
          <w:p w14:paraId="5F083D34">
            <w:pPr>
              <w:rPr>
                <w:rFonts w:hint="eastAsia" w:ascii="宋体" w:hAnsi="宋体" w:eastAsia="宋体" w:cs="宋体"/>
                <w:i w:val="0"/>
                <w:iCs w:val="0"/>
                <w:color w:val="000000"/>
                <w:sz w:val="18"/>
                <w:szCs w:val="18"/>
                <w:u w:val="none"/>
              </w:rPr>
            </w:pPr>
          </w:p>
        </w:tc>
        <w:tc>
          <w:tcPr>
            <w:tcW w:w="810" w:type="dxa"/>
            <w:gridSpan w:val="2"/>
            <w:tcBorders>
              <w:top w:val="nil"/>
              <w:left w:val="nil"/>
              <w:bottom w:val="nil"/>
              <w:right w:val="nil"/>
            </w:tcBorders>
            <w:shd w:val="clear" w:color="auto" w:fill="auto"/>
            <w:vAlign w:val="top"/>
          </w:tcPr>
          <w:p w14:paraId="78EE32E5">
            <w:pPr>
              <w:rPr>
                <w:rFonts w:hint="eastAsia" w:ascii="宋体" w:hAnsi="宋体" w:eastAsia="宋体" w:cs="宋体"/>
                <w:i w:val="0"/>
                <w:iCs w:val="0"/>
                <w:color w:val="000000"/>
                <w:sz w:val="18"/>
                <w:szCs w:val="18"/>
                <w:u w:val="none"/>
              </w:rPr>
            </w:pPr>
          </w:p>
        </w:tc>
        <w:tc>
          <w:tcPr>
            <w:tcW w:w="810" w:type="dxa"/>
            <w:gridSpan w:val="2"/>
            <w:tcBorders>
              <w:top w:val="nil"/>
              <w:left w:val="nil"/>
              <w:bottom w:val="nil"/>
              <w:right w:val="nil"/>
            </w:tcBorders>
            <w:shd w:val="clear" w:color="auto" w:fill="auto"/>
            <w:vAlign w:val="top"/>
          </w:tcPr>
          <w:p w14:paraId="0FB3B0EA">
            <w:pPr>
              <w:rPr>
                <w:rFonts w:hint="eastAsia" w:ascii="宋体" w:hAnsi="宋体" w:eastAsia="宋体" w:cs="宋体"/>
                <w:i w:val="0"/>
                <w:iCs w:val="0"/>
                <w:color w:val="000000"/>
                <w:sz w:val="18"/>
                <w:szCs w:val="18"/>
                <w:u w:val="none"/>
              </w:rPr>
            </w:pPr>
          </w:p>
        </w:tc>
        <w:tc>
          <w:tcPr>
            <w:tcW w:w="810" w:type="dxa"/>
            <w:gridSpan w:val="2"/>
            <w:tcBorders>
              <w:top w:val="nil"/>
              <w:left w:val="nil"/>
              <w:bottom w:val="nil"/>
              <w:right w:val="nil"/>
            </w:tcBorders>
            <w:shd w:val="clear" w:color="auto" w:fill="auto"/>
            <w:vAlign w:val="top"/>
          </w:tcPr>
          <w:p w14:paraId="2299F66C">
            <w:pPr>
              <w:rPr>
                <w:rFonts w:hint="eastAsia" w:ascii="宋体" w:hAnsi="宋体" w:eastAsia="宋体" w:cs="宋体"/>
                <w:i w:val="0"/>
                <w:iCs w:val="0"/>
                <w:color w:val="000000"/>
                <w:sz w:val="18"/>
                <w:szCs w:val="18"/>
                <w:u w:val="none"/>
              </w:rPr>
            </w:pPr>
          </w:p>
        </w:tc>
        <w:tc>
          <w:tcPr>
            <w:tcW w:w="810" w:type="dxa"/>
            <w:gridSpan w:val="2"/>
            <w:tcBorders>
              <w:top w:val="nil"/>
              <w:left w:val="nil"/>
              <w:bottom w:val="nil"/>
              <w:right w:val="nil"/>
            </w:tcBorders>
            <w:shd w:val="clear" w:color="auto" w:fill="auto"/>
            <w:vAlign w:val="center"/>
          </w:tcPr>
          <w:p w14:paraId="21D218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联系电话：</w:t>
            </w:r>
          </w:p>
        </w:tc>
        <w:tc>
          <w:tcPr>
            <w:tcW w:w="936" w:type="dxa"/>
            <w:gridSpan w:val="2"/>
            <w:tcBorders>
              <w:top w:val="nil"/>
              <w:left w:val="nil"/>
              <w:bottom w:val="nil"/>
              <w:right w:val="nil"/>
            </w:tcBorders>
            <w:shd w:val="clear" w:color="auto" w:fill="auto"/>
            <w:vAlign w:val="center"/>
          </w:tcPr>
          <w:p w14:paraId="31DDC0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6699027</w:t>
            </w:r>
          </w:p>
        </w:tc>
        <w:tc>
          <w:tcPr>
            <w:tcW w:w="684" w:type="dxa"/>
            <w:gridSpan w:val="2"/>
            <w:tcBorders>
              <w:top w:val="nil"/>
              <w:left w:val="nil"/>
              <w:bottom w:val="nil"/>
              <w:right w:val="nil"/>
            </w:tcBorders>
            <w:shd w:val="clear" w:color="auto" w:fill="auto"/>
            <w:vAlign w:val="top"/>
          </w:tcPr>
          <w:p w14:paraId="00127BA0">
            <w:pPr>
              <w:rPr>
                <w:rFonts w:hint="eastAsia" w:ascii="宋体" w:hAnsi="宋体" w:eastAsia="宋体" w:cs="宋体"/>
                <w:i w:val="0"/>
                <w:iCs w:val="0"/>
                <w:color w:val="000000"/>
                <w:sz w:val="18"/>
                <w:szCs w:val="18"/>
                <w:u w:val="none"/>
              </w:rPr>
            </w:pPr>
          </w:p>
        </w:tc>
        <w:tc>
          <w:tcPr>
            <w:tcW w:w="921" w:type="dxa"/>
            <w:gridSpan w:val="2"/>
            <w:tcBorders>
              <w:top w:val="nil"/>
              <w:left w:val="nil"/>
              <w:bottom w:val="nil"/>
              <w:right w:val="nil"/>
            </w:tcBorders>
            <w:shd w:val="clear" w:color="auto" w:fill="auto"/>
            <w:vAlign w:val="top"/>
          </w:tcPr>
          <w:p w14:paraId="3B961598">
            <w:pPr>
              <w:rPr>
                <w:rFonts w:hint="eastAsia" w:ascii="宋体" w:hAnsi="宋体" w:eastAsia="宋体" w:cs="宋体"/>
                <w:i w:val="0"/>
                <w:iCs w:val="0"/>
                <w:color w:val="000000"/>
                <w:sz w:val="18"/>
                <w:szCs w:val="18"/>
                <w:u w:val="none"/>
              </w:rPr>
            </w:pPr>
          </w:p>
        </w:tc>
      </w:tr>
    </w:tbl>
    <w:p w14:paraId="2903CA1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ind w:right="0"/>
        <w:jc w:val="left"/>
        <w:textAlignment w:val="auto"/>
        <w:rPr>
          <w:rFonts w:hint="eastAsia" w:ascii="仿宋_GB2312" w:hAnsi="仿宋_GB2312" w:eastAsia="仿宋_GB2312" w:cs="仿宋_GB2312"/>
          <w:b/>
          <w:bCs/>
          <w:sz w:val="32"/>
          <w:szCs w:val="32"/>
          <w:highlight w:val="none"/>
          <w:lang w:val="en-US" w:eastAsia="zh-CN"/>
        </w:rPr>
      </w:pPr>
    </w:p>
    <w:p w14:paraId="2144766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w:t>
      </w:r>
    </w:p>
    <w:p w14:paraId="732D672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本部门本年度没有财政评价项目绩效评价。</w:t>
      </w:r>
    </w:p>
    <w:p w14:paraId="3A764402">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1F98A48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1.政府性基金预算财政拨款收入支出决算表（公开07表）、国有资本经营预算财政拨款支出决算表（公开08表）无相应收支，故空表列示。</w:t>
      </w:r>
    </w:p>
    <w:p w14:paraId="206256B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6122F8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AEA88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0F64484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4F2E51E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3B32EC5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3E578DD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3462DFD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149DB1C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29C40A4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6F91E42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6FB455B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3DC720D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2A2BCFA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2E83FB2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2E6E558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1654782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276B2EB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4563C2D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6082ACD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6B4AA51-11B9-450B-AEB8-AE556AF09A9B}"/>
  </w:font>
  <w:font w:name="黑体">
    <w:panose1 w:val="02010609060101010101"/>
    <w:charset w:val="86"/>
    <w:family w:val="auto"/>
    <w:pitch w:val="default"/>
    <w:sig w:usb0="800002BF" w:usb1="38CF7CFA" w:usb2="00000016" w:usb3="00000000" w:csb0="00040001" w:csb1="00000000"/>
    <w:embedRegular r:id="rId2" w:fontKey="{A8F74937-96DB-4792-AF62-99E446AAB0A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390EAF1-6258-412B-B75C-413A66508333}"/>
  </w:font>
  <w:font w:name="仿宋">
    <w:panose1 w:val="02010609060101010101"/>
    <w:charset w:val="86"/>
    <w:family w:val="modern"/>
    <w:pitch w:val="default"/>
    <w:sig w:usb0="800002BF" w:usb1="38CF7CFA" w:usb2="00000016" w:usb3="00000000" w:csb0="00040001" w:csb1="00000000"/>
    <w:embedRegular r:id="rId4" w:fontKey="{6E88F98D-084D-4C96-BB31-C0D81B1D5DB7}"/>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4FA8A6F8-C23A-42BE-9DD6-7EAB105EB873}"/>
  </w:font>
  <w:font w:name="楷体_GB2312">
    <w:panose1 w:val="02010609030101010101"/>
    <w:charset w:val="86"/>
    <w:family w:val="auto"/>
    <w:pitch w:val="default"/>
    <w:sig w:usb0="00000001" w:usb1="080E0000" w:usb2="00000000" w:usb3="00000000" w:csb0="00040000" w:csb1="00000000"/>
    <w:embedRegular r:id="rId6" w:fontKey="{B1A9D52E-9248-4F9D-AB87-912E8BB420FF}"/>
  </w:font>
  <w:font w:name="微软雅黑">
    <w:panose1 w:val="020B0503020204020204"/>
    <w:charset w:val="86"/>
    <w:family w:val="auto"/>
    <w:pitch w:val="default"/>
    <w:sig w:usb0="80000287" w:usb1="2ACF3C50" w:usb2="00000016" w:usb3="00000000" w:csb0="0004001F" w:csb1="00000000"/>
    <w:embedRegular r:id="rId7" w:fontKey="{374D3F24-F6AB-4390-9570-9A3E4DCDEC7E}"/>
  </w:font>
  <w:font w:name="方正小标宋_GBK">
    <w:panose1 w:val="02000000000000000000"/>
    <w:charset w:val="86"/>
    <w:family w:val="script"/>
    <w:pitch w:val="default"/>
    <w:sig w:usb0="A00002BF" w:usb1="38CF7CFA" w:usb2="00082016" w:usb3="00000000" w:csb0="00040001" w:csb1="00000000"/>
    <w:embedRegular r:id="rId8" w:fontKey="{A4392CE6-92A3-40D4-9383-7C3CB332D24B}"/>
  </w:font>
  <w:font w:name="仿宋_GB2312">
    <w:panose1 w:val="02010609030101010101"/>
    <w:charset w:val="86"/>
    <w:family w:val="auto"/>
    <w:pitch w:val="default"/>
    <w:sig w:usb0="00000001" w:usb1="080E0000" w:usb2="00000000" w:usb3="00000000" w:csb0="00040000" w:csb1="00000000"/>
    <w:embedRegular r:id="rId9" w:fontKey="{5E85C88B-9F8A-41F7-8137-391DAD62EDC7}"/>
  </w:font>
  <w:font w:name="ArialUnicodeMS">
    <w:altName w:val="Malgun Gothic"/>
    <w:panose1 w:val="00000000000000000000"/>
    <w:charset w:val="81"/>
    <w:family w:val="auto"/>
    <w:pitch w:val="default"/>
    <w:sig w:usb0="00000000" w:usb1="00000000" w:usb2="00000010" w:usb3="00000000" w:csb0="00080001" w:csb1="00000000"/>
    <w:embedRegular r:id="rId10" w:fontKey="{DEAB98AF-C7ED-4220-9863-F25D6F9C0516}"/>
  </w:font>
  <w:font w:name="Malgun Gothic">
    <w:panose1 w:val="020B0503020000020004"/>
    <w:charset w:val="81"/>
    <w:family w:val="auto"/>
    <w:pitch w:val="default"/>
    <w:sig w:usb0="9000002F" w:usb1="29D77CFB" w:usb2="00000012" w:usb3="00000000" w:csb0="00080001" w:csb1="00000000"/>
  </w:font>
  <w:font w:name="Arial Black">
    <w:panose1 w:val="020B0A04020102020204"/>
    <w:charset w:val="00"/>
    <w:family w:val="swiss"/>
    <w:pitch w:val="default"/>
    <w:sig w:usb0="A00002AF" w:usb1="400078FB" w:usb2="00000000" w:usb3="00000000" w:csb0="6000009F" w:csb1="DFD70000"/>
    <w:embedRegular r:id="rId11" w:fontKey="{BB825A6B-F53C-41AC-B398-AC3849748F05}"/>
  </w:font>
  <w:font w:name="DengXian-Regular">
    <w:altName w:val="宋体"/>
    <w:panose1 w:val="00000000000000000000"/>
    <w:charset w:val="86"/>
    <w:family w:val="auto"/>
    <w:pitch w:val="default"/>
    <w:sig w:usb0="00000000" w:usb1="00000000" w:usb2="00000010" w:usb3="00000000" w:csb0="00040001" w:csb1="00000000"/>
    <w:embedRegular r:id="rId12" w:fontKey="{16AC44FC-DC97-43D8-B448-79BBDB89A6AF}"/>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88561">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2AA95">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CBE0C">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19798">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FC112">
    <w:pPr>
      <w:pStyle w:val="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653F68DE"/>
    <w:multiLevelType w:val="singleLevel"/>
    <w:tmpl w:val="653F68DE"/>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B962A4"/>
    <w:rsid w:val="02DA3B1B"/>
    <w:rsid w:val="02E57B4D"/>
    <w:rsid w:val="03450B90"/>
    <w:rsid w:val="037B12D4"/>
    <w:rsid w:val="03804D63"/>
    <w:rsid w:val="03F5128D"/>
    <w:rsid w:val="03FB73B0"/>
    <w:rsid w:val="04642795"/>
    <w:rsid w:val="04654DC4"/>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950353"/>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0833F2"/>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236480"/>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173354"/>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414A61"/>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A1274C"/>
    <w:rsid w:val="50F1461D"/>
    <w:rsid w:val="50FE5411"/>
    <w:rsid w:val="510B072E"/>
    <w:rsid w:val="511B0BF4"/>
    <w:rsid w:val="51264306"/>
    <w:rsid w:val="514E62C9"/>
    <w:rsid w:val="516123CE"/>
    <w:rsid w:val="517C26A6"/>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0A689F"/>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4A3A17"/>
    <w:rsid w:val="68797358"/>
    <w:rsid w:val="6884624F"/>
    <w:rsid w:val="68A519DF"/>
    <w:rsid w:val="68B735CD"/>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4094C"/>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71021B"/>
    <w:rsid w:val="768216BE"/>
    <w:rsid w:val="76C23B43"/>
    <w:rsid w:val="76FD6F97"/>
    <w:rsid w:val="770218E8"/>
    <w:rsid w:val="77607979"/>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chart" Target="charts/chart5.xml"/><Relationship Id="rId18" Type="http://schemas.openxmlformats.org/officeDocument/2006/relationships/chart" Target="charts/chart4.xml"/><Relationship Id="rId17" Type="http://schemas.openxmlformats.org/officeDocument/2006/relationships/chart" Target="charts/chart3.xml"/><Relationship Id="rId16" Type="http://schemas.openxmlformats.org/officeDocument/2006/relationships/chart" Target="charts/chart2.xml"/><Relationship Id="rId15" Type="http://schemas.openxmlformats.org/officeDocument/2006/relationships/chart" Target="charts/chart1.xm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837.51</c:v>
                </c:pt>
                <c:pt idx="1">
                  <c:v>766.4</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8375118.33</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7545648.35</c:v>
                </c:pt>
                <c:pt idx="1">
                  <c:v>829469.98</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766.4</c:v>
                </c:pt>
                <c:pt idx="1">
                  <c:v>766.4</c:v>
                </c:pt>
                <c:pt idx="2">
                  <c:v>766.4</c:v>
                </c:pt>
                <c:pt idx="3">
                  <c:v>766.4</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837.51</c:v>
                </c:pt>
                <c:pt idx="1">
                  <c:v>837.51</c:v>
                </c:pt>
                <c:pt idx="2">
                  <c:v>837.51</c:v>
                </c:pt>
                <c:pt idx="3">
                  <c:v>837.51</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786.16</c:v>
                </c:pt>
                <c:pt idx="1">
                  <c:v>786.16</c:v>
                </c:pt>
                <c:pt idx="2">
                  <c:v>786.16</c:v>
                </c:pt>
                <c:pt idx="3">
                  <c:v>786.16</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837.51</c:v>
                </c:pt>
                <c:pt idx="1">
                  <c:v>837.51</c:v>
                </c:pt>
                <c:pt idx="2">
                  <c:v>837.51</c:v>
                </c:pt>
                <c:pt idx="3">
                  <c:v>837.51</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39</Pages>
  <Words>1090</Words>
  <Characters>1167</Characters>
  <Lines>86</Lines>
  <Paragraphs>24</Paragraphs>
  <TotalTime>5</TotalTime>
  <ScaleCrop>false</ScaleCrop>
  <LinksUpToDate>false</LinksUpToDate>
  <CharactersWithSpaces>1176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王亚茹</cp:lastModifiedBy>
  <cp:lastPrinted>2026-10-13T02:51:00Z</cp:lastPrinted>
  <dcterms:modified xsi:type="dcterms:W3CDTF">2026-10-19T07:23:50Z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D22A868D4F0A4B4EBF7BA427285C8B4B_13</vt:lpwstr>
  </property>
  <property fmtid="{D5CDD505-2E9C-101B-9397-08002B2CF9AE}" pid="4" name="KSOTemplateUUID">
    <vt:lpwstr>v1.0_mb_S7ajbG3IpAnL1wSthNCxfw==</vt:lpwstr>
  </property>
  <property fmtid="{D5CDD505-2E9C-101B-9397-08002B2CF9AE}" pid="5" name="KSOTemplateDocerSaveRecord">
    <vt:lpwstr>eyJoZGlkIjoiYTQyNWJlYjU5NTIzY2NkMTA3ODlkOTNjOGEwYmIxOWIiLCJ1c2VySWQiOiIxNjgyNjk3Njk2In0=</vt:lpwstr>
  </property>
</Properties>
</file>