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sz w:val="44"/>
        </w:rPr>
      </w:pPr>
      <w:bookmarkStart w:id="9" w:name="_GoBack"/>
      <w:bookmarkEnd w:id="9"/>
      <w:r>
        <w:rPr>
          <w:rFonts w:hint="eastAsia" w:ascii="方正小标宋_GBK" w:eastAsia="方正小标宋_GBK"/>
          <w:sz w:val="44"/>
        </w:rPr>
        <w:t>高阳县行政审批局2021年部门预算信息公开情况说明</w:t>
      </w:r>
    </w:p>
    <w:p>
      <w:pPr>
        <w:spacing w:line="500" w:lineRule="exact"/>
        <w:ind w:firstLine="560" w:firstLineChars="200"/>
        <w:jc w:val="left"/>
        <w:rPr>
          <w:rFonts w:hAnsi="宋体"/>
          <w:sz w:val="28"/>
        </w:rPr>
      </w:pPr>
      <w:r>
        <w:rPr>
          <w:rFonts w:hint="eastAsia" w:eastAsia="方正仿宋_GBK"/>
          <w:sz w:val="28"/>
        </w:rPr>
        <w:t>按照</w:t>
      </w:r>
      <w:r>
        <w:rPr>
          <w:rFonts w:hint="eastAsia" w:eastAsia="方正仿宋_GBK"/>
          <w:sz w:val="28"/>
          <w:lang w:eastAsia="zh-CN"/>
        </w:rPr>
        <w:t>《中华人民共和国预算法》</w:t>
      </w:r>
      <w:r>
        <w:rPr>
          <w:rFonts w:hint="eastAsia" w:eastAsia="方正仿宋_GBK"/>
          <w:sz w:val="28"/>
        </w:rPr>
        <w:t>、《地方预决算公开操作规程》和《河北省省级预算公开办法》规定，现将高阳县行政审批局2021年部门预算公开如下：</w:t>
      </w:r>
    </w:p>
    <w:p>
      <w:pPr>
        <w:numPr>
          <w:ilvl w:val="0"/>
          <w:numId w:val="1"/>
        </w:numPr>
        <w:spacing w:before="156" w:beforeLines="50" w:after="156" w:afterLines="50"/>
        <w:ind w:firstLine="640" w:firstLineChars="200"/>
        <w:jc w:val="left"/>
        <w:outlineLvl w:val="2"/>
        <w:rPr>
          <w:rFonts w:ascii="黑体" w:hAnsi="黑体" w:eastAsia="黑体"/>
          <w:sz w:val="32"/>
        </w:rPr>
      </w:pPr>
      <w:bookmarkStart w:id="0" w:name="_Toc66179332"/>
      <w:r>
        <w:rPr>
          <w:rFonts w:hint="eastAsia" w:ascii="黑体" w:hAnsi="黑体" w:eastAsia="黑体"/>
          <w:sz w:val="32"/>
        </w:rPr>
        <w:t>部门职责及机构设置情况</w:t>
      </w:r>
      <w:bookmarkEnd w:id="0"/>
    </w:p>
    <w:p>
      <w:pPr>
        <w:spacing w:before="156" w:beforeLines="50" w:after="156" w:afterLines="50"/>
        <w:jc w:val="left"/>
        <w:outlineLvl w:val="2"/>
        <w:rPr>
          <w:rFonts w:ascii="黑体" w:hAnsi="黑体" w:eastAsia="黑体"/>
          <w:sz w:val="32"/>
        </w:rPr>
      </w:pPr>
      <w:r>
        <w:rPr>
          <w:rFonts w:hint="eastAsia" w:ascii="黑体" w:hAnsi="黑体" w:eastAsia="黑体"/>
          <w:sz w:val="32"/>
        </w:rPr>
        <w:t xml:space="preserve">    </w:t>
      </w:r>
      <w:r>
        <w:rPr>
          <w:rFonts w:hint="eastAsia" w:ascii="方正楷体_GBK" w:eastAsia="方正楷体_GBK"/>
          <w:b/>
          <w:sz w:val="32"/>
        </w:rPr>
        <w:t xml:space="preserve"> 部门职责：</w:t>
      </w:r>
    </w:p>
    <w:p>
      <w:pPr>
        <w:spacing w:line="500" w:lineRule="exact"/>
        <w:ind w:firstLine="560" w:firstLineChars="200"/>
        <w:jc w:val="left"/>
        <w:rPr>
          <w:rFonts w:eastAsia="方正仿宋_GBK"/>
          <w:sz w:val="28"/>
        </w:rPr>
      </w:pPr>
      <w:r>
        <w:rPr>
          <w:rFonts w:eastAsia="方正仿宋_GBK"/>
          <w:sz w:val="28"/>
        </w:rPr>
        <w:t>（一） 贯彻执行国家、省、市“放管服”改革、行政审批制度改革、政务服务管理、公共资源交易、社会信用体系建设有关方针政策和法律法规。起草有关政府规章，协调指导并监督实施。</w:t>
      </w:r>
    </w:p>
    <w:p>
      <w:pPr>
        <w:spacing w:line="500" w:lineRule="exact"/>
        <w:ind w:firstLine="560" w:firstLineChars="200"/>
        <w:jc w:val="left"/>
        <w:rPr>
          <w:rFonts w:eastAsia="方正仿宋_GBK"/>
          <w:sz w:val="28"/>
        </w:rPr>
      </w:pPr>
      <w:r>
        <w:rPr>
          <w:rFonts w:eastAsia="方正仿宋_GBK"/>
          <w:sz w:val="28"/>
        </w:rPr>
        <w:t>（二） 组织协调全县“放管服”改革工作，指导、督促贯彻落实国家、省、市、县关于“放管服”改革重要领域、关键环节重大政策措施，承担推进政府职能转变和“放管服”改革协调小组的日常工作。</w:t>
      </w:r>
    </w:p>
    <w:p>
      <w:pPr>
        <w:spacing w:line="500" w:lineRule="exact"/>
        <w:ind w:firstLine="560" w:firstLineChars="200"/>
        <w:jc w:val="left"/>
        <w:rPr>
          <w:rFonts w:eastAsia="方正仿宋_GBK"/>
          <w:sz w:val="28"/>
        </w:rPr>
      </w:pPr>
      <w:r>
        <w:rPr>
          <w:rFonts w:eastAsia="方正仿宋_GBK"/>
          <w:sz w:val="28"/>
        </w:rPr>
        <w:t>（三） 指导协调全县行政审批制度改革工作。建立健全行政审批管理体系；推进简政放权，衔接取消和下放行政审批服务事项；协调推进行政审批标准化工作；承担县行政审批制度改革工作领导小组的日常工作。</w:t>
      </w:r>
    </w:p>
    <w:p>
      <w:pPr>
        <w:spacing w:line="500" w:lineRule="exact"/>
        <w:ind w:firstLine="560" w:firstLineChars="200"/>
        <w:jc w:val="left"/>
        <w:rPr>
          <w:rFonts w:eastAsia="方正仿宋_GBK"/>
          <w:sz w:val="28"/>
        </w:rPr>
      </w:pPr>
      <w:r>
        <w:rPr>
          <w:rFonts w:eastAsia="方正仿宋_GBK"/>
          <w:sz w:val="28"/>
        </w:rPr>
        <w:t>（四） 指导协调全县政务服务管理工作。负责优化政务服务供给，降低制度性交易成本，提升政务服务效能；负责推进审批服务便民化；负责探索建立审批与监管的有效衔接机制；指导协调县直有关部门为公民、法人或其他组织提供规范、高效、优质的政务服务。</w:t>
      </w:r>
    </w:p>
    <w:p>
      <w:pPr>
        <w:spacing w:line="500" w:lineRule="exact"/>
        <w:ind w:firstLine="560" w:firstLineChars="200"/>
        <w:jc w:val="left"/>
        <w:rPr>
          <w:rFonts w:eastAsia="方正仿宋_GBK"/>
          <w:sz w:val="28"/>
        </w:rPr>
      </w:pPr>
      <w:r>
        <w:rPr>
          <w:rFonts w:eastAsia="方正仿宋_GBK"/>
          <w:sz w:val="28"/>
        </w:rPr>
        <w:t>（五） 负责职责范围内县级行政许可事项和相关行政服务事项的办理及相关行政性收费；负责协调和监督管理暂未划转行政审批服务事项和公共服务事项的集中统一办理；推进重点项目审批服务的综合协调和督办；组织相关部门开展审批服务事项的联合办理和联合会办；研究推进并联审批服务工作。</w:t>
      </w:r>
    </w:p>
    <w:p>
      <w:pPr>
        <w:spacing w:line="500" w:lineRule="exact"/>
        <w:ind w:firstLine="560" w:firstLineChars="200"/>
        <w:jc w:val="left"/>
        <w:rPr>
          <w:rFonts w:eastAsia="方正仿宋_GBK"/>
          <w:sz w:val="28"/>
        </w:rPr>
      </w:pPr>
      <w:r>
        <w:rPr>
          <w:rFonts w:eastAsia="方正仿宋_GBK"/>
          <w:sz w:val="28"/>
        </w:rPr>
        <w:t>（六） 协调指导公共资源交易工作。负责拟订公共资源交易管理制度和规则；负责编制公共资源交易目录；负责推进公共资源交易电子服务系统建设；负责推进公共资源交易领域信用体系建设；指导并监督公共资源交易项目进场交易；指导公共资源交易项目场内交易活动的监督工作，将违法违规问题移送有关部门处理；协调开展公共资源交易活动的联动执法。</w:t>
      </w:r>
    </w:p>
    <w:p>
      <w:pPr>
        <w:spacing w:line="500" w:lineRule="exact"/>
        <w:ind w:firstLine="560" w:firstLineChars="200"/>
        <w:jc w:val="left"/>
        <w:rPr>
          <w:rFonts w:eastAsia="方正仿宋_GBK"/>
          <w:sz w:val="28"/>
        </w:rPr>
      </w:pPr>
      <w:r>
        <w:rPr>
          <w:rFonts w:eastAsia="方正仿宋_GBK"/>
          <w:sz w:val="28"/>
        </w:rPr>
        <w:t>（七） 统筹推进全县“互联网+政务服务”工作，构建全县一体化政务服务平台。推行政务服务事项网上办理，形成管理机构、实体大厅、网上平台“三位一体”的政务服务管理模式；推进全县电子证照库建设；推进全县政务服务平台规范化、标准化、集约化建设和互联互通、数据共享。</w:t>
      </w:r>
    </w:p>
    <w:p>
      <w:pPr>
        <w:spacing w:line="500" w:lineRule="exact"/>
        <w:ind w:firstLine="560" w:firstLineChars="200"/>
        <w:jc w:val="left"/>
        <w:rPr>
          <w:rFonts w:eastAsia="方正仿宋_GBK"/>
          <w:sz w:val="28"/>
        </w:rPr>
      </w:pPr>
      <w:r>
        <w:rPr>
          <w:rFonts w:eastAsia="方正仿宋_GBK"/>
          <w:sz w:val="28"/>
        </w:rPr>
        <w:t>（八） 引导和推进全县社会信用体系建设。组织制定发展规划和年度工作要点；推动健全信用法规制度和标准体系；负责全县信用信息数据库、共享平台和网站建设，推动信用信息的汇集、交换、共享和应用；负责守信联合激励和失信联合惩戒制度建设和工作实施，建立诚信综合监督体系；组织开展失信问题专项治理；加强城市信用建设，培育和发展信用服务市场。</w:t>
      </w:r>
    </w:p>
    <w:p>
      <w:pPr>
        <w:spacing w:line="500" w:lineRule="exact"/>
        <w:ind w:firstLine="560" w:firstLineChars="200"/>
        <w:jc w:val="left"/>
        <w:rPr>
          <w:rFonts w:eastAsia="方正仿宋_GBK"/>
          <w:sz w:val="28"/>
        </w:rPr>
      </w:pPr>
      <w:r>
        <w:rPr>
          <w:rFonts w:eastAsia="方正仿宋_GBK"/>
          <w:sz w:val="28"/>
        </w:rPr>
        <w:t>（九） 建立健全政务服务、行政审批服务效能可量化的考核评价制度；负责进驻公共服务、便民服务、中介服务的规范和管理；负责对进驻部门进行综合考评；负责对行政审批窗口工作人员的日常管理和绩效考核；负责政务服务、公共资源交易投诉举报的承办、转办和督办工作。</w:t>
      </w:r>
    </w:p>
    <w:p>
      <w:pPr>
        <w:spacing w:line="500" w:lineRule="exact"/>
        <w:ind w:firstLine="560" w:firstLineChars="200"/>
        <w:jc w:val="left"/>
        <w:rPr>
          <w:rFonts w:eastAsia="方正仿宋_GBK"/>
          <w:sz w:val="28"/>
        </w:rPr>
      </w:pPr>
      <w:r>
        <w:rPr>
          <w:rFonts w:eastAsia="方正仿宋_GBK"/>
          <w:sz w:val="28"/>
        </w:rPr>
        <w:t>（十） 指导和监督政务服务中心和公共资源交易中心规范化建设，协调县有关部门建立完善县审批服务联动工作机制。</w:t>
      </w:r>
    </w:p>
    <w:p>
      <w:pPr>
        <w:spacing w:line="500" w:lineRule="exact"/>
        <w:ind w:firstLine="560" w:firstLineChars="200"/>
        <w:jc w:val="left"/>
        <w:rPr>
          <w:rFonts w:eastAsia="方正仿宋_GBK"/>
          <w:sz w:val="28"/>
        </w:rPr>
      </w:pPr>
      <w:r>
        <w:rPr>
          <w:rFonts w:eastAsia="方正仿宋_GBK"/>
          <w:sz w:val="28"/>
        </w:rPr>
        <w:t>（十一） 承办县委、县政府交办的其他工作。</w:t>
      </w:r>
    </w:p>
    <w:p>
      <w:pPr>
        <w:spacing w:line="500" w:lineRule="exact"/>
        <w:ind w:firstLine="560" w:firstLineChars="200"/>
        <w:jc w:val="left"/>
        <w:rPr>
          <w:rFonts w:eastAsia="方正仿宋_GBK"/>
          <w:sz w:val="28"/>
        </w:rPr>
      </w:pPr>
    </w:p>
    <w:p>
      <w:pPr>
        <w:ind w:firstLine="643" w:firstLineChars="200"/>
        <w:jc w:val="left"/>
        <w:rPr>
          <w:rFonts w:hAnsi="宋体"/>
          <w:b/>
          <w:sz w:val="32"/>
        </w:rPr>
      </w:pPr>
      <w:r>
        <w:rPr>
          <w:rFonts w:hint="eastAsia" w:ascii="方正楷体_GBK" w:eastAsia="方正楷体_GBK"/>
          <w:b/>
          <w:sz w:val="32"/>
        </w:rPr>
        <w:t>机构设置：</w:t>
      </w:r>
    </w:p>
    <w:p>
      <w:pPr>
        <w:jc w:val="center"/>
        <w:rPr>
          <w:rFonts w:hAnsi="宋体"/>
          <w:sz w:val="32"/>
        </w:rPr>
      </w:pPr>
      <w:r>
        <w:rPr>
          <w:rFonts w:hint="eastAsia" w:ascii="方正小标宋_GBK" w:eastAsia="方正小标宋_GBK"/>
          <w:sz w:val="32"/>
        </w:rPr>
        <w:t>部门机构设置情况</w:t>
      </w:r>
    </w:p>
    <w:tbl>
      <w:tblPr>
        <w:tblStyle w:val="2"/>
        <w:tblW w:w="122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01"/>
        <w:gridCol w:w="2854"/>
        <w:gridCol w:w="1984"/>
        <w:gridCol w:w="31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4301" w:type="dxa"/>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2854" w:type="dxa"/>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984" w:type="dxa"/>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119" w:type="dxa"/>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01" w:type="dxa"/>
            <w:vAlign w:val="center"/>
          </w:tcPr>
          <w:p>
            <w:pPr>
              <w:spacing w:line="300" w:lineRule="exact"/>
              <w:jc w:val="left"/>
              <w:rPr>
                <w:rFonts w:ascii="方正书宋_GBK" w:eastAsia="方正书宋_GBK"/>
              </w:rPr>
            </w:pPr>
            <w:r>
              <w:rPr>
                <w:rFonts w:hint="eastAsia" w:ascii="方正书宋_GBK" w:eastAsia="方正书宋_GBK"/>
              </w:rPr>
              <w:t>高阳县行政审批局（行政）</w:t>
            </w:r>
          </w:p>
        </w:tc>
        <w:tc>
          <w:tcPr>
            <w:tcW w:w="285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984"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119"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01" w:type="dxa"/>
            <w:vAlign w:val="center"/>
          </w:tcPr>
          <w:p>
            <w:pPr>
              <w:spacing w:line="300" w:lineRule="exact"/>
              <w:jc w:val="left"/>
              <w:rPr>
                <w:rFonts w:ascii="方正书宋_GBK" w:eastAsia="方正书宋_GBK"/>
              </w:rPr>
            </w:pPr>
            <w:r>
              <w:rPr>
                <w:rFonts w:hint="eastAsia" w:ascii="方正书宋_GBK" w:eastAsia="方正书宋_GBK"/>
              </w:rPr>
              <w:t>高阳县行政审批局（事业）</w:t>
            </w:r>
          </w:p>
        </w:tc>
        <w:tc>
          <w:tcPr>
            <w:tcW w:w="285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984"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119"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spacing w:before="156" w:beforeLines="50" w:after="156" w:afterLines="50"/>
        <w:ind w:firstLine="640" w:firstLineChars="200"/>
        <w:jc w:val="left"/>
        <w:outlineLvl w:val="2"/>
        <w:rPr>
          <w:rFonts w:hAnsi="宋体"/>
          <w:sz w:val="32"/>
        </w:rPr>
      </w:pPr>
      <w:bookmarkStart w:id="1" w:name="_Toc66179333"/>
      <w:r>
        <w:rPr>
          <w:rFonts w:hint="eastAsia" w:ascii="黑体" w:hAnsi="黑体" w:eastAsia="黑体"/>
          <w:sz w:val="32"/>
        </w:rPr>
        <w:t>二、部门预算安排的总体情况</w:t>
      </w:r>
      <w:bookmarkEnd w:id="1"/>
    </w:p>
    <w:p>
      <w:pPr>
        <w:spacing w:line="500" w:lineRule="exact"/>
        <w:ind w:firstLine="560" w:firstLineChars="200"/>
        <w:jc w:val="left"/>
        <w:rPr>
          <w:rFonts w:hAnsi="宋体"/>
          <w:sz w:val="28"/>
        </w:rPr>
      </w:pPr>
      <w:r>
        <w:rPr>
          <w:rFonts w:hint="eastAsia" w:eastAsia="方正仿宋_GBK"/>
          <w:sz w:val="28"/>
        </w:rPr>
        <w:t>按照预算管理有关规定，目前我县部门预算的编制实行综合预算管理，即全部收入和支出都反映在预算中。高阳县行政审批局机关及所属事业单位的收支包含在部门预算中。</w:t>
      </w:r>
    </w:p>
    <w:p>
      <w:pPr>
        <w:spacing w:line="500" w:lineRule="exact"/>
        <w:ind w:firstLine="560" w:firstLineChars="200"/>
        <w:jc w:val="left"/>
        <w:rPr>
          <w:rFonts w:eastAsia="方正仿宋_GBK"/>
          <w:sz w:val="28"/>
        </w:rPr>
      </w:pPr>
      <w:r>
        <w:rPr>
          <w:rFonts w:hint="eastAsia" w:eastAsia="方正仿宋_GBK"/>
          <w:sz w:val="28"/>
        </w:rPr>
        <w:t>1</w:t>
      </w:r>
      <w:r>
        <w:rPr>
          <w:rFonts w:eastAsia="方正仿宋_GBK"/>
          <w:sz w:val="28"/>
        </w:rPr>
        <w:t>、收入说明</w:t>
      </w:r>
    </w:p>
    <w:p>
      <w:pPr>
        <w:spacing w:line="500" w:lineRule="exact"/>
        <w:ind w:firstLine="560" w:firstLineChars="200"/>
        <w:jc w:val="left"/>
        <w:rPr>
          <w:rFonts w:eastAsia="方正仿宋_GBK"/>
          <w:sz w:val="28"/>
        </w:rPr>
      </w:pPr>
      <w:r>
        <w:rPr>
          <w:rFonts w:eastAsia="方正仿宋_GBK"/>
          <w:sz w:val="28"/>
        </w:rPr>
        <w:t>2021年高阳县行政审批局部门收入预算总额为50885</w:t>
      </w:r>
      <w:r>
        <w:rPr>
          <w:rFonts w:hint="eastAsia" w:eastAsia="方正仿宋_GBK"/>
          <w:sz w:val="28"/>
        </w:rPr>
        <w:t>00</w:t>
      </w:r>
      <w:r>
        <w:rPr>
          <w:rFonts w:eastAsia="方正仿宋_GBK"/>
          <w:sz w:val="28"/>
        </w:rPr>
        <w:t>元。按资金来源，一般公共预算收入50885</w:t>
      </w:r>
      <w:r>
        <w:rPr>
          <w:rFonts w:hint="eastAsia" w:eastAsia="方正仿宋_GBK"/>
          <w:sz w:val="28"/>
        </w:rPr>
        <w:t>00</w:t>
      </w:r>
      <w:r>
        <w:rPr>
          <w:rFonts w:eastAsia="方正仿宋_GBK"/>
          <w:sz w:val="28"/>
        </w:rPr>
        <w:t>元，政府性基金收入0元，财政专户核拨收入0元，其他收入来源0元。</w:t>
      </w:r>
    </w:p>
    <w:p>
      <w:pPr>
        <w:spacing w:line="500" w:lineRule="exact"/>
        <w:ind w:firstLine="560" w:firstLineChars="200"/>
        <w:jc w:val="left"/>
        <w:rPr>
          <w:rFonts w:eastAsia="方正仿宋_GBK"/>
          <w:sz w:val="28"/>
        </w:rPr>
      </w:pPr>
      <w:r>
        <w:rPr>
          <w:rFonts w:eastAsia="方正仿宋_GBK"/>
          <w:sz w:val="28"/>
        </w:rPr>
        <w:t>其中：人员经费预算为 14201</w:t>
      </w:r>
      <w:r>
        <w:rPr>
          <w:rFonts w:hint="eastAsia" w:eastAsia="方正仿宋_GBK"/>
          <w:sz w:val="28"/>
        </w:rPr>
        <w:t>00</w:t>
      </w:r>
      <w:r>
        <w:rPr>
          <w:rFonts w:eastAsia="方正仿宋_GBK"/>
          <w:sz w:val="28"/>
        </w:rPr>
        <w:t>元</w:t>
      </w:r>
    </w:p>
    <w:p>
      <w:pPr>
        <w:spacing w:line="500" w:lineRule="exact"/>
        <w:ind w:firstLine="560" w:firstLineChars="200"/>
        <w:jc w:val="left"/>
        <w:rPr>
          <w:rFonts w:eastAsia="方正仿宋_GBK"/>
          <w:sz w:val="28"/>
        </w:rPr>
      </w:pPr>
      <w:r>
        <w:rPr>
          <w:rFonts w:eastAsia="方正仿宋_GBK"/>
          <w:sz w:val="28"/>
        </w:rPr>
        <w:t>          日常公用经费预算为3544</w:t>
      </w:r>
      <w:r>
        <w:rPr>
          <w:rFonts w:hint="eastAsia" w:eastAsia="方正仿宋_GBK"/>
          <w:sz w:val="28"/>
        </w:rPr>
        <w:t>00</w:t>
      </w:r>
      <w:r>
        <w:rPr>
          <w:rFonts w:eastAsia="方正仿宋_GBK"/>
          <w:sz w:val="28"/>
        </w:rPr>
        <w:t>元</w:t>
      </w:r>
    </w:p>
    <w:p>
      <w:pPr>
        <w:spacing w:line="500" w:lineRule="exact"/>
        <w:ind w:firstLine="560" w:firstLineChars="200"/>
        <w:jc w:val="left"/>
        <w:rPr>
          <w:rFonts w:eastAsia="方正仿宋_GBK"/>
          <w:sz w:val="28"/>
        </w:rPr>
      </w:pPr>
      <w:r>
        <w:rPr>
          <w:rFonts w:eastAsia="方正仿宋_GBK"/>
          <w:sz w:val="28"/>
        </w:rPr>
        <w:t>项目经费预算为 3314</w:t>
      </w:r>
      <w:r>
        <w:rPr>
          <w:rFonts w:hint="eastAsia" w:eastAsia="方正仿宋_GBK"/>
          <w:sz w:val="28"/>
        </w:rPr>
        <w:t>000</w:t>
      </w:r>
      <w:r>
        <w:rPr>
          <w:rFonts w:eastAsia="方正仿宋_GBK"/>
          <w:sz w:val="28"/>
        </w:rPr>
        <w:t>元</w:t>
      </w:r>
    </w:p>
    <w:p>
      <w:pPr>
        <w:spacing w:line="500" w:lineRule="exact"/>
        <w:ind w:firstLine="560" w:firstLineChars="200"/>
        <w:jc w:val="left"/>
        <w:rPr>
          <w:rFonts w:eastAsia="方正仿宋_GBK"/>
          <w:sz w:val="28"/>
        </w:rPr>
      </w:pPr>
      <w:r>
        <w:rPr>
          <w:rFonts w:eastAsia="方正仿宋_GBK"/>
          <w:sz w:val="28"/>
        </w:rPr>
        <w:t> </w:t>
      </w:r>
      <w:r>
        <w:rPr>
          <w:rFonts w:hint="eastAsia" w:eastAsia="方正仿宋_GBK"/>
          <w:sz w:val="28"/>
        </w:rPr>
        <w:t>2</w:t>
      </w:r>
      <w:r>
        <w:rPr>
          <w:rFonts w:eastAsia="方正仿宋_GBK"/>
          <w:sz w:val="28"/>
        </w:rPr>
        <w:t>、支出说明</w:t>
      </w:r>
    </w:p>
    <w:p>
      <w:pPr>
        <w:spacing w:line="500" w:lineRule="exact"/>
        <w:ind w:firstLine="560" w:firstLineChars="200"/>
        <w:jc w:val="left"/>
        <w:rPr>
          <w:rFonts w:eastAsia="方正仿宋_GBK"/>
          <w:sz w:val="28"/>
        </w:rPr>
      </w:pPr>
      <w:r>
        <w:rPr>
          <w:rFonts w:eastAsia="方正仿宋_GBK"/>
          <w:sz w:val="28"/>
        </w:rPr>
        <w:t>2021年部门支出安排预算总额50885</w:t>
      </w:r>
      <w:r>
        <w:rPr>
          <w:rFonts w:hint="eastAsia" w:eastAsia="方正仿宋_GBK"/>
          <w:sz w:val="28"/>
        </w:rPr>
        <w:t>00</w:t>
      </w:r>
      <w:r>
        <w:rPr>
          <w:rFonts w:eastAsia="方正仿宋_GBK"/>
          <w:sz w:val="28"/>
        </w:rPr>
        <w:t>元。</w:t>
      </w:r>
    </w:p>
    <w:p>
      <w:pPr>
        <w:spacing w:line="500" w:lineRule="exact"/>
        <w:ind w:firstLine="560" w:firstLineChars="200"/>
        <w:jc w:val="left"/>
        <w:rPr>
          <w:rFonts w:eastAsia="方正仿宋_GBK"/>
          <w:sz w:val="28"/>
        </w:rPr>
      </w:pPr>
      <w:r>
        <w:rPr>
          <w:rFonts w:eastAsia="方正仿宋_GBK"/>
          <w:sz w:val="28"/>
        </w:rPr>
        <w:t>基本支出17745</w:t>
      </w:r>
      <w:r>
        <w:rPr>
          <w:rFonts w:hint="eastAsia" w:eastAsia="方正仿宋_GBK"/>
          <w:sz w:val="28"/>
        </w:rPr>
        <w:t>00</w:t>
      </w:r>
      <w:r>
        <w:rPr>
          <w:rFonts w:eastAsia="方正仿宋_GBK"/>
          <w:sz w:val="28"/>
        </w:rPr>
        <w:t>元</w:t>
      </w:r>
    </w:p>
    <w:p>
      <w:pPr>
        <w:spacing w:line="500" w:lineRule="exact"/>
        <w:ind w:firstLine="560" w:firstLineChars="200"/>
        <w:jc w:val="left"/>
        <w:rPr>
          <w:rFonts w:eastAsia="方正仿宋_GBK"/>
          <w:sz w:val="28"/>
        </w:rPr>
      </w:pPr>
      <w:r>
        <w:rPr>
          <w:rFonts w:eastAsia="方正仿宋_GBK"/>
          <w:sz w:val="28"/>
        </w:rPr>
        <w:t>其中：人员经费 14201</w:t>
      </w:r>
      <w:r>
        <w:rPr>
          <w:rFonts w:hint="eastAsia" w:eastAsia="方正仿宋_GBK"/>
          <w:sz w:val="28"/>
        </w:rPr>
        <w:t>00</w:t>
      </w:r>
      <w:r>
        <w:rPr>
          <w:rFonts w:eastAsia="方正仿宋_GBK"/>
          <w:sz w:val="28"/>
        </w:rPr>
        <w:t>元</w:t>
      </w:r>
    </w:p>
    <w:p>
      <w:pPr>
        <w:spacing w:line="500" w:lineRule="exact"/>
        <w:ind w:firstLine="560" w:firstLineChars="200"/>
        <w:jc w:val="left"/>
        <w:rPr>
          <w:rFonts w:eastAsia="方正仿宋_GBK"/>
          <w:sz w:val="28"/>
        </w:rPr>
      </w:pPr>
      <w:r>
        <w:rPr>
          <w:rFonts w:eastAsia="方正仿宋_GBK"/>
          <w:sz w:val="28"/>
        </w:rPr>
        <w:t>         日常公用经费3544</w:t>
      </w:r>
      <w:r>
        <w:rPr>
          <w:rFonts w:hint="eastAsia" w:eastAsia="方正仿宋_GBK"/>
          <w:sz w:val="28"/>
        </w:rPr>
        <w:t>00</w:t>
      </w:r>
      <w:r>
        <w:rPr>
          <w:rFonts w:eastAsia="方正仿宋_GBK"/>
          <w:sz w:val="28"/>
        </w:rPr>
        <w:t>元</w:t>
      </w:r>
    </w:p>
    <w:p>
      <w:pPr>
        <w:spacing w:line="500" w:lineRule="exact"/>
        <w:ind w:firstLine="560" w:firstLineChars="200"/>
        <w:jc w:val="left"/>
        <w:rPr>
          <w:rFonts w:eastAsia="方正仿宋_GBK"/>
          <w:sz w:val="28"/>
        </w:rPr>
      </w:pPr>
      <w:r>
        <w:rPr>
          <w:rFonts w:eastAsia="方正仿宋_GBK"/>
          <w:sz w:val="28"/>
        </w:rPr>
        <w:t>项目支出 3314</w:t>
      </w:r>
      <w:r>
        <w:rPr>
          <w:rFonts w:hint="eastAsia" w:eastAsia="方正仿宋_GBK"/>
          <w:sz w:val="28"/>
        </w:rPr>
        <w:t>000</w:t>
      </w:r>
      <w:r>
        <w:rPr>
          <w:rFonts w:eastAsia="方正仿宋_GBK"/>
          <w:sz w:val="28"/>
        </w:rPr>
        <w:t>元</w:t>
      </w:r>
    </w:p>
    <w:p>
      <w:pPr>
        <w:spacing w:line="500" w:lineRule="exact"/>
        <w:ind w:firstLine="560" w:firstLineChars="200"/>
        <w:jc w:val="left"/>
        <w:rPr>
          <w:rFonts w:eastAsia="方正仿宋_GBK"/>
          <w:sz w:val="28"/>
        </w:rPr>
      </w:pPr>
      <w:r>
        <w:rPr>
          <w:rFonts w:eastAsia="方正仿宋_GBK"/>
          <w:sz w:val="28"/>
        </w:rPr>
        <w:t> 其中：本级支出 3314</w:t>
      </w:r>
      <w:r>
        <w:rPr>
          <w:rFonts w:hint="eastAsia" w:eastAsia="方正仿宋_GBK"/>
          <w:sz w:val="28"/>
        </w:rPr>
        <w:t>000</w:t>
      </w:r>
      <w:r>
        <w:rPr>
          <w:rFonts w:eastAsia="方正仿宋_GBK"/>
          <w:sz w:val="28"/>
        </w:rPr>
        <w:t>元，主要用于审批局劳务派遣人员的劳务费、综合评审费、网络通讯服务费、存量档案电子化服务费以及行政审批、公共资源交易中心开展业务活动的专项经费。</w:t>
      </w:r>
    </w:p>
    <w:p>
      <w:pPr>
        <w:spacing w:line="500" w:lineRule="exact"/>
        <w:ind w:firstLine="560" w:firstLineChars="200"/>
        <w:jc w:val="left"/>
        <w:rPr>
          <w:rFonts w:eastAsia="方正仿宋_GBK"/>
          <w:sz w:val="28"/>
        </w:rPr>
      </w:pPr>
      <w:r>
        <w:rPr>
          <w:rFonts w:eastAsia="方正仿宋_GBK"/>
          <w:sz w:val="28"/>
        </w:rPr>
        <w:t> </w:t>
      </w:r>
      <w:r>
        <w:rPr>
          <w:rFonts w:hint="eastAsia" w:eastAsia="方正仿宋_GBK"/>
          <w:sz w:val="28"/>
        </w:rPr>
        <w:t>3</w:t>
      </w:r>
      <w:r>
        <w:rPr>
          <w:rFonts w:eastAsia="方正仿宋_GBK"/>
          <w:sz w:val="28"/>
        </w:rPr>
        <w:t>、比上年增减情况</w:t>
      </w:r>
    </w:p>
    <w:p>
      <w:pPr>
        <w:spacing w:line="500" w:lineRule="exact"/>
        <w:ind w:firstLine="560" w:firstLineChars="200"/>
        <w:jc w:val="left"/>
        <w:rPr>
          <w:rFonts w:eastAsia="方正仿宋_GBK"/>
          <w:sz w:val="28"/>
        </w:rPr>
      </w:pPr>
      <w:r>
        <w:rPr>
          <w:rFonts w:eastAsia="方正仿宋_GBK"/>
          <w:sz w:val="28"/>
        </w:rPr>
        <w:t>本年度预算收支安排50885</w:t>
      </w:r>
      <w:r>
        <w:rPr>
          <w:rFonts w:hint="eastAsia" w:eastAsia="方正仿宋_GBK"/>
          <w:sz w:val="28"/>
        </w:rPr>
        <w:t>00</w:t>
      </w:r>
      <w:r>
        <w:rPr>
          <w:rFonts w:eastAsia="方正仿宋_GBK"/>
          <w:sz w:val="28"/>
        </w:rPr>
        <w:t>元，较上年增加10626</w:t>
      </w:r>
      <w:r>
        <w:rPr>
          <w:rFonts w:hint="eastAsia" w:eastAsia="方正仿宋_GBK"/>
          <w:sz w:val="28"/>
        </w:rPr>
        <w:t>00</w:t>
      </w:r>
      <w:r>
        <w:rPr>
          <w:rFonts w:eastAsia="方正仿宋_GBK"/>
          <w:sz w:val="28"/>
        </w:rPr>
        <w:t>元。其中:基本支出增加3054</w:t>
      </w:r>
      <w:r>
        <w:rPr>
          <w:rFonts w:hint="eastAsia" w:eastAsia="方正仿宋_GBK"/>
          <w:sz w:val="28"/>
        </w:rPr>
        <w:t>00</w:t>
      </w:r>
      <w:r>
        <w:rPr>
          <w:rFonts w:eastAsia="方正仿宋_GBK"/>
          <w:sz w:val="28"/>
        </w:rPr>
        <w:t>元，主要原因是在职人员增加（新招录公务员），人员经费和日常公用经费增加；项目支出增加7572</w:t>
      </w:r>
      <w:r>
        <w:rPr>
          <w:rFonts w:hint="eastAsia" w:eastAsia="方正仿宋_GBK"/>
          <w:sz w:val="28"/>
        </w:rPr>
        <w:t>00</w:t>
      </w:r>
      <w:r>
        <w:rPr>
          <w:rFonts w:eastAsia="方正仿宋_GBK"/>
          <w:sz w:val="28"/>
        </w:rPr>
        <w:t>元。主要原因是综合评审费和存量档案电子化服务费增加。</w:t>
      </w:r>
    </w:p>
    <w:p>
      <w:pPr>
        <w:spacing w:before="156" w:beforeLines="50" w:after="156" w:afterLines="50"/>
        <w:ind w:firstLine="640" w:firstLineChars="200"/>
        <w:jc w:val="left"/>
        <w:outlineLvl w:val="2"/>
        <w:rPr>
          <w:rFonts w:hAnsi="宋体"/>
          <w:sz w:val="32"/>
        </w:rPr>
      </w:pPr>
      <w:bookmarkStart w:id="2" w:name="_Toc66179334"/>
      <w:r>
        <w:rPr>
          <w:rFonts w:hint="eastAsia" w:ascii="黑体" w:hAnsi="黑体" w:eastAsia="黑体"/>
          <w:sz w:val="32"/>
        </w:rPr>
        <w:t>三、机关运行经费安排情况</w:t>
      </w:r>
      <w:bookmarkEnd w:id="2"/>
    </w:p>
    <w:p>
      <w:pPr>
        <w:spacing w:line="500" w:lineRule="exact"/>
        <w:ind w:firstLine="560" w:firstLineChars="200"/>
        <w:jc w:val="left"/>
        <w:rPr>
          <w:rFonts w:eastAsia="方正仿宋_GBK"/>
          <w:sz w:val="28"/>
        </w:rPr>
      </w:pPr>
      <w:r>
        <w:rPr>
          <w:rFonts w:eastAsia="方正仿宋_GBK"/>
          <w:sz w:val="28"/>
        </w:rPr>
        <w:t> 2021年，我部门机关运行经费安排3544</w:t>
      </w:r>
      <w:r>
        <w:rPr>
          <w:rFonts w:hint="eastAsia" w:eastAsia="方正仿宋_GBK"/>
          <w:sz w:val="28"/>
        </w:rPr>
        <w:t>00</w:t>
      </w:r>
      <w:r>
        <w:rPr>
          <w:rFonts w:eastAsia="方正仿宋_GBK"/>
          <w:sz w:val="28"/>
        </w:rPr>
        <w:t>元，其中：办公费41</w:t>
      </w:r>
      <w:r>
        <w:rPr>
          <w:rFonts w:hint="eastAsia" w:eastAsia="方正仿宋_GBK"/>
          <w:sz w:val="28"/>
        </w:rPr>
        <w:t>000</w:t>
      </w:r>
      <w:r>
        <w:rPr>
          <w:rFonts w:eastAsia="方正仿宋_GBK"/>
          <w:sz w:val="28"/>
        </w:rPr>
        <w:t>元，水费11</w:t>
      </w:r>
      <w:r>
        <w:rPr>
          <w:rFonts w:hint="eastAsia" w:eastAsia="方正仿宋_GBK"/>
          <w:sz w:val="28"/>
        </w:rPr>
        <w:t>000</w:t>
      </w:r>
      <w:r>
        <w:rPr>
          <w:rFonts w:eastAsia="方正仿宋_GBK"/>
          <w:sz w:val="28"/>
        </w:rPr>
        <w:t>元，邮电费674</w:t>
      </w:r>
      <w:r>
        <w:rPr>
          <w:rFonts w:hint="eastAsia" w:eastAsia="方正仿宋_GBK"/>
          <w:sz w:val="28"/>
        </w:rPr>
        <w:t>00</w:t>
      </w:r>
      <w:r>
        <w:rPr>
          <w:rFonts w:eastAsia="方正仿宋_GBK"/>
          <w:sz w:val="28"/>
        </w:rPr>
        <w:t>元，取暖费739</w:t>
      </w:r>
      <w:r>
        <w:rPr>
          <w:rFonts w:hint="eastAsia" w:eastAsia="方正仿宋_GBK"/>
          <w:sz w:val="28"/>
        </w:rPr>
        <w:t>00</w:t>
      </w:r>
      <w:r>
        <w:rPr>
          <w:rFonts w:eastAsia="方正仿宋_GBK"/>
          <w:sz w:val="28"/>
        </w:rPr>
        <w:t>元，公务交通补贴884</w:t>
      </w:r>
      <w:r>
        <w:rPr>
          <w:rFonts w:hint="eastAsia" w:eastAsia="方正仿宋_GBK"/>
          <w:sz w:val="28"/>
        </w:rPr>
        <w:t>00</w:t>
      </w:r>
      <w:r>
        <w:rPr>
          <w:rFonts w:eastAsia="方正仿宋_GBK"/>
          <w:sz w:val="28"/>
        </w:rPr>
        <w:t>元，福利费85</w:t>
      </w:r>
      <w:r>
        <w:rPr>
          <w:rFonts w:hint="eastAsia" w:eastAsia="方正仿宋_GBK"/>
          <w:sz w:val="28"/>
        </w:rPr>
        <w:t>00</w:t>
      </w:r>
      <w:r>
        <w:rPr>
          <w:rFonts w:eastAsia="方正仿宋_GBK"/>
          <w:sz w:val="28"/>
        </w:rPr>
        <w:t>元，党组织活动经费92</w:t>
      </w:r>
      <w:r>
        <w:rPr>
          <w:rFonts w:hint="eastAsia" w:eastAsia="方正仿宋_GBK"/>
          <w:sz w:val="28"/>
        </w:rPr>
        <w:t>00</w:t>
      </w:r>
      <w:r>
        <w:rPr>
          <w:rFonts w:eastAsia="方正仿宋_GBK"/>
          <w:sz w:val="28"/>
        </w:rPr>
        <w:t>元，公务用车运行维护费19</w:t>
      </w:r>
      <w:r>
        <w:rPr>
          <w:rFonts w:hint="eastAsia" w:eastAsia="方正仿宋_GBK"/>
          <w:sz w:val="28"/>
        </w:rPr>
        <w:t>000</w:t>
      </w:r>
      <w:r>
        <w:rPr>
          <w:rFonts w:eastAsia="方正仿宋_GBK"/>
          <w:sz w:val="28"/>
        </w:rPr>
        <w:t>元，公务接待费18</w:t>
      </w:r>
      <w:r>
        <w:rPr>
          <w:rFonts w:hint="eastAsia" w:eastAsia="方正仿宋_GBK"/>
          <w:sz w:val="28"/>
        </w:rPr>
        <w:t>000</w:t>
      </w:r>
      <w:r>
        <w:rPr>
          <w:rFonts w:eastAsia="方正仿宋_GBK"/>
          <w:sz w:val="28"/>
        </w:rPr>
        <w:t>元，培训费18</w:t>
      </w:r>
      <w:r>
        <w:rPr>
          <w:rFonts w:hint="eastAsia" w:eastAsia="方正仿宋_GBK"/>
          <w:sz w:val="28"/>
        </w:rPr>
        <w:t>000</w:t>
      </w:r>
      <w:r>
        <w:rPr>
          <w:rFonts w:eastAsia="方正仿宋_GBK"/>
          <w:sz w:val="28"/>
        </w:rPr>
        <w:t>元。</w:t>
      </w:r>
    </w:p>
    <w:p>
      <w:pPr>
        <w:spacing w:before="156" w:beforeLines="50" w:after="156" w:afterLines="50"/>
        <w:ind w:firstLine="640" w:firstLineChars="200"/>
        <w:jc w:val="left"/>
        <w:outlineLvl w:val="2"/>
        <w:rPr>
          <w:rFonts w:hAnsi="宋体"/>
          <w:sz w:val="32"/>
        </w:rPr>
      </w:pPr>
      <w:bookmarkStart w:id="3" w:name="_Toc66179335"/>
      <w:r>
        <w:rPr>
          <w:rFonts w:hint="eastAsia" w:ascii="黑体" w:hAnsi="黑体" w:eastAsia="黑体"/>
          <w:sz w:val="32"/>
        </w:rPr>
        <w:t>四、财政拨款“三公”经费预算情况及增减变化原因</w:t>
      </w:r>
      <w:bookmarkEnd w:id="3"/>
    </w:p>
    <w:p>
      <w:pPr>
        <w:spacing w:line="500" w:lineRule="exact"/>
        <w:ind w:firstLine="560" w:firstLineChars="200"/>
        <w:jc w:val="left"/>
        <w:rPr>
          <w:rFonts w:eastAsia="方正仿宋_GBK"/>
          <w:sz w:val="28"/>
        </w:rPr>
      </w:pPr>
      <w:r>
        <w:rPr>
          <w:rFonts w:eastAsia="方正仿宋_GBK"/>
          <w:sz w:val="28"/>
        </w:rPr>
        <w:t>2021年我部门预算批复“三公”经费37</w:t>
      </w:r>
      <w:r>
        <w:rPr>
          <w:rFonts w:hint="eastAsia" w:eastAsia="方正仿宋_GBK"/>
          <w:sz w:val="28"/>
        </w:rPr>
        <w:t>000</w:t>
      </w:r>
      <w:r>
        <w:rPr>
          <w:rFonts w:eastAsia="方正仿宋_GBK"/>
          <w:sz w:val="28"/>
        </w:rPr>
        <w:t>元，其中因公出国境费0元，公务车购置与运行维护费19</w:t>
      </w:r>
      <w:r>
        <w:rPr>
          <w:rFonts w:hint="eastAsia" w:eastAsia="方正仿宋_GBK"/>
          <w:sz w:val="28"/>
        </w:rPr>
        <w:t>000</w:t>
      </w:r>
      <w:r>
        <w:rPr>
          <w:rFonts w:eastAsia="方正仿宋_GBK"/>
          <w:sz w:val="28"/>
        </w:rPr>
        <w:t>元（公务车购置费0元，运行维护费19</w:t>
      </w:r>
      <w:r>
        <w:rPr>
          <w:rFonts w:hint="eastAsia" w:eastAsia="方正仿宋_GBK"/>
          <w:sz w:val="28"/>
        </w:rPr>
        <w:t>000</w:t>
      </w:r>
      <w:r>
        <w:rPr>
          <w:rFonts w:eastAsia="方正仿宋_GBK"/>
          <w:sz w:val="28"/>
        </w:rPr>
        <w:t>元）,公务接待费18</w:t>
      </w:r>
      <w:r>
        <w:rPr>
          <w:rFonts w:hint="eastAsia" w:eastAsia="方正仿宋_GBK"/>
          <w:sz w:val="28"/>
        </w:rPr>
        <w:t>000</w:t>
      </w:r>
      <w:r>
        <w:rPr>
          <w:rFonts w:eastAsia="方正仿宋_GBK"/>
          <w:sz w:val="28"/>
        </w:rPr>
        <w:t>元，较2020年度“三公”经费减少2</w:t>
      </w:r>
      <w:r>
        <w:rPr>
          <w:rFonts w:hint="eastAsia" w:eastAsia="方正仿宋_GBK"/>
          <w:sz w:val="28"/>
        </w:rPr>
        <w:t>000</w:t>
      </w:r>
      <w:r>
        <w:rPr>
          <w:rFonts w:eastAsia="方正仿宋_GBK"/>
          <w:sz w:val="28"/>
        </w:rPr>
        <w:t>元，变化如下表所示：</w:t>
      </w:r>
    </w:p>
    <w:p>
      <w:pPr>
        <w:spacing w:line="500" w:lineRule="exact"/>
        <w:ind w:firstLine="560" w:firstLineChars="200"/>
        <w:jc w:val="center"/>
        <w:rPr>
          <w:rFonts w:eastAsia="方正仿宋_GBK"/>
          <w:sz w:val="28"/>
        </w:rPr>
      </w:pPr>
      <w:r>
        <w:rPr>
          <w:rFonts w:eastAsia="方正仿宋_GBK"/>
          <w:sz w:val="28"/>
        </w:rPr>
        <w:t>“三公”经费预算情况表及增减变化情况</w:t>
      </w:r>
    </w:p>
    <w:p>
      <w:pPr>
        <w:spacing w:line="500" w:lineRule="exact"/>
        <w:ind w:firstLine="560" w:firstLineChars="200"/>
        <w:jc w:val="center"/>
        <w:rPr>
          <w:rFonts w:eastAsia="方正仿宋_GBK"/>
          <w:sz w:val="28"/>
        </w:rPr>
      </w:pPr>
      <w:r>
        <w:rPr>
          <w:rFonts w:hint="eastAsia" w:eastAsia="方正仿宋_GBK"/>
          <w:sz w:val="28"/>
        </w:rPr>
        <w:t xml:space="preserve">                                                                   单位：元</w:t>
      </w:r>
    </w:p>
    <w:tbl>
      <w:tblPr>
        <w:tblStyle w:val="2"/>
        <w:tblpPr w:leftFromText="180" w:rightFromText="180" w:vertAnchor="text" w:horzAnchor="page" w:tblpX="2216" w:tblpY="497"/>
        <w:tblOverlap w:val="never"/>
        <w:tblW w:w="0" w:type="auto"/>
        <w:tblInd w:w="0" w:type="dxa"/>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Layout w:type="fixed"/>
        <w:tblCellMar>
          <w:top w:w="0" w:type="dxa"/>
          <w:left w:w="108" w:type="dxa"/>
          <w:bottom w:w="0" w:type="dxa"/>
          <w:right w:w="108" w:type="dxa"/>
        </w:tblCellMar>
      </w:tblPr>
      <w:tblGrid>
        <w:gridCol w:w="3261"/>
        <w:gridCol w:w="1701"/>
        <w:gridCol w:w="1559"/>
        <w:gridCol w:w="1537"/>
        <w:gridCol w:w="4275"/>
      </w:tblGrid>
      <w:tr>
        <w:tblPrEx>
          <w:tblCellMar>
            <w:top w:w="0" w:type="dxa"/>
            <w:left w:w="108" w:type="dxa"/>
            <w:bottom w:w="0" w:type="dxa"/>
            <w:right w:w="108" w:type="dxa"/>
          </w:tblCellMar>
        </w:tblPrEx>
        <w:trPr>
          <w:trHeight w:val="1012" w:hRule="atLeast"/>
        </w:trPr>
        <w:tc>
          <w:tcPr>
            <w:tcW w:w="3261" w:type="dxa"/>
            <w:tcBorders>
              <w:top w:val="single" w:color="auto" w:sz="8" w:space="0"/>
              <w:left w:val="single" w:color="auto" w:sz="8" w:space="0"/>
              <w:bottom w:val="single" w:color="auto" w:sz="8" w:space="0"/>
              <w:right w:val="single" w:color="auto" w:sz="8" w:space="0"/>
            </w:tcBorders>
            <w:shd w:val="clear" w:color="auto" w:fill="FFFFFF"/>
            <w:vAlign w:val="center"/>
          </w:tcPr>
          <w:p>
            <w:pPr>
              <w:spacing w:line="500" w:lineRule="exact"/>
              <w:ind w:firstLine="560" w:firstLineChars="200"/>
              <w:jc w:val="center"/>
              <w:rPr>
                <w:rFonts w:eastAsia="方正仿宋_GBK"/>
                <w:sz w:val="28"/>
              </w:rPr>
            </w:pPr>
            <w:r>
              <w:rPr>
                <w:rFonts w:eastAsia="方正仿宋_GBK"/>
                <w:sz w:val="28"/>
              </w:rPr>
              <w:t>项目名称</w:t>
            </w:r>
          </w:p>
        </w:tc>
        <w:tc>
          <w:tcPr>
            <w:tcW w:w="1701" w:type="dxa"/>
            <w:tcBorders>
              <w:top w:val="single" w:color="auto" w:sz="8" w:space="0"/>
              <w:left w:val="nil"/>
              <w:bottom w:val="single" w:color="auto" w:sz="8" w:space="0"/>
              <w:right w:val="single" w:color="auto" w:sz="8" w:space="0"/>
            </w:tcBorders>
            <w:shd w:val="clear" w:color="auto" w:fill="FFFFFF"/>
            <w:vAlign w:val="center"/>
          </w:tcPr>
          <w:p>
            <w:pPr>
              <w:spacing w:line="500" w:lineRule="exact"/>
              <w:jc w:val="center"/>
              <w:rPr>
                <w:rFonts w:eastAsia="方正仿宋_GBK"/>
                <w:sz w:val="28"/>
              </w:rPr>
            </w:pPr>
            <w:r>
              <w:rPr>
                <w:rFonts w:eastAsia="方正仿宋_GBK"/>
                <w:sz w:val="28"/>
              </w:rPr>
              <w:t>2020年度</w:t>
            </w:r>
          </w:p>
          <w:p>
            <w:pPr>
              <w:spacing w:line="500" w:lineRule="exact"/>
              <w:jc w:val="center"/>
              <w:rPr>
                <w:rFonts w:eastAsia="方正仿宋_GBK"/>
                <w:sz w:val="28"/>
              </w:rPr>
            </w:pPr>
            <w:r>
              <w:rPr>
                <w:rFonts w:eastAsia="方正仿宋_GBK"/>
                <w:sz w:val="28"/>
              </w:rPr>
              <w:t>预算</w:t>
            </w:r>
          </w:p>
        </w:tc>
        <w:tc>
          <w:tcPr>
            <w:tcW w:w="1559" w:type="dxa"/>
            <w:tcBorders>
              <w:top w:val="single" w:color="auto" w:sz="8" w:space="0"/>
              <w:left w:val="nil"/>
              <w:bottom w:val="single" w:color="auto" w:sz="8" w:space="0"/>
              <w:right w:val="single" w:color="auto" w:sz="8" w:space="0"/>
            </w:tcBorders>
            <w:shd w:val="clear" w:color="auto" w:fill="FFFFFF"/>
            <w:vAlign w:val="center"/>
          </w:tcPr>
          <w:p>
            <w:pPr>
              <w:spacing w:line="500" w:lineRule="exact"/>
              <w:jc w:val="center"/>
              <w:rPr>
                <w:rFonts w:eastAsia="方正仿宋_GBK"/>
                <w:sz w:val="28"/>
              </w:rPr>
            </w:pPr>
            <w:r>
              <w:rPr>
                <w:rFonts w:eastAsia="方正仿宋_GBK"/>
                <w:sz w:val="28"/>
              </w:rPr>
              <w:t>2021年度预算</w:t>
            </w:r>
          </w:p>
        </w:tc>
        <w:tc>
          <w:tcPr>
            <w:tcW w:w="1537" w:type="dxa"/>
            <w:tcBorders>
              <w:top w:val="single" w:color="auto" w:sz="8" w:space="0"/>
              <w:left w:val="nil"/>
              <w:bottom w:val="single" w:color="auto" w:sz="8" w:space="0"/>
              <w:right w:val="single" w:color="auto" w:sz="8" w:space="0"/>
            </w:tcBorders>
            <w:shd w:val="clear" w:color="auto" w:fill="FFFFFF"/>
            <w:vAlign w:val="center"/>
          </w:tcPr>
          <w:p>
            <w:pPr>
              <w:spacing w:line="500" w:lineRule="exact"/>
              <w:ind w:firstLine="560" w:firstLineChars="200"/>
              <w:jc w:val="center"/>
              <w:rPr>
                <w:rFonts w:eastAsia="方正仿宋_GBK"/>
                <w:sz w:val="28"/>
              </w:rPr>
            </w:pPr>
            <w:r>
              <w:rPr>
                <w:rFonts w:eastAsia="方正仿宋_GBK"/>
                <w:sz w:val="28"/>
              </w:rPr>
              <w:t>增减</w:t>
            </w:r>
          </w:p>
          <w:p>
            <w:pPr>
              <w:spacing w:line="500" w:lineRule="exact"/>
              <w:ind w:firstLine="560" w:firstLineChars="200"/>
              <w:jc w:val="center"/>
              <w:rPr>
                <w:rFonts w:eastAsia="方正仿宋_GBK"/>
                <w:sz w:val="28"/>
              </w:rPr>
            </w:pPr>
            <w:r>
              <w:rPr>
                <w:rFonts w:eastAsia="方正仿宋_GBK"/>
                <w:sz w:val="28"/>
              </w:rPr>
              <w:t>金额</w:t>
            </w:r>
          </w:p>
        </w:tc>
        <w:tc>
          <w:tcPr>
            <w:tcW w:w="4275" w:type="dxa"/>
            <w:tcBorders>
              <w:top w:val="single" w:color="auto" w:sz="8" w:space="0"/>
              <w:left w:val="nil"/>
              <w:bottom w:val="single" w:color="auto" w:sz="8" w:space="0"/>
              <w:right w:val="single" w:color="auto" w:sz="8" w:space="0"/>
            </w:tcBorders>
            <w:shd w:val="clear" w:color="auto" w:fill="FFFFFF"/>
            <w:vAlign w:val="center"/>
          </w:tcPr>
          <w:p>
            <w:pPr>
              <w:spacing w:line="500" w:lineRule="exact"/>
              <w:ind w:firstLine="560" w:firstLineChars="200"/>
              <w:jc w:val="center"/>
              <w:rPr>
                <w:rFonts w:eastAsia="方正仿宋_GBK"/>
                <w:sz w:val="28"/>
              </w:rPr>
            </w:pPr>
            <w:r>
              <w:rPr>
                <w:rFonts w:eastAsia="方正仿宋_GBK"/>
                <w:sz w:val="28"/>
              </w:rPr>
              <w:t>变化原因</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3261" w:type="dxa"/>
            <w:tcBorders>
              <w:top w:val="nil"/>
              <w:left w:val="single" w:color="auto" w:sz="8" w:space="0"/>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因公出国经费</w:t>
            </w:r>
          </w:p>
        </w:tc>
        <w:tc>
          <w:tcPr>
            <w:tcW w:w="1701"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0</w:t>
            </w:r>
          </w:p>
        </w:tc>
        <w:tc>
          <w:tcPr>
            <w:tcW w:w="1559"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0</w:t>
            </w:r>
          </w:p>
        </w:tc>
        <w:tc>
          <w:tcPr>
            <w:tcW w:w="1537"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0</w:t>
            </w:r>
          </w:p>
        </w:tc>
        <w:tc>
          <w:tcPr>
            <w:tcW w:w="4275"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无增减变化</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594" w:hRule="atLeast"/>
        </w:trPr>
        <w:tc>
          <w:tcPr>
            <w:tcW w:w="3261" w:type="dxa"/>
            <w:tcBorders>
              <w:top w:val="nil"/>
              <w:left w:val="single" w:color="auto" w:sz="8" w:space="0"/>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公务用车购置经费</w:t>
            </w:r>
          </w:p>
        </w:tc>
        <w:tc>
          <w:tcPr>
            <w:tcW w:w="1701"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0</w:t>
            </w:r>
          </w:p>
        </w:tc>
        <w:tc>
          <w:tcPr>
            <w:tcW w:w="1559"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0</w:t>
            </w:r>
          </w:p>
        </w:tc>
        <w:tc>
          <w:tcPr>
            <w:tcW w:w="1537"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0</w:t>
            </w:r>
          </w:p>
        </w:tc>
        <w:tc>
          <w:tcPr>
            <w:tcW w:w="4275"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无增减变化</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570" w:hRule="atLeast"/>
        </w:trPr>
        <w:tc>
          <w:tcPr>
            <w:tcW w:w="3261" w:type="dxa"/>
            <w:tcBorders>
              <w:top w:val="nil"/>
              <w:left w:val="single" w:color="auto" w:sz="8" w:space="0"/>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公务用车运行经费</w:t>
            </w:r>
          </w:p>
        </w:tc>
        <w:tc>
          <w:tcPr>
            <w:tcW w:w="1701"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0000</w:t>
            </w:r>
          </w:p>
        </w:tc>
        <w:tc>
          <w:tcPr>
            <w:tcW w:w="1559"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hint="eastAsia" w:eastAsia="方正仿宋_GBK"/>
                <w:sz w:val="28"/>
              </w:rPr>
              <w:t>19000</w:t>
            </w:r>
          </w:p>
        </w:tc>
        <w:tc>
          <w:tcPr>
            <w:tcW w:w="1537"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hint="eastAsia" w:eastAsia="方正仿宋_GBK"/>
                <w:sz w:val="28"/>
              </w:rPr>
              <w:t>-1000</w:t>
            </w:r>
          </w:p>
        </w:tc>
        <w:tc>
          <w:tcPr>
            <w:tcW w:w="4275"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认真执行</w:t>
            </w:r>
            <w:r>
              <w:rPr>
                <w:rFonts w:hint="eastAsia" w:eastAsia="方正仿宋_GBK"/>
                <w:sz w:val="28"/>
                <w:lang w:eastAsia="zh-CN"/>
              </w:rPr>
              <w:t>中央八项规定</w:t>
            </w:r>
            <w:r>
              <w:rPr>
                <w:rFonts w:eastAsia="方正仿宋_GBK"/>
                <w:sz w:val="28"/>
              </w:rPr>
              <w:t>压减公务车运行经费</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585" w:hRule="atLeast"/>
        </w:trPr>
        <w:tc>
          <w:tcPr>
            <w:tcW w:w="3261" w:type="dxa"/>
            <w:tcBorders>
              <w:top w:val="nil"/>
              <w:left w:val="single" w:color="auto" w:sz="8" w:space="0"/>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公务接待费支出</w:t>
            </w:r>
          </w:p>
        </w:tc>
        <w:tc>
          <w:tcPr>
            <w:tcW w:w="1701"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hint="eastAsia" w:eastAsia="方正仿宋_GBK"/>
                <w:sz w:val="28"/>
              </w:rPr>
              <w:t>19000</w:t>
            </w:r>
          </w:p>
        </w:tc>
        <w:tc>
          <w:tcPr>
            <w:tcW w:w="1559"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hint="eastAsia" w:eastAsia="方正仿宋_GBK"/>
                <w:sz w:val="28"/>
              </w:rPr>
              <w:t>18000</w:t>
            </w:r>
          </w:p>
        </w:tc>
        <w:tc>
          <w:tcPr>
            <w:tcW w:w="1537"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hint="eastAsia" w:eastAsia="方正仿宋_GBK"/>
                <w:sz w:val="28"/>
              </w:rPr>
              <w:t>-1000</w:t>
            </w:r>
          </w:p>
        </w:tc>
        <w:tc>
          <w:tcPr>
            <w:tcW w:w="4275"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认真执行</w:t>
            </w:r>
            <w:r>
              <w:rPr>
                <w:rFonts w:hint="eastAsia" w:eastAsia="方正仿宋_GBK"/>
                <w:sz w:val="28"/>
                <w:lang w:eastAsia="zh-CN"/>
              </w:rPr>
              <w:t>中央八项规定</w:t>
            </w:r>
            <w:r>
              <w:rPr>
                <w:rFonts w:eastAsia="方正仿宋_GBK"/>
                <w:sz w:val="28"/>
              </w:rPr>
              <w:t>压减公务接待费支出</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590" w:hRule="atLeast"/>
        </w:trPr>
        <w:tc>
          <w:tcPr>
            <w:tcW w:w="3261" w:type="dxa"/>
            <w:tcBorders>
              <w:top w:val="nil"/>
              <w:left w:val="single" w:color="auto" w:sz="8" w:space="0"/>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合计</w:t>
            </w:r>
          </w:p>
        </w:tc>
        <w:tc>
          <w:tcPr>
            <w:tcW w:w="1701"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hint="eastAsia" w:eastAsia="方正仿宋_GBK"/>
                <w:sz w:val="28"/>
              </w:rPr>
              <w:t>39000</w:t>
            </w:r>
          </w:p>
        </w:tc>
        <w:tc>
          <w:tcPr>
            <w:tcW w:w="1559"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hint="eastAsia" w:eastAsia="方正仿宋_GBK"/>
                <w:sz w:val="28"/>
              </w:rPr>
              <w:t>37000</w:t>
            </w:r>
          </w:p>
        </w:tc>
        <w:tc>
          <w:tcPr>
            <w:tcW w:w="1537"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hint="eastAsia" w:eastAsia="方正仿宋_GBK"/>
                <w:sz w:val="28"/>
              </w:rPr>
              <w:t>-2000</w:t>
            </w:r>
          </w:p>
        </w:tc>
        <w:tc>
          <w:tcPr>
            <w:tcW w:w="4275" w:type="dxa"/>
            <w:tcBorders>
              <w:top w:val="nil"/>
              <w:left w:val="nil"/>
              <w:bottom w:val="single" w:color="auto" w:sz="8" w:space="0"/>
              <w:right w:val="single" w:color="auto" w:sz="8" w:space="0"/>
            </w:tcBorders>
            <w:shd w:val="clear" w:color="auto" w:fill="FFFFFF"/>
            <w:vAlign w:val="center"/>
          </w:tcPr>
          <w:p>
            <w:pPr>
              <w:spacing w:line="500" w:lineRule="exact"/>
              <w:ind w:firstLine="560" w:firstLineChars="200"/>
              <w:jc w:val="left"/>
              <w:rPr>
                <w:rFonts w:eastAsia="方正仿宋_GBK"/>
                <w:sz w:val="28"/>
              </w:rPr>
            </w:pPr>
            <w:r>
              <w:rPr>
                <w:rFonts w:eastAsia="方正仿宋_GBK"/>
                <w:sz w:val="28"/>
              </w:rPr>
              <w:t>我</w:t>
            </w:r>
            <w:r>
              <w:rPr>
                <w:rFonts w:hint="eastAsia" w:eastAsia="方正仿宋_GBK"/>
                <w:sz w:val="28"/>
              </w:rPr>
              <w:t>部门</w:t>
            </w:r>
            <w:r>
              <w:rPr>
                <w:rFonts w:eastAsia="方正仿宋_GBK"/>
                <w:sz w:val="28"/>
              </w:rPr>
              <w:t>按照“三公”经费支出逐年递减的有关规定严格控制“三公”经费支出，推进“三公”经费管理规范化、制度化、节约化</w:t>
            </w:r>
          </w:p>
        </w:tc>
      </w:tr>
    </w:tbl>
    <w:p>
      <w:pPr>
        <w:spacing w:line="500" w:lineRule="exact"/>
        <w:ind w:firstLine="560" w:firstLineChars="200"/>
        <w:jc w:val="left"/>
        <w:rPr>
          <w:rFonts w:eastAsia="方正仿宋_GBK"/>
          <w:sz w:val="28"/>
        </w:rPr>
      </w:pPr>
      <w:r>
        <w:rPr>
          <w:rFonts w:hint="eastAsia" w:eastAsia="方正仿宋_GBK"/>
          <w:sz w:val="28"/>
        </w:rPr>
        <w:t xml:space="preserve">                                                       </w:t>
      </w: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bookmarkStart w:id="4" w:name="_Toc66179336"/>
    </w:p>
    <w:p>
      <w:pPr>
        <w:spacing w:before="156" w:beforeLines="50" w:after="156" w:afterLines="50"/>
        <w:ind w:firstLine="640" w:firstLineChars="200"/>
        <w:jc w:val="left"/>
        <w:outlineLvl w:val="2"/>
        <w:rPr>
          <w:rFonts w:ascii="黑体" w:hAnsi="黑体" w:eastAsia="黑体"/>
          <w:sz w:val="32"/>
        </w:rPr>
      </w:pPr>
    </w:p>
    <w:p>
      <w:pPr>
        <w:numPr>
          <w:ilvl w:val="0"/>
          <w:numId w:val="2"/>
        </w:numPr>
        <w:spacing w:before="156" w:beforeLines="50" w:after="156" w:afterLines="50"/>
        <w:ind w:firstLine="640"/>
        <w:jc w:val="left"/>
        <w:outlineLvl w:val="2"/>
        <w:rPr>
          <w:rFonts w:ascii="黑体" w:hAnsi="黑体" w:eastAsia="黑体"/>
          <w:sz w:val="32"/>
        </w:rPr>
      </w:pPr>
      <w:r>
        <w:rPr>
          <w:rFonts w:hint="eastAsia" w:ascii="黑体" w:hAnsi="黑体" w:eastAsia="黑体"/>
          <w:sz w:val="32"/>
        </w:rPr>
        <w:t>预算绩效信息</w:t>
      </w:r>
      <w:bookmarkEnd w:id="4"/>
    </w:p>
    <w:p>
      <w:pPr>
        <w:spacing w:before="156" w:beforeLines="50" w:after="156" w:afterLines="50"/>
        <w:ind w:left="630"/>
        <w:jc w:val="left"/>
        <w:outlineLvl w:val="2"/>
        <w:rPr>
          <w:rFonts w:ascii="黑体" w:hAnsi="黑体" w:eastAsia="黑体"/>
          <w:sz w:val="32"/>
        </w:rPr>
      </w:pPr>
      <w:r>
        <w:rPr>
          <w:rFonts w:hint="eastAsia" w:ascii="方正楷体_GBK" w:eastAsia="方正楷体_GBK"/>
          <w:b/>
          <w:sz w:val="32"/>
        </w:rPr>
        <w:t>第一部分</w:t>
      </w:r>
      <w:r>
        <w:rPr>
          <w:rFonts w:ascii="方正楷体_GBK" w:eastAsia="方正楷体_GBK"/>
          <w:b/>
          <w:sz w:val="32"/>
        </w:rPr>
        <w:t xml:space="preserve"> </w:t>
      </w:r>
      <w:r>
        <w:rPr>
          <w:rFonts w:hint="eastAsia" w:ascii="方正楷体_GBK" w:eastAsia="方正楷体_GBK"/>
          <w:b/>
          <w:sz w:val="32"/>
        </w:rPr>
        <w:t>部门整体绩效目标</w:t>
      </w:r>
    </w:p>
    <w:p>
      <w:pPr>
        <w:spacing w:line="500" w:lineRule="exact"/>
        <w:ind w:firstLine="840" w:firstLineChars="300"/>
        <w:jc w:val="left"/>
        <w:rPr>
          <w:rFonts w:hAnsi="宋体"/>
          <w:sz w:val="28"/>
        </w:rPr>
      </w:pPr>
      <w:r>
        <w:rPr>
          <w:rFonts w:hint="eastAsia" w:eastAsia="方正仿宋_GBK"/>
          <w:sz w:val="28"/>
        </w:rPr>
        <w:t>（一）总体绩效目标</w:t>
      </w:r>
    </w:p>
    <w:p>
      <w:pPr>
        <w:spacing w:line="500" w:lineRule="exact"/>
        <w:ind w:firstLine="560" w:firstLineChars="200"/>
        <w:jc w:val="left"/>
        <w:rPr>
          <w:rFonts w:eastAsia="方正仿宋_GBK"/>
          <w:sz w:val="28"/>
        </w:rPr>
      </w:pPr>
      <w:r>
        <w:rPr>
          <w:rFonts w:eastAsia="方正仿宋_GBK"/>
          <w:sz w:val="28"/>
        </w:rPr>
        <w:t>以习近平新时代中国特色社会主义思想为指导，深入学习贯彻党的十九大精神，坚持以“为民服务解难题”为抓手，以创新的思维和务实的态度，持续推进“放管服”改革，进一步提升政务服务水平，深入落实县委、县政府提出的“十项重点工作”安排部署，坚持稳中求进、服务雄安新区建设，扎实开展“三重四创五优化”和“三基”建设年活动，推动审批服务理念、制度、作风全方位深层次变革，打造稳定公平透明可预期的营商环境。</w:t>
      </w:r>
    </w:p>
    <w:p>
      <w:pPr>
        <w:spacing w:line="500" w:lineRule="exact"/>
        <w:ind w:firstLine="560" w:firstLineChars="200"/>
        <w:jc w:val="left"/>
        <w:rPr>
          <w:rFonts w:hAnsi="宋体"/>
          <w:sz w:val="28"/>
        </w:rPr>
      </w:pPr>
      <w:r>
        <w:rPr>
          <w:rFonts w:hint="eastAsia" w:eastAsia="方正仿宋_GBK"/>
          <w:sz w:val="28"/>
        </w:rPr>
        <w:t>（二）分项绩效目标</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1</w:t>
      </w:r>
      <w:r>
        <w:rPr>
          <w:rFonts w:eastAsia="方正仿宋_GBK"/>
          <w:sz w:val="28"/>
        </w:rPr>
        <w:t>）政务服务管理工作</w:t>
      </w:r>
    </w:p>
    <w:p>
      <w:pPr>
        <w:spacing w:line="500" w:lineRule="exact"/>
        <w:ind w:firstLine="560" w:firstLineChars="200"/>
        <w:jc w:val="left"/>
        <w:rPr>
          <w:rFonts w:eastAsia="方正仿宋_GBK"/>
          <w:sz w:val="28"/>
        </w:rPr>
      </w:pPr>
      <w:r>
        <w:rPr>
          <w:rFonts w:eastAsia="方正仿宋_GBK"/>
          <w:sz w:val="28"/>
        </w:rPr>
        <w:t>绩效目标：为公民、法人或其他组织提供规范、高效、优质的政务服务。</w:t>
      </w:r>
    </w:p>
    <w:p>
      <w:pPr>
        <w:spacing w:line="500" w:lineRule="exact"/>
        <w:ind w:firstLine="560" w:firstLineChars="200"/>
        <w:jc w:val="left"/>
        <w:rPr>
          <w:rFonts w:eastAsia="方正仿宋_GBK"/>
          <w:sz w:val="28"/>
        </w:rPr>
      </w:pPr>
      <w:r>
        <w:rPr>
          <w:rFonts w:eastAsia="方正仿宋_GBK"/>
          <w:sz w:val="28"/>
        </w:rPr>
        <w:t>绩效指标：优化政务服务供给，降低制度性交易成本，提升政务服务效能。</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2</w:t>
      </w:r>
      <w:r>
        <w:rPr>
          <w:rFonts w:eastAsia="方正仿宋_GBK"/>
          <w:sz w:val="28"/>
        </w:rPr>
        <w:t>）推进“放管服”改革工作</w:t>
      </w:r>
    </w:p>
    <w:p>
      <w:pPr>
        <w:spacing w:line="500" w:lineRule="exact"/>
        <w:ind w:firstLine="560" w:firstLineChars="200"/>
        <w:jc w:val="left"/>
        <w:rPr>
          <w:rFonts w:eastAsia="方正仿宋_GBK"/>
          <w:sz w:val="28"/>
        </w:rPr>
      </w:pPr>
      <w:r>
        <w:rPr>
          <w:rFonts w:eastAsia="方正仿宋_GBK"/>
          <w:sz w:val="28"/>
        </w:rPr>
        <w:t>绩效目标：工作统筹推进，重大政策落实到位，措施得力。</w:t>
      </w:r>
    </w:p>
    <w:p>
      <w:pPr>
        <w:spacing w:line="500" w:lineRule="exact"/>
        <w:ind w:firstLine="560" w:firstLineChars="200"/>
        <w:jc w:val="left"/>
        <w:rPr>
          <w:rFonts w:eastAsia="方正仿宋_GBK"/>
          <w:sz w:val="28"/>
        </w:rPr>
      </w:pPr>
      <w:r>
        <w:rPr>
          <w:rFonts w:eastAsia="方正仿宋_GBK"/>
          <w:sz w:val="28"/>
        </w:rPr>
        <w:t>绩效指标：组织协调全县“放管服”改革工作，指导、督促贯彻落实国家、省、市关于“放管服”改革重要领域、关键环节重大政策措施，承担县推进政府职能转变和“放管服”改革协调小组的日常工作。</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3</w:t>
      </w:r>
      <w:r>
        <w:rPr>
          <w:rFonts w:eastAsia="方正仿宋_GBK"/>
          <w:sz w:val="28"/>
        </w:rPr>
        <w:t>）推进行政审批制度改革</w:t>
      </w:r>
    </w:p>
    <w:p>
      <w:pPr>
        <w:spacing w:line="500" w:lineRule="exact"/>
        <w:ind w:firstLine="560" w:firstLineChars="200"/>
        <w:jc w:val="left"/>
        <w:rPr>
          <w:rFonts w:eastAsia="方正仿宋_GBK"/>
          <w:sz w:val="28"/>
        </w:rPr>
      </w:pPr>
      <w:r>
        <w:rPr>
          <w:rFonts w:eastAsia="方正仿宋_GBK"/>
          <w:sz w:val="28"/>
        </w:rPr>
        <w:t>绩效目标：推进简政放权，取消、衔接和下放行政审批服务事项。</w:t>
      </w:r>
    </w:p>
    <w:p>
      <w:pPr>
        <w:spacing w:line="500" w:lineRule="exact"/>
        <w:ind w:firstLine="560" w:firstLineChars="200"/>
        <w:jc w:val="left"/>
        <w:rPr>
          <w:rFonts w:eastAsia="方正仿宋_GBK"/>
          <w:sz w:val="28"/>
        </w:rPr>
      </w:pPr>
      <w:r>
        <w:rPr>
          <w:rFonts w:eastAsia="方正仿宋_GBK"/>
          <w:sz w:val="28"/>
        </w:rPr>
        <w:t>绩效指标：建立健全县乡两级行政审批管理体系；承担县行政审批制度改革工作领导小组的日常工作。</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4</w:t>
      </w:r>
      <w:r>
        <w:rPr>
          <w:rFonts w:eastAsia="方正仿宋_GBK"/>
          <w:sz w:val="28"/>
        </w:rPr>
        <w:t>）推进“互联网+政务服务”建设</w:t>
      </w:r>
    </w:p>
    <w:p>
      <w:pPr>
        <w:spacing w:line="500" w:lineRule="exact"/>
        <w:ind w:firstLine="560" w:firstLineChars="200"/>
        <w:jc w:val="left"/>
        <w:rPr>
          <w:rFonts w:eastAsia="方正仿宋_GBK"/>
          <w:sz w:val="28"/>
        </w:rPr>
      </w:pPr>
      <w:r>
        <w:rPr>
          <w:rFonts w:eastAsia="方正仿宋_GBK"/>
          <w:sz w:val="28"/>
        </w:rPr>
        <w:t>绩效目标：统筹推进“互联网+政务服务”工作，配合省市构建一体化政务服务平台。</w:t>
      </w:r>
    </w:p>
    <w:p>
      <w:pPr>
        <w:spacing w:line="500" w:lineRule="exact"/>
        <w:ind w:firstLine="560" w:firstLineChars="200"/>
        <w:jc w:val="left"/>
        <w:rPr>
          <w:rFonts w:eastAsia="方正仿宋_GBK"/>
          <w:sz w:val="28"/>
        </w:rPr>
      </w:pPr>
      <w:r>
        <w:rPr>
          <w:rFonts w:eastAsia="方正仿宋_GBK"/>
          <w:sz w:val="28"/>
        </w:rPr>
        <w:t>绩效指标：推行政府服务事项网上办理，形成管理机构、实体大厅、网上平台“三位一体”的政务服务管理模式；推进电子证照库建设；推进政务服务平台规范化、标准化、集约化建设和互联互通、数据共享。</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5</w:t>
      </w:r>
      <w:r>
        <w:rPr>
          <w:rFonts w:eastAsia="方正仿宋_GBK"/>
          <w:sz w:val="28"/>
        </w:rPr>
        <w:t>）推进全县社会信用体系建设</w:t>
      </w:r>
    </w:p>
    <w:p>
      <w:pPr>
        <w:spacing w:line="500" w:lineRule="exact"/>
        <w:ind w:firstLine="560" w:firstLineChars="200"/>
        <w:jc w:val="left"/>
        <w:rPr>
          <w:rFonts w:eastAsia="方正仿宋_GBK"/>
          <w:sz w:val="28"/>
        </w:rPr>
      </w:pPr>
      <w:r>
        <w:rPr>
          <w:rFonts w:eastAsia="方正仿宋_GBK"/>
          <w:sz w:val="28"/>
        </w:rPr>
        <w:t>绩效目标：信用体系建设工作开展正常，“红黑名单”推动有力。</w:t>
      </w:r>
    </w:p>
    <w:p>
      <w:pPr>
        <w:spacing w:line="500" w:lineRule="exact"/>
        <w:ind w:firstLine="560" w:firstLineChars="200"/>
        <w:jc w:val="left"/>
        <w:rPr>
          <w:rFonts w:eastAsia="方正仿宋_GBK"/>
          <w:sz w:val="28"/>
        </w:rPr>
      </w:pPr>
      <w:r>
        <w:rPr>
          <w:rFonts w:eastAsia="方正仿宋_GBK"/>
          <w:sz w:val="28"/>
        </w:rPr>
        <w:t>绩效指标：加强守信联合激励和失信联合惩戒制度建设，营造公平公正政务服务环境；组织开展失信问题专项治理；加强城市信用建设，培育和发展信用服务市场；承担县社会信用体系建设领导小组的日常工作；推动“红黑名单”在行政审批、公共服务、公共资源交易、事中事后监管领域的广泛应用。</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6</w:t>
      </w:r>
      <w:r>
        <w:rPr>
          <w:rFonts w:eastAsia="方正仿宋_GBK"/>
          <w:sz w:val="28"/>
        </w:rPr>
        <w:t>）公共资源交易管理</w:t>
      </w:r>
    </w:p>
    <w:p>
      <w:pPr>
        <w:spacing w:line="500" w:lineRule="exact"/>
        <w:ind w:firstLine="560" w:firstLineChars="200"/>
        <w:jc w:val="left"/>
        <w:rPr>
          <w:rFonts w:eastAsia="方正仿宋_GBK"/>
          <w:sz w:val="28"/>
        </w:rPr>
      </w:pPr>
      <w:r>
        <w:rPr>
          <w:rFonts w:eastAsia="方正仿宋_GBK"/>
          <w:sz w:val="28"/>
        </w:rPr>
        <w:t>绩效目标：公正开放、服务到位、监督有力。</w:t>
      </w:r>
    </w:p>
    <w:p>
      <w:pPr>
        <w:spacing w:line="500" w:lineRule="exact"/>
        <w:ind w:firstLine="560" w:firstLineChars="200"/>
        <w:jc w:val="left"/>
        <w:rPr>
          <w:rFonts w:eastAsia="方正仿宋_GBK"/>
          <w:sz w:val="28"/>
        </w:rPr>
      </w:pPr>
      <w:r>
        <w:rPr>
          <w:rFonts w:eastAsia="方正仿宋_GBK"/>
          <w:sz w:val="28"/>
        </w:rPr>
        <w:t>绩效指标：健全公共资源交易管理制度和规则；推进公共资源交易电子服务系统建设；推进公共资源交易领域信用体系建设；指导并监督公共资源交易项目进场交易。</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7</w:t>
      </w:r>
      <w:r>
        <w:rPr>
          <w:rFonts w:eastAsia="方正仿宋_GBK"/>
          <w:sz w:val="28"/>
        </w:rPr>
        <w:t>）创新服务举措</w:t>
      </w:r>
    </w:p>
    <w:p>
      <w:pPr>
        <w:spacing w:line="500" w:lineRule="exact"/>
        <w:ind w:firstLine="560" w:firstLineChars="200"/>
        <w:jc w:val="left"/>
        <w:rPr>
          <w:rFonts w:eastAsia="方正仿宋_GBK"/>
          <w:sz w:val="28"/>
        </w:rPr>
      </w:pPr>
      <w:r>
        <w:rPr>
          <w:rFonts w:eastAsia="方正仿宋_GBK"/>
          <w:sz w:val="28"/>
        </w:rPr>
        <w:t>绩效目标：创新举措成效明显，群众满意度高。</w:t>
      </w:r>
    </w:p>
    <w:p>
      <w:pPr>
        <w:spacing w:line="500" w:lineRule="exact"/>
        <w:ind w:firstLine="560" w:firstLineChars="200"/>
        <w:jc w:val="left"/>
        <w:rPr>
          <w:rFonts w:eastAsia="方正仿宋_GBK"/>
          <w:sz w:val="28"/>
        </w:rPr>
      </w:pPr>
      <w:r>
        <w:rPr>
          <w:rFonts w:eastAsia="方正仿宋_GBK"/>
          <w:sz w:val="28"/>
        </w:rPr>
        <w:t>绩效指标：不断创新服务，推进实施“拿地即开工”审批服务模式，推进实施“多证合一”“证照分离”“百事通”“跨省通办”和“工程建设项目审批制度改革”。</w:t>
      </w:r>
    </w:p>
    <w:p>
      <w:pPr>
        <w:spacing w:line="500" w:lineRule="exact"/>
        <w:ind w:firstLine="560" w:firstLineChars="200"/>
        <w:jc w:val="left"/>
        <w:rPr>
          <w:rFonts w:hAnsi="宋体"/>
          <w:sz w:val="28"/>
        </w:rPr>
      </w:pPr>
      <w:r>
        <w:rPr>
          <w:rFonts w:hint="eastAsia" w:eastAsia="方正仿宋_GBK"/>
          <w:sz w:val="28"/>
        </w:rPr>
        <w:t>（三）工作保障措施</w:t>
      </w:r>
    </w:p>
    <w:p>
      <w:pPr>
        <w:spacing w:line="500" w:lineRule="exact"/>
        <w:ind w:firstLine="560" w:firstLineChars="200"/>
        <w:jc w:val="left"/>
        <w:rPr>
          <w:rFonts w:eastAsia="方正仿宋_GBK"/>
          <w:sz w:val="28"/>
        </w:rPr>
      </w:pPr>
      <w:r>
        <w:rPr>
          <w:rFonts w:eastAsia="方正仿宋_GBK"/>
          <w:sz w:val="28"/>
        </w:rPr>
        <w:t>1、持续提升审批效能。大力推进审批服务标准化建设，谋划建设高标准“一站式”市民服务中心，规范行政审批行为、提高审批效率，减少权力寻租空间，确保行政审批在法治轨道上运行。</w:t>
      </w:r>
    </w:p>
    <w:p>
      <w:pPr>
        <w:spacing w:line="500" w:lineRule="exact"/>
        <w:ind w:firstLine="560" w:firstLineChars="200"/>
        <w:jc w:val="left"/>
        <w:rPr>
          <w:rFonts w:eastAsia="方正仿宋_GBK"/>
          <w:sz w:val="28"/>
        </w:rPr>
      </w:pPr>
      <w:r>
        <w:rPr>
          <w:rFonts w:eastAsia="方正仿宋_GBK"/>
          <w:sz w:val="28"/>
        </w:rPr>
        <w:t>2、持续优化营商环境。深入贯彻落实县委十三届七次全会精神，学习借鉴外地先进经验，从制度改革入手，建设“审批事项最少、收费标准最低、办事效率最快、服务水平最优”的营商环境，打造高阳“四最”品牌。</w:t>
      </w:r>
    </w:p>
    <w:p>
      <w:pPr>
        <w:spacing w:line="500" w:lineRule="exact"/>
        <w:ind w:firstLine="560" w:firstLineChars="200"/>
        <w:jc w:val="left"/>
        <w:rPr>
          <w:rFonts w:eastAsia="方正仿宋_GBK"/>
          <w:sz w:val="28"/>
        </w:rPr>
      </w:pPr>
      <w:r>
        <w:rPr>
          <w:rFonts w:eastAsia="方正仿宋_GBK"/>
          <w:sz w:val="28"/>
        </w:rPr>
        <w:t>3、负责指导、监督和协调公共资源交易等相关工作。负责公共资源交易中心的管理和业务指导工作；负责公共资源交易规则、制度和起草工作，负责公共资源交易信息网的建设管理工作；负责交易市场交易秩序、交易项目等事项的监督检查工作，负责组织政府采购的相关工作。</w:t>
      </w:r>
    </w:p>
    <w:p>
      <w:pPr>
        <w:spacing w:line="500" w:lineRule="exact"/>
        <w:ind w:firstLine="560" w:firstLineChars="200"/>
        <w:jc w:val="left"/>
        <w:rPr>
          <w:rFonts w:eastAsia="方正仿宋_GBK"/>
          <w:sz w:val="28"/>
        </w:rPr>
      </w:pPr>
      <w:r>
        <w:rPr>
          <w:rFonts w:eastAsia="方正仿宋_GBK"/>
          <w:sz w:val="28"/>
        </w:rPr>
        <w:t>4、建立健全政务服务管理体制和运行机制,进一步优化完善县行政审批局、政务服务中心、网上政务服务平台“三位一体”政务服务管理模式。</w:t>
      </w:r>
    </w:p>
    <w:p>
      <w:pPr>
        <w:spacing w:line="500" w:lineRule="exact"/>
        <w:ind w:firstLine="560" w:firstLineChars="200"/>
        <w:jc w:val="left"/>
        <w:rPr>
          <w:rFonts w:eastAsia="方正仿宋_GBK"/>
          <w:sz w:val="28"/>
        </w:rPr>
      </w:pPr>
      <w:r>
        <w:rPr>
          <w:rFonts w:eastAsia="方正仿宋_GBK"/>
          <w:sz w:val="28"/>
        </w:rPr>
        <w:t>5、开展服务窗口质量提升行动,完善和落实首问负责、岗位责任制、服务承诺制、政务公示制、限时办结制、失职追究制等制度措施;推行服务窗口公开办事全流程、公开服务承诺,公开工作人员姓名职务,公开办事结果“四公开”制度。建立完善激励约束机制,贯彻落实“马上就办、办就办好”要求,实现服务受理零推诿、服务方式零距离、服务质量零差错、服务结果零投诉的“四零”服务承诺。对行政审批窗口工作人员进行教育管理、培训、管理和绩效考核。</w:t>
      </w:r>
    </w:p>
    <w:p>
      <w:pPr>
        <w:spacing w:line="500" w:lineRule="exact"/>
        <w:ind w:firstLine="560" w:firstLineChars="200"/>
        <w:jc w:val="left"/>
        <w:rPr>
          <w:rFonts w:eastAsia="方正仿宋_GBK"/>
          <w:sz w:val="28"/>
        </w:rPr>
      </w:pPr>
      <w:r>
        <w:rPr>
          <w:rFonts w:eastAsia="方正仿宋_GBK"/>
          <w:sz w:val="28"/>
        </w:rPr>
        <w:t>6、持续优化服务体系。持续深化“放管服”改革，对工作流程进行优化升级，建设便捷高效政务服务体系。对标学习肃宁等兄弟县市，借鉴唐山等先进地区“最多跑一次”“一次也不跑”模式，移植成熟经验，复制先进标准，推行“马上办、一次办”，实现全县上下同事项同流程，提速增效，力求更多事项审批“不见面”、群众“不跑路”。</w:t>
      </w:r>
    </w:p>
    <w:p>
      <w:pPr>
        <w:spacing w:line="500" w:lineRule="exact"/>
        <w:ind w:firstLine="560" w:firstLineChars="200"/>
        <w:jc w:val="left"/>
        <w:rPr>
          <w:rFonts w:eastAsia="方正仿宋_GBK"/>
          <w:sz w:val="28"/>
        </w:rPr>
      </w:pPr>
      <w:r>
        <w:rPr>
          <w:rFonts w:eastAsia="方正仿宋_GBK"/>
          <w:sz w:val="28"/>
        </w:rPr>
        <w:t>7、持续推出便民举措。加大简政放权力度，把更多的乡镇可办事项下放到乡镇（街道）。继续实行“双休日不打烊”、“领办代办”、“不见面审批”等服务，推出更多便民举措，增强群众的满意度和获得感。</w:t>
      </w:r>
    </w:p>
    <w:p>
      <w:pPr>
        <w:spacing w:line="500" w:lineRule="exact"/>
        <w:ind w:firstLine="560" w:firstLineChars="200"/>
        <w:jc w:val="left"/>
        <w:rPr>
          <w:rFonts w:eastAsia="方正仿宋_GBK"/>
          <w:sz w:val="28"/>
        </w:rPr>
      </w:pPr>
    </w:p>
    <w:p>
      <w:pPr>
        <w:ind w:firstLine="643" w:firstLineChars="200"/>
        <w:jc w:val="left"/>
        <w:rPr>
          <w:rFonts w:hint="eastAsia" w:ascii="方正楷体_GBK" w:eastAsia="方正楷体_GBK"/>
          <w:b/>
          <w:sz w:val="32"/>
        </w:rPr>
      </w:pPr>
      <w:r>
        <w:rPr>
          <w:rFonts w:hint="eastAsia" w:ascii="方正楷体_GBK" w:eastAsia="方正楷体_GBK"/>
          <w:b/>
          <w:sz w:val="32"/>
        </w:rPr>
        <w:t>第二部分</w:t>
      </w:r>
      <w:r>
        <w:rPr>
          <w:rFonts w:ascii="方正楷体_GBK" w:eastAsia="方正楷体_GBK"/>
          <w:b/>
          <w:sz w:val="32"/>
        </w:rPr>
        <w:t xml:space="preserve">  </w:t>
      </w:r>
      <w:r>
        <w:rPr>
          <w:rFonts w:hint="eastAsia" w:ascii="方正楷体_GBK" w:eastAsia="方正楷体_GBK"/>
          <w:b/>
          <w:sz w:val="32"/>
        </w:rPr>
        <w:t>专项资金绩效目标</w:t>
      </w:r>
    </w:p>
    <w:p>
      <w:pPr>
        <w:ind w:firstLine="643" w:firstLineChars="200"/>
        <w:jc w:val="left"/>
        <w:rPr>
          <w:rFonts w:hAnsi="宋体"/>
          <w:b/>
          <w:sz w:val="32"/>
        </w:rPr>
      </w:pPr>
      <w:r>
        <w:rPr>
          <w:rFonts w:hint="eastAsia" w:ascii="方正楷体_GBK" w:eastAsia="方正楷体_GBK"/>
          <w:b/>
          <w:sz w:val="32"/>
        </w:rPr>
        <w:t>无</w:t>
      </w:r>
    </w:p>
    <w:p>
      <w:pPr>
        <w:ind w:firstLine="643" w:firstLineChars="200"/>
        <w:jc w:val="left"/>
        <w:rPr>
          <w:rFonts w:hAnsi="宋体"/>
          <w:b/>
          <w:sz w:val="32"/>
        </w:rPr>
      </w:pPr>
      <w:r>
        <w:rPr>
          <w:rFonts w:hint="eastAsia" w:ascii="方正楷体_GBK" w:eastAsia="方正楷体_GBK"/>
          <w:b/>
          <w:sz w:val="32"/>
        </w:rPr>
        <w:t>第三部分  预算项目绩效目标</w:t>
      </w:r>
    </w:p>
    <w:p>
      <w:pPr>
        <w:ind w:firstLine="420" w:firstLineChars="200"/>
        <w:jc w:val="left"/>
      </w:pPr>
    </w:p>
    <w:p>
      <w:pPr>
        <w:ind w:firstLine="560" w:firstLineChars="200"/>
        <w:jc w:val="left"/>
        <w:rPr>
          <w:rFonts w:hAnsi="宋体"/>
          <w:b/>
          <w:sz w:val="28"/>
        </w:rPr>
      </w:pPr>
      <w:r>
        <w:rPr>
          <w:rFonts w:hint="eastAsia" w:ascii="方正仿宋_GBK" w:eastAsia="方正仿宋_GBK"/>
          <w:b/>
          <w:sz w:val="28"/>
        </w:rPr>
        <w:t>1、审批局公共资源交易中心经费绩效目标表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为了规范公共资源交易活动</w:t>
            </w:r>
            <w:r>
              <w:rPr>
                <w:rFonts w:ascii="方正书宋_GBK" w:eastAsia="方正书宋_GBK"/>
              </w:rPr>
              <w:t>,</w:t>
            </w:r>
            <w:r>
              <w:rPr>
                <w:rFonts w:hint="eastAsia" w:ascii="方正书宋_GBK" w:eastAsia="方正书宋_GBK"/>
              </w:rPr>
              <w:t>建立统一规范的公共资源交易市场</w:t>
            </w:r>
            <w:r>
              <w:rPr>
                <w:rFonts w:ascii="方正书宋_GBK" w:eastAsia="方正书宋_GBK"/>
              </w:rPr>
              <w:t>,</w:t>
            </w:r>
            <w:r>
              <w:rPr>
                <w:rFonts w:hint="eastAsia" w:ascii="方正书宋_GBK" w:eastAsia="方正书宋_GBK"/>
              </w:rPr>
              <w:t>增强市场信息透明度</w:t>
            </w:r>
            <w:r>
              <w:rPr>
                <w:rFonts w:ascii="方正书宋_GBK" w:eastAsia="方正书宋_GBK"/>
              </w:rPr>
              <w:t>,</w:t>
            </w:r>
            <w:r>
              <w:rPr>
                <w:rFonts w:hint="eastAsia" w:ascii="方正书宋_GBK" w:eastAsia="方正书宋_GBK"/>
              </w:rPr>
              <w:t>维护国家和社会公共利益</w:t>
            </w:r>
            <w:r>
              <w:rPr>
                <w:rFonts w:ascii="方正书宋_GBK" w:eastAsia="方正书宋_GBK"/>
              </w:rPr>
              <w:t>,</w:t>
            </w:r>
            <w:r>
              <w:rPr>
                <w:rFonts w:hint="eastAsia" w:ascii="方正书宋_GBK" w:eastAsia="方正书宋_GBK"/>
              </w:rPr>
              <w:t>保护交易当事人的合法权益</w:t>
            </w:r>
            <w:r>
              <w:rPr>
                <w:rFonts w:ascii="方正书宋_GBK" w:eastAsia="方正书宋_GBK"/>
              </w:rPr>
              <w:t>,</w:t>
            </w:r>
            <w:r>
              <w:rPr>
                <w:rFonts w:hint="eastAsia" w:ascii="方正书宋_GBK" w:eastAsia="方正书宋_GBK"/>
              </w:rPr>
              <w:t>优化公共资源配置，维护市场参与各方和社会公共利益，打造公开、公平、公正和诚实守信的阳光交易平台，逐步构建统一、开放、竞争、规范的市场环境。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完善统一的公共资源交易平台体系，强化交易平台资源共享，全面推进公共资源交易电子化，加强对公共资源交易管理，各类公共资源交易</w:t>
            </w:r>
            <w:r>
              <w:rPr>
                <w:rFonts w:hint="cs" w:ascii="方正书宋_GBK" w:eastAsia="方正书宋_GBK"/>
                <w:cs/>
              </w:rPr>
              <w:t>“</w:t>
            </w:r>
            <w:r>
              <w:rPr>
                <w:rFonts w:hint="eastAsia" w:ascii="方正书宋_GBK" w:eastAsia="方正书宋_GBK"/>
              </w:rPr>
              <w:t>应进必进</w:t>
            </w:r>
            <w:r>
              <w:rPr>
                <w:rFonts w:hint="cs" w:ascii="方正书宋_GBK" w:eastAsia="方正书宋_GBK"/>
                <w:cs/>
              </w:rPr>
              <w:t>”</w:t>
            </w:r>
            <w:r>
              <w:rPr>
                <w:rFonts w:hint="eastAsia" w:ascii="方正书宋_GBK" w:eastAsia="方正书宋_GBK"/>
              </w:rPr>
              <w:t>，完善公共资源交易制度，促进公共资源交易平台规范运行。</w:t>
            </w:r>
          </w:p>
        </w:tc>
      </w:tr>
    </w:tbl>
    <w:p>
      <w:pPr>
        <w:spacing w:line="14" w:lineRule="exact"/>
        <w:jc w:val="center"/>
        <w:rPr>
          <w:rFonts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完成项目交易数量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完成政采类项目、工程类项目数量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宗</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《高阳县推进公共资源交易市场建设工作的实施方案》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全面推进公共资源交易电子化</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实现网上受理，网上发布信息，网上报名及文件下载等</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规范运行</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《高阳县推进公共资源交易市场建设工作的实施方案》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根据不同的采购方式，按法定期限完成交易</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《高阳县推进公共资源交易市场建设工作的实施方案》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节约率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节约的财政资金占限价的百分比</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《高阳县推进公共资源交易市场建设工作的实施方案》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提升服务质量，规范交易行为</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打造公开、公平、公正和诚实守信的阳光交易平台</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规范运行</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《高阳县推进公共资源交易市场建设工作的实施方案》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调查中满意和较满意的企业占调查总企业的比重</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《高阳县推进公共资源交易市场建设工作的实施方案》</w:t>
            </w:r>
          </w:p>
        </w:tc>
      </w:tr>
    </w:tbl>
    <w:p>
      <w:pPr>
        <w:spacing w:line="300" w:lineRule="exact"/>
        <w:jc w:val="left"/>
      </w:pPr>
    </w:p>
    <w:p>
      <w:pPr>
        <w:ind w:firstLine="560" w:firstLineChars="200"/>
        <w:jc w:val="left"/>
        <w:rPr>
          <w:rFonts w:hAnsi="宋体"/>
          <w:b/>
          <w:sz w:val="28"/>
        </w:rPr>
      </w:pPr>
      <w:r>
        <w:rPr>
          <w:rFonts w:hint="eastAsia" w:ascii="方正仿宋_GBK" w:eastAsia="方正仿宋_GBK"/>
          <w:b/>
          <w:sz w:val="28"/>
        </w:rPr>
        <w:t>2、审批局行政审批经费绩效目标表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深化审批制度改革、</w:t>
            </w:r>
            <w:r>
              <w:rPr>
                <w:rFonts w:hint="eastAsia" w:ascii="方正书宋_GBK" w:eastAsia="方正书宋_GBK"/>
                <w:lang w:eastAsia="zh-CN"/>
              </w:rPr>
              <w:t>“放管服”改革</w:t>
            </w:r>
            <w:r>
              <w:rPr>
                <w:rFonts w:hint="eastAsia" w:ascii="方正书宋_GBK" w:eastAsia="方正书宋_GBK"/>
              </w:rPr>
              <w:t>、商事制度改革，优化审批服务流程，创新审批服务方式，努力营造一流营商环境。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高标准推进</w:t>
            </w:r>
            <w:r>
              <w:rPr>
                <w:rFonts w:hint="cs" w:ascii="方正书宋_GBK" w:eastAsia="方正书宋_GBK"/>
                <w:cs/>
              </w:rPr>
              <w:t>“</w:t>
            </w:r>
            <w:r>
              <w:rPr>
                <w:rFonts w:hint="eastAsia" w:ascii="方正书宋_GBK" w:eastAsia="方正书宋_GBK"/>
              </w:rPr>
              <w:t>互联网</w:t>
            </w:r>
            <w:r>
              <w:rPr>
                <w:rFonts w:ascii="方正书宋_GBK" w:eastAsia="方正书宋_GBK"/>
              </w:rPr>
              <w:t>+</w:t>
            </w:r>
            <w:r>
              <w:rPr>
                <w:rFonts w:hint="eastAsia" w:ascii="方正书宋_GBK" w:eastAsia="方正书宋_GBK"/>
              </w:rPr>
              <w:t>政务服务</w:t>
            </w:r>
            <w:r>
              <w:rPr>
                <w:rFonts w:hint="cs" w:ascii="方正书宋_GBK" w:eastAsia="方正书宋_GBK"/>
                <w:cs/>
              </w:rPr>
              <w:t>”</w:t>
            </w:r>
            <w:r>
              <w:rPr>
                <w:rFonts w:hint="eastAsia" w:ascii="方正书宋_GBK" w:eastAsia="方正书宋_GBK"/>
              </w:rPr>
              <w:t>建设，实行创业创新审批服务</w:t>
            </w:r>
            <w:r>
              <w:rPr>
                <w:rFonts w:hint="cs" w:ascii="方正书宋_GBK" w:eastAsia="方正书宋_GBK"/>
                <w:cs/>
              </w:rPr>
              <w:t>“</w:t>
            </w:r>
            <w:r>
              <w:rPr>
                <w:rFonts w:hint="eastAsia" w:ascii="方正书宋_GBK" w:eastAsia="方正书宋_GBK"/>
              </w:rPr>
              <w:t>百事通</w:t>
            </w:r>
            <w:r>
              <w:rPr>
                <w:rFonts w:hint="cs" w:ascii="方正书宋_GBK" w:eastAsia="方正书宋_GBK"/>
                <w:cs/>
              </w:rPr>
              <w:t>”</w:t>
            </w:r>
            <w:r>
              <w:rPr>
                <w:rFonts w:hint="eastAsia" w:ascii="方正书宋_GBK" w:eastAsia="方正书宋_GBK"/>
              </w:rPr>
              <w:t>改革，提升政务服务水平，实施政务服务标准化，网上可办率达到</w:t>
            </w:r>
            <w:r>
              <w:rPr>
                <w:rFonts w:ascii="方正书宋_GBK" w:eastAsia="方正书宋_GBK"/>
              </w:rPr>
              <w:t>95%</w:t>
            </w:r>
            <w:r>
              <w:rPr>
                <w:rFonts w:hint="eastAsia" w:ascii="方正书宋_GBK" w:eastAsia="方正书宋_GBK"/>
              </w:rPr>
              <w:t>以上。</w:t>
            </w:r>
          </w:p>
        </w:tc>
      </w:tr>
    </w:tbl>
    <w:p>
      <w:pPr>
        <w:spacing w:line="14" w:lineRule="exact"/>
        <w:jc w:val="center"/>
        <w:rPr>
          <w:rFonts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办件量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全年窗口办件数量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9000</w:t>
            </w:r>
            <w:r>
              <w:rPr>
                <w:rFonts w:hint="eastAsia" w:ascii="方正书宋_GBK" w:eastAsia="方正书宋_GBK"/>
              </w:rPr>
              <w:t>件</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高阳县人民政府办公室关于印发《高阳县行政审批局主要职责内设机构和人员编制规定》的通知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提升政务服务水平</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实现前台综合受理，后台分类审批，综合窗口出件</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压缩审批时间</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高阳县人民政府办公室关于印发《高阳县行政审批局主要职责内设机构和人员编制规定》的通知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按时办结率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按时办结事项占全部审批事项的百分比</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97%</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高阳县人民政府办公室关于印发《高阳县行政审批局主要职责内设机构和人员编制规定》的通知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预算执行率</w:t>
            </w:r>
            <w:r>
              <w:rPr>
                <w:rFonts w:ascii="方正书宋_GBK" w:eastAsia="方正书宋_GBK"/>
              </w:rPr>
              <w:t>=</w:t>
            </w:r>
            <w:r>
              <w:rPr>
                <w:rFonts w:hint="eastAsia" w:ascii="方正书宋_GBK" w:eastAsia="方正书宋_GBK"/>
              </w:rPr>
              <w:t>预算执行数</w:t>
            </w:r>
            <w:r>
              <w:rPr>
                <w:rFonts w:ascii="方正书宋_GBK" w:eastAsia="方正书宋_GBK"/>
              </w:rPr>
              <w:t>/</w:t>
            </w:r>
            <w:r>
              <w:rPr>
                <w:rFonts w:hint="eastAsia" w:ascii="方正书宋_GBK" w:eastAsia="方正书宋_GBK"/>
              </w:rPr>
              <w:t>当年预算数</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高阳县人民政府办公室关于印发《高阳县行政审批局主要职责内设机构和人员编制规定》的通知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网上可办率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构建</w:t>
            </w:r>
            <w:r>
              <w:rPr>
                <w:rFonts w:hint="cs" w:ascii="方正书宋_GBK" w:eastAsia="方正书宋_GBK"/>
                <w:cs/>
              </w:rPr>
              <w:t>“</w:t>
            </w:r>
            <w:r>
              <w:rPr>
                <w:rFonts w:hint="eastAsia" w:ascii="方正书宋_GBK" w:eastAsia="方正书宋_GBK"/>
              </w:rPr>
              <w:t>一网通办</w:t>
            </w:r>
            <w:r>
              <w:rPr>
                <w:rFonts w:hint="cs" w:ascii="方正书宋_GBK" w:eastAsia="方正书宋_GBK"/>
                <w:cs/>
              </w:rPr>
              <w:t>”</w:t>
            </w:r>
            <w:r>
              <w:rPr>
                <w:rFonts w:hint="eastAsia" w:ascii="方正书宋_GBK" w:eastAsia="方正书宋_GBK"/>
              </w:rPr>
              <w:t>政务服务体系，网上可办率达到</w:t>
            </w:r>
            <w:r>
              <w:rPr>
                <w:rFonts w:ascii="方正书宋_GBK" w:eastAsia="方正书宋_GBK"/>
              </w:rPr>
              <w:t>95%</w:t>
            </w:r>
            <w:r>
              <w:rPr>
                <w:rFonts w:hint="eastAsia" w:ascii="方正书宋_GBK" w:eastAsia="方正书宋_GBK"/>
              </w:rPr>
              <w:t>以上。</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高阳县人民政府办公室关于印发《高阳县行政审批局主要职责内设机构和人员编制规定》的通知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服务群众满意度</w:t>
            </w:r>
          </w:p>
        </w:tc>
        <w:tc>
          <w:tcPr>
            <w:tcW w:w="2835" w:type="dxa"/>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调查中满意和较满意的人数占调查总数的百分比</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高阳县人民政府办公室关于印发《高阳县行政审批局主要职责内设机构和人员编制规定》的通知</w:t>
            </w:r>
          </w:p>
        </w:tc>
      </w:tr>
    </w:tbl>
    <w:p>
      <w:pPr>
        <w:spacing w:line="300" w:lineRule="exact"/>
        <w:jc w:val="left"/>
      </w:pPr>
    </w:p>
    <w:p>
      <w:pPr>
        <w:ind w:firstLine="560" w:firstLineChars="200"/>
        <w:jc w:val="left"/>
        <w:rPr>
          <w:rFonts w:hAnsi="宋体"/>
          <w:b/>
          <w:sz w:val="28"/>
        </w:rPr>
      </w:pPr>
      <w:r>
        <w:rPr>
          <w:rFonts w:hint="eastAsia" w:ascii="方正仿宋_GBK" w:eastAsia="方正仿宋_GBK"/>
          <w:b/>
          <w:sz w:val="28"/>
        </w:rPr>
        <w:t>3、审批局网络通讯服务费绩效目标表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因业务需要开通了四条专网及微信平台，以保障审批业务的正常开展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按时支付网络通讯服务费</w:t>
            </w:r>
          </w:p>
        </w:tc>
      </w:tr>
    </w:tbl>
    <w:p>
      <w:pPr>
        <w:spacing w:line="14" w:lineRule="exact"/>
        <w:jc w:val="center"/>
        <w:rPr>
          <w:rFonts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开通专网数量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根据业务需要开通的专网数量</w:t>
            </w:r>
          </w:p>
        </w:tc>
        <w:tc>
          <w:tcPr>
            <w:tcW w:w="2551" w:type="dxa"/>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条</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云视频服务协议、环保内网接入合同、互联网专线业务接入合同</w:t>
            </w:r>
            <w:r>
              <w:rPr>
                <w:rFonts w:ascii="方正书宋_GBK" w:eastAsia="方正书宋_GBK"/>
              </w:rPr>
              <w:t>1</w:t>
            </w:r>
            <w:r>
              <w:rPr>
                <w:rFonts w:hint="eastAsia" w:ascii="方正书宋_GBK" w:eastAsia="方正书宋_GBK"/>
              </w:rPr>
              <w:t>份（一条互联网、一条政务外网）、微信平台合作协议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线路故障修复处理时间</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线路故障修复平均处理时间</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≤24小时</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云视频服务协议、环保内网接入合同、互联网专线业务接入合同</w:t>
            </w:r>
            <w:r>
              <w:rPr>
                <w:rFonts w:ascii="方正书宋_GBK" w:eastAsia="方正书宋_GBK"/>
              </w:rPr>
              <w:t>1</w:t>
            </w:r>
            <w:r>
              <w:rPr>
                <w:rFonts w:hint="eastAsia" w:ascii="方正书宋_GBK" w:eastAsia="方正书宋_GBK"/>
              </w:rPr>
              <w:t>份（一条互联网、一条政务外网）、微信平台合作协议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网络通畅</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保证业务正常办理</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通畅</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云视频服务协议、环保内网接入合同、互联网专线业务接入合同</w:t>
            </w:r>
            <w:r>
              <w:rPr>
                <w:rFonts w:ascii="方正书宋_GBK" w:eastAsia="方正书宋_GBK"/>
              </w:rPr>
              <w:t>1</w:t>
            </w:r>
            <w:r>
              <w:rPr>
                <w:rFonts w:hint="eastAsia" w:ascii="方正书宋_GBK" w:eastAsia="方正书宋_GBK"/>
              </w:rPr>
              <w:t>份（一条互联网、一条政务外网）、微信平台合作协议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按时支付网络通讯服务费</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根据合同约定，按时支付费用</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按时支付</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云视频服务协议、环保内网接入合同、互联网专线业务接入合同</w:t>
            </w:r>
            <w:r>
              <w:rPr>
                <w:rFonts w:ascii="方正书宋_GBK" w:eastAsia="方正书宋_GBK"/>
              </w:rPr>
              <w:t>1</w:t>
            </w:r>
            <w:r>
              <w:rPr>
                <w:rFonts w:hint="eastAsia" w:ascii="方正书宋_GBK" w:eastAsia="方正书宋_GBK"/>
              </w:rPr>
              <w:t>份（一条互联网、一条政务外网）、微信平台合作协议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业务保障能力</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保证业务正常开展的情况</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正常开展</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云视频服务协议、环保内网接入合同、互联网专线业务接入合同</w:t>
            </w:r>
            <w:r>
              <w:rPr>
                <w:rFonts w:ascii="方正书宋_GBK" w:eastAsia="方正书宋_GBK"/>
              </w:rPr>
              <w:t>1</w:t>
            </w:r>
            <w:r>
              <w:rPr>
                <w:rFonts w:hint="eastAsia" w:ascii="方正书宋_GBK" w:eastAsia="方正书宋_GBK"/>
              </w:rPr>
              <w:t>份（一条互联网、一条政务外网）、微信平台合作协议</w:t>
            </w:r>
          </w:p>
        </w:tc>
      </w:tr>
    </w:tbl>
    <w:p>
      <w:pPr>
        <w:spacing w:line="300" w:lineRule="exact"/>
        <w:jc w:val="left"/>
      </w:pPr>
    </w:p>
    <w:p>
      <w:pPr>
        <w:ind w:firstLine="560" w:firstLineChars="200"/>
        <w:jc w:val="left"/>
        <w:rPr>
          <w:rFonts w:hAnsi="宋体"/>
          <w:b/>
          <w:sz w:val="28"/>
        </w:rPr>
      </w:pPr>
      <w:r>
        <w:rPr>
          <w:rFonts w:hint="eastAsia" w:ascii="方正仿宋_GBK" w:eastAsia="方正仿宋_GBK"/>
          <w:b/>
          <w:sz w:val="28"/>
        </w:rPr>
        <w:t>4、审批局存量档案电子化服务费绩效目标表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方便档案的保管和查询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便企利民，服务群众</w:t>
            </w:r>
          </w:p>
        </w:tc>
      </w:tr>
    </w:tbl>
    <w:p>
      <w:pPr>
        <w:spacing w:line="14" w:lineRule="exact"/>
        <w:jc w:val="center"/>
        <w:rPr>
          <w:rFonts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转换电子档案数量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把存量档案转换为电子档案的数量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35000</w:t>
            </w:r>
            <w:r>
              <w:rPr>
                <w:rFonts w:hint="eastAsia" w:ascii="方正书宋_GBK" w:eastAsia="方正书宋_GBK"/>
              </w:rPr>
              <w:t>份</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冀市监函【</w:t>
            </w:r>
            <w:r>
              <w:rPr>
                <w:rFonts w:ascii="方正书宋_GBK" w:eastAsia="方正书宋_GBK"/>
              </w:rPr>
              <w:t>2020</w:t>
            </w:r>
            <w:r>
              <w:rPr>
                <w:rFonts w:hint="eastAsia" w:ascii="方正书宋_GBK" w:eastAsia="方正书宋_GBK"/>
              </w:rPr>
              <w:t>】</w:t>
            </w:r>
            <w:r>
              <w:rPr>
                <w:rFonts w:ascii="方正书宋_GBK" w:eastAsia="方正书宋_GBK"/>
              </w:rPr>
              <w:t>542</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河北省市场监督管理局关于进一步充实企业户籍电子档案</w:t>
            </w:r>
            <w:r>
              <w:rPr>
                <w:rFonts w:hint="cs" w:ascii="方正书宋_GBK" w:eastAsia="方正书宋_GBK"/>
                <w:cs/>
              </w:rPr>
              <w:t>“</w:t>
            </w:r>
            <w:r>
              <w:rPr>
                <w:rFonts w:hint="eastAsia" w:ascii="方正书宋_GBK" w:eastAsia="方正书宋_GBK"/>
              </w:rPr>
              <w:t>容</w:t>
            </w:r>
            <w:r>
              <w:rPr>
                <w:rFonts w:ascii="方正书宋_GBK" w:eastAsia="方正书宋_GBK"/>
              </w:rPr>
              <w:t>e</w:t>
            </w:r>
            <w:r>
              <w:rPr>
                <w:rFonts w:hint="eastAsia" w:ascii="方正书宋_GBK" w:eastAsia="方正书宋_GBK"/>
              </w:rPr>
              <w:t>查</w:t>
            </w:r>
            <w:r>
              <w:rPr>
                <w:rFonts w:ascii="方正书宋_GBK" w:eastAsia="方正书宋_GBK"/>
              </w:rPr>
              <w:t>"</w:t>
            </w:r>
            <w:r>
              <w:rPr>
                <w:rFonts w:hint="eastAsia" w:ascii="方正书宋_GBK" w:eastAsia="方正书宋_GBK"/>
              </w:rPr>
              <w:t>有关事项的通知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标准规范</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符合纸质档案数字化规范</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达标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冀市监函【</w:t>
            </w:r>
            <w:r>
              <w:rPr>
                <w:rFonts w:ascii="方正书宋_GBK" w:eastAsia="方正书宋_GBK"/>
              </w:rPr>
              <w:t>2020</w:t>
            </w:r>
            <w:r>
              <w:rPr>
                <w:rFonts w:hint="eastAsia" w:ascii="方正书宋_GBK" w:eastAsia="方正书宋_GBK"/>
              </w:rPr>
              <w:t>】</w:t>
            </w:r>
            <w:r>
              <w:rPr>
                <w:rFonts w:ascii="方正书宋_GBK" w:eastAsia="方正书宋_GBK"/>
              </w:rPr>
              <w:t>542</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河北省市场监督管理局关于进一步充实企业户籍电子档案</w:t>
            </w:r>
            <w:r>
              <w:rPr>
                <w:rFonts w:hint="cs" w:ascii="方正书宋_GBK" w:eastAsia="方正书宋_GBK"/>
                <w:cs/>
              </w:rPr>
              <w:t>“</w:t>
            </w:r>
            <w:r>
              <w:rPr>
                <w:rFonts w:hint="eastAsia" w:ascii="方正书宋_GBK" w:eastAsia="方正书宋_GBK"/>
              </w:rPr>
              <w:t>容</w:t>
            </w:r>
            <w:r>
              <w:rPr>
                <w:rFonts w:ascii="方正书宋_GBK" w:eastAsia="方正书宋_GBK"/>
              </w:rPr>
              <w:t>e</w:t>
            </w:r>
            <w:r>
              <w:rPr>
                <w:rFonts w:hint="eastAsia" w:ascii="方正书宋_GBK" w:eastAsia="方正书宋_GBK"/>
              </w:rPr>
              <w:t>查</w:t>
            </w:r>
            <w:r>
              <w:rPr>
                <w:rFonts w:ascii="方正书宋_GBK" w:eastAsia="方正书宋_GBK"/>
              </w:rPr>
              <w:t>"</w:t>
            </w:r>
            <w:r>
              <w:rPr>
                <w:rFonts w:hint="eastAsia" w:ascii="方正书宋_GBK" w:eastAsia="方正书宋_GBK"/>
              </w:rPr>
              <w:t>有关事项的通知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合同约定</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按合同约定时限完成</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冀市监函【</w:t>
            </w:r>
            <w:r>
              <w:rPr>
                <w:rFonts w:ascii="方正书宋_GBK" w:eastAsia="方正书宋_GBK"/>
              </w:rPr>
              <w:t>2020</w:t>
            </w:r>
            <w:r>
              <w:rPr>
                <w:rFonts w:hint="eastAsia" w:ascii="方正书宋_GBK" w:eastAsia="方正书宋_GBK"/>
              </w:rPr>
              <w:t>】</w:t>
            </w:r>
            <w:r>
              <w:rPr>
                <w:rFonts w:ascii="方正书宋_GBK" w:eastAsia="方正书宋_GBK"/>
              </w:rPr>
              <w:t>542</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河北省市场监督管理局关于进一步充实企业户籍电子档案</w:t>
            </w:r>
            <w:r>
              <w:rPr>
                <w:rFonts w:hint="cs" w:ascii="方正书宋_GBK" w:eastAsia="方正书宋_GBK"/>
                <w:cs/>
              </w:rPr>
              <w:t>“</w:t>
            </w:r>
            <w:r>
              <w:rPr>
                <w:rFonts w:hint="eastAsia" w:ascii="方正书宋_GBK" w:eastAsia="方正书宋_GBK"/>
              </w:rPr>
              <w:t>容</w:t>
            </w:r>
            <w:r>
              <w:rPr>
                <w:rFonts w:ascii="方正书宋_GBK" w:eastAsia="方正书宋_GBK"/>
              </w:rPr>
              <w:t>e</w:t>
            </w:r>
            <w:r>
              <w:rPr>
                <w:rFonts w:hint="eastAsia" w:ascii="方正书宋_GBK" w:eastAsia="方正书宋_GBK"/>
              </w:rPr>
              <w:t>查</w:t>
            </w:r>
            <w:r>
              <w:rPr>
                <w:rFonts w:ascii="方正书宋_GBK" w:eastAsia="方正书宋_GBK"/>
              </w:rPr>
              <w:t>"</w:t>
            </w:r>
            <w:r>
              <w:rPr>
                <w:rFonts w:hint="eastAsia" w:ascii="方正书宋_GBK" w:eastAsia="方正书宋_GBK"/>
              </w:rPr>
              <w:t>有关事项的通知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每份服务成本</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按合同约定</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0.4</w:t>
            </w:r>
            <w:r>
              <w:rPr>
                <w:rFonts w:hint="eastAsia" w:ascii="方正书宋_GBK" w:eastAsia="方正书宋_GBK"/>
              </w:rPr>
              <w:t>元</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冀市监函【</w:t>
            </w:r>
            <w:r>
              <w:rPr>
                <w:rFonts w:ascii="方正书宋_GBK" w:eastAsia="方正书宋_GBK"/>
              </w:rPr>
              <w:t>2020</w:t>
            </w:r>
            <w:r>
              <w:rPr>
                <w:rFonts w:hint="eastAsia" w:ascii="方正书宋_GBK" w:eastAsia="方正书宋_GBK"/>
              </w:rPr>
              <w:t>】</w:t>
            </w:r>
            <w:r>
              <w:rPr>
                <w:rFonts w:ascii="方正书宋_GBK" w:eastAsia="方正书宋_GBK"/>
              </w:rPr>
              <w:t>542</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河北省市场监督管理局关于进一步充实企业户籍电子档案</w:t>
            </w:r>
            <w:r>
              <w:rPr>
                <w:rFonts w:hint="cs" w:ascii="方正书宋_GBK" w:eastAsia="方正书宋_GBK"/>
                <w:cs/>
              </w:rPr>
              <w:t>“</w:t>
            </w:r>
            <w:r>
              <w:rPr>
                <w:rFonts w:hint="eastAsia" w:ascii="方正书宋_GBK" w:eastAsia="方正书宋_GBK"/>
              </w:rPr>
              <w:t>容</w:t>
            </w:r>
            <w:r>
              <w:rPr>
                <w:rFonts w:ascii="方正书宋_GBK" w:eastAsia="方正书宋_GBK"/>
              </w:rPr>
              <w:t>e</w:t>
            </w:r>
            <w:r>
              <w:rPr>
                <w:rFonts w:hint="eastAsia" w:ascii="方正书宋_GBK" w:eastAsia="方正书宋_GBK"/>
              </w:rPr>
              <w:t>查</w:t>
            </w:r>
            <w:r>
              <w:rPr>
                <w:rFonts w:ascii="方正书宋_GBK" w:eastAsia="方正书宋_GBK"/>
              </w:rPr>
              <w:t>"</w:t>
            </w:r>
            <w:r>
              <w:rPr>
                <w:rFonts w:hint="eastAsia" w:ascii="方正书宋_GBK" w:eastAsia="方正书宋_GBK"/>
              </w:rPr>
              <w:t>有关事项的通知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方便档案查询</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方便档案的管理，提高档案查询效率</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正常开展</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冀市监函【</w:t>
            </w:r>
            <w:r>
              <w:rPr>
                <w:rFonts w:ascii="方正书宋_GBK" w:eastAsia="方正书宋_GBK"/>
              </w:rPr>
              <w:t>2020</w:t>
            </w:r>
            <w:r>
              <w:rPr>
                <w:rFonts w:hint="eastAsia" w:ascii="方正书宋_GBK" w:eastAsia="方正书宋_GBK"/>
              </w:rPr>
              <w:t>】</w:t>
            </w:r>
            <w:r>
              <w:rPr>
                <w:rFonts w:ascii="方正书宋_GBK" w:eastAsia="方正书宋_GBK"/>
              </w:rPr>
              <w:t>542</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河北省市场监督管理局关于进一步充实企业户籍电子档案</w:t>
            </w:r>
            <w:r>
              <w:rPr>
                <w:rFonts w:hint="cs" w:ascii="方正书宋_GBK" w:eastAsia="方正书宋_GBK"/>
                <w:cs/>
              </w:rPr>
              <w:t>“</w:t>
            </w:r>
            <w:r>
              <w:rPr>
                <w:rFonts w:hint="eastAsia" w:ascii="方正书宋_GBK" w:eastAsia="方正书宋_GBK"/>
              </w:rPr>
              <w:t>容</w:t>
            </w:r>
            <w:r>
              <w:rPr>
                <w:rFonts w:ascii="方正书宋_GBK" w:eastAsia="方正书宋_GBK"/>
              </w:rPr>
              <w:t>e</w:t>
            </w:r>
            <w:r>
              <w:rPr>
                <w:rFonts w:hint="eastAsia" w:ascii="方正书宋_GBK" w:eastAsia="方正书宋_GBK"/>
              </w:rPr>
              <w:t>查</w:t>
            </w:r>
            <w:r>
              <w:rPr>
                <w:rFonts w:ascii="方正书宋_GBK" w:eastAsia="方正书宋_GBK"/>
              </w:rPr>
              <w:t>"</w:t>
            </w:r>
            <w:r>
              <w:rPr>
                <w:rFonts w:hint="eastAsia" w:ascii="方正书宋_GBK" w:eastAsia="方正书宋_GBK"/>
              </w:rPr>
              <w:t>有关事项的通知</w:t>
            </w:r>
          </w:p>
        </w:tc>
      </w:tr>
    </w:tbl>
    <w:p>
      <w:pPr>
        <w:spacing w:line="300" w:lineRule="exact"/>
        <w:jc w:val="left"/>
      </w:pPr>
    </w:p>
    <w:p>
      <w:pPr>
        <w:ind w:firstLine="560" w:firstLineChars="200"/>
        <w:jc w:val="left"/>
        <w:rPr>
          <w:rFonts w:hAnsi="宋体"/>
          <w:b/>
          <w:sz w:val="28"/>
        </w:rPr>
      </w:pPr>
      <w:r>
        <w:rPr>
          <w:rFonts w:hint="eastAsia" w:ascii="方正仿宋_GBK" w:eastAsia="方正仿宋_GBK"/>
          <w:b/>
          <w:sz w:val="28"/>
        </w:rPr>
        <w:t>5、审批局综合评审费绩效目标表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第三方出具合格评审报告后，按时支付评审费。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通过第三方评审，使项目投资更加合理。</w:t>
            </w:r>
          </w:p>
        </w:tc>
      </w:tr>
    </w:tbl>
    <w:p>
      <w:pPr>
        <w:spacing w:line="14" w:lineRule="exact"/>
        <w:jc w:val="center"/>
        <w:rPr>
          <w:rFonts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项目评审数量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评审政府投资类项目的数量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个</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河北省固定资产投资项目节能行办法》、《河北省政府投资管理办法》、《河北省重大固定资产投资项目社会稳定风险评估办法》、《建设项目环境保护管理条例》和河北省环境保护厅建设项目环境影响评价文件审批程序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评审报告准确情况</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达到评审报告范本要求</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第三方出具合格评审报告</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河北省固定资产投资项目节能行办法》、《河北省政府投资管理办法》、《河北省重大固定资产投资项目社会稳定风险评估办法》、《建设项目环境保护管理条例》和河北省环境保护厅建设项目环境影响评价文件审批程序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协议约定时间</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按协议约定时间完成评审报告</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河北省固定资产投资项目节能行办法》、《河北省政府投资管理办法》、《河北省重大固定资产投资项目社会稳定风险评估办法》、《建设项目环境保护管理条例》和河北省环境保护厅建设项目环境影响评价文件审批程序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预算执行率</w:t>
            </w:r>
            <w:r>
              <w:rPr>
                <w:rFonts w:ascii="方正书宋_GBK" w:eastAsia="方正书宋_GBK"/>
              </w:rPr>
              <w:t>=</w:t>
            </w:r>
            <w:r>
              <w:rPr>
                <w:rFonts w:hint="eastAsia" w:ascii="方正书宋_GBK" w:eastAsia="方正书宋_GBK"/>
              </w:rPr>
              <w:t>预算执行数</w:t>
            </w:r>
            <w:r>
              <w:rPr>
                <w:rFonts w:ascii="方正书宋_GBK" w:eastAsia="方正书宋_GBK"/>
              </w:rPr>
              <w:t>/</w:t>
            </w:r>
            <w:r>
              <w:rPr>
                <w:rFonts w:hint="eastAsia" w:ascii="方正书宋_GBK" w:eastAsia="方正书宋_GBK"/>
              </w:rPr>
              <w:t>当年预算数</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河北省固定资产投资项目节能行办法》、《河北省政府投资管理办法》、《河北省重大固定资产投资项目社会稳定风险评估办法》、《建设项目环境保护管理条例》和河北省环境保护厅建设项目环境影响评价文件审批程序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按时支付情况</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按合同约定时间支付评审费</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按时支付</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河北省固定资产投资项目节能行办法》、《河北省政府投资管理办法》、《河北省重大固定资产投资项目社会稳定风险评估办法》、《建设项目环境保护管理条例》和河北省环境保护厅建设项目环境影响评价文件审批程序规定</w:t>
            </w:r>
          </w:p>
        </w:tc>
      </w:tr>
    </w:tbl>
    <w:p>
      <w:pPr>
        <w:spacing w:line="300" w:lineRule="exact"/>
        <w:jc w:val="left"/>
      </w:pPr>
    </w:p>
    <w:p>
      <w:pPr>
        <w:ind w:firstLine="560" w:firstLineChars="200"/>
        <w:jc w:val="left"/>
        <w:rPr>
          <w:rFonts w:hAnsi="宋体"/>
          <w:b/>
          <w:sz w:val="28"/>
        </w:rPr>
      </w:pPr>
      <w:r>
        <w:rPr>
          <w:rFonts w:hint="eastAsia" w:ascii="方正仿宋_GBK" w:eastAsia="方正仿宋_GBK"/>
          <w:b/>
          <w:sz w:val="28"/>
        </w:rPr>
        <w:t>6、审批局行政审批经费（劳务派遣）绩效目标表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加大服务队伍建设，确保政务服务规范高效运行，确保审批工作有序正常开展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审批辅助工作较好完成</w:t>
            </w:r>
          </w:p>
        </w:tc>
      </w:tr>
    </w:tbl>
    <w:p>
      <w:pPr>
        <w:spacing w:line="14" w:lineRule="exact"/>
        <w:jc w:val="center"/>
        <w:rPr>
          <w:rFonts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劳务派遣人员数量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现有劳务派遣人数</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人</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劳务派遣合同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业务受理、系统录入等辅助工作</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完成审批辅助工作任务</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审批辅助工作较好完成</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工作的考核情况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按时支付劳务费</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按月及时支付劳务派遣人员工资保险等劳务费</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及时支付</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劳务派遣合同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预算控制率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预算执行数</w:t>
            </w:r>
            <w:r>
              <w:rPr>
                <w:rFonts w:ascii="方正书宋_GBK" w:eastAsia="方正书宋_GBK"/>
              </w:rPr>
              <w:t>-</w:t>
            </w:r>
            <w:r>
              <w:rPr>
                <w:rFonts w:hint="eastAsia" w:ascii="方正书宋_GBK" w:eastAsia="方正书宋_GBK"/>
              </w:rPr>
              <w:t>当年预算数</w:t>
            </w:r>
            <w:r>
              <w:rPr>
                <w:rFonts w:ascii="方正书宋_GBK" w:eastAsia="方正书宋_GBK"/>
              </w:rPr>
              <w:t>/</w:t>
            </w:r>
            <w:r>
              <w:rPr>
                <w:rFonts w:hint="eastAsia" w:ascii="方正书宋_GBK" w:eastAsia="方正书宋_GBK"/>
              </w:rPr>
              <w:t>当年预算数</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劳务派遣合同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实现一窗受理</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达到前台综合受理、后台分类审批</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压缩审批时间</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工作的考核情况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调查中满意和较满意对象数量占调查总人数的比例</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工作的考核情况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提升窗口服务质量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压缩审批时间，提高办事效率</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服务质量得到提升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工作的考核情况</w:t>
            </w:r>
          </w:p>
        </w:tc>
      </w:tr>
    </w:tbl>
    <w:p>
      <w:pPr>
        <w:spacing w:line="300" w:lineRule="exact"/>
        <w:jc w:val="left"/>
      </w:pPr>
    </w:p>
    <w:p>
      <w:pPr>
        <w:spacing w:before="156" w:beforeLines="50" w:after="156" w:afterLines="50"/>
        <w:ind w:firstLine="640" w:firstLineChars="200"/>
        <w:jc w:val="left"/>
        <w:outlineLvl w:val="2"/>
        <w:rPr>
          <w:rFonts w:hAnsi="宋体"/>
          <w:sz w:val="32"/>
        </w:rPr>
      </w:pPr>
      <w:bookmarkStart w:id="5" w:name="_Toc66179337"/>
      <w:r>
        <w:rPr>
          <w:rFonts w:hint="eastAsia" w:ascii="黑体" w:eastAsia="黑体"/>
          <w:sz w:val="32"/>
        </w:rPr>
        <w:t>六、政府采购预算情况</w:t>
      </w:r>
      <w:bookmarkEnd w:id="5"/>
    </w:p>
    <w:p>
      <w:pPr>
        <w:spacing w:line="500" w:lineRule="exact"/>
        <w:ind w:firstLine="560" w:firstLineChars="200"/>
        <w:jc w:val="left"/>
        <w:rPr>
          <w:rFonts w:hAnsi="宋体"/>
          <w:sz w:val="28"/>
        </w:rPr>
      </w:pPr>
      <w:r>
        <w:rPr>
          <w:rFonts w:hint="eastAsia" w:eastAsia="方正仿宋_GBK"/>
          <w:sz w:val="28"/>
        </w:rPr>
        <w:t>2021年，我部门安排政府采购预算0元。</w:t>
      </w:r>
    </w:p>
    <w:p>
      <w:pPr>
        <w:jc w:val="center"/>
        <w:rPr>
          <w:rFonts w:hAnsi="宋体"/>
          <w:sz w:val="36"/>
        </w:rPr>
      </w:pPr>
      <w:r>
        <w:rPr>
          <w:rFonts w:hint="eastAsia" w:ascii="方正小标宋_GBK" w:eastAsia="方正小标宋_GBK"/>
          <w:sz w:val="36"/>
        </w:rPr>
        <w:t>部门政府采购预算</w:t>
      </w:r>
    </w:p>
    <w:tbl>
      <w:tblPr>
        <w:tblStyle w:val="2"/>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225</w:t>
            </w:r>
            <w:r>
              <w:rPr>
                <w:rFonts w:hint="eastAsia" w:ascii="方正小标宋_GBK" w:eastAsia="方正小标宋_GBK"/>
                <w:sz w:val="24"/>
              </w:rPr>
              <w:t>高阳县行政审批局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vAlign w:val="center"/>
          </w:tcPr>
          <w:p>
            <w:pPr>
              <w:spacing w:line="300" w:lineRule="exact"/>
              <w:jc w:val="left"/>
            </w:pPr>
          </w:p>
        </w:tc>
        <w:tc>
          <w:tcPr>
            <w:tcW w:w="1531" w:type="dxa"/>
            <w:vMerge w:val="continue"/>
            <w:vAlign w:val="center"/>
          </w:tcPr>
          <w:p>
            <w:pPr>
              <w:spacing w:line="300" w:lineRule="exact"/>
              <w:jc w:val="left"/>
            </w:pPr>
          </w:p>
        </w:tc>
        <w:tc>
          <w:tcPr>
            <w:tcW w:w="709" w:type="dxa"/>
            <w:vMerge w:val="continue"/>
            <w:vAlign w:val="center"/>
          </w:tcPr>
          <w:p>
            <w:pPr>
              <w:spacing w:line="300" w:lineRule="exact"/>
              <w:jc w:val="left"/>
            </w:pPr>
          </w:p>
        </w:tc>
        <w:tc>
          <w:tcPr>
            <w:tcW w:w="907" w:type="dxa"/>
            <w:vMerge w:val="continue"/>
            <w:vAlign w:val="center"/>
          </w:tcPr>
          <w:p>
            <w:pPr>
              <w:spacing w:line="300" w:lineRule="exact"/>
              <w:jc w:val="left"/>
            </w:pPr>
          </w:p>
        </w:tc>
        <w:tc>
          <w:tcPr>
            <w:tcW w:w="907" w:type="dxa"/>
            <w:vMerge w:val="continue"/>
            <w:vAlign w:val="center"/>
          </w:tcPr>
          <w:p>
            <w:pPr>
              <w:spacing w:line="300" w:lineRule="exact"/>
              <w:jc w:val="left"/>
            </w:pP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center"/>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hint="eastAsia" w:ascii="方正书宋_GBK" w:eastAsia="方正书宋_GBK"/>
                <w:b/>
              </w:rPr>
              <w:t>0</w:t>
            </w:r>
          </w:p>
        </w:tc>
        <w:tc>
          <w:tcPr>
            <w:tcW w:w="1134" w:type="dxa"/>
            <w:vAlign w:val="center"/>
          </w:tcPr>
          <w:p>
            <w:pPr>
              <w:spacing w:line="300" w:lineRule="exact"/>
              <w:jc w:val="right"/>
              <w:rPr>
                <w:rFonts w:ascii="方正书宋_GBK" w:eastAsia="方正书宋_GBK"/>
                <w:b/>
              </w:rPr>
            </w:pPr>
            <w:r>
              <w:rPr>
                <w:rFonts w:hint="eastAsia" w:ascii="方正书宋_GBK" w:eastAsia="方正书宋_GBK"/>
                <w:b/>
              </w:rPr>
              <w:t>0</w:t>
            </w:r>
          </w:p>
        </w:tc>
        <w:tc>
          <w:tcPr>
            <w:tcW w:w="1134" w:type="dxa"/>
            <w:vAlign w:val="center"/>
          </w:tcPr>
          <w:p>
            <w:pPr>
              <w:spacing w:line="300" w:lineRule="exact"/>
              <w:jc w:val="right"/>
              <w:rPr>
                <w:rFonts w:ascii="方正书宋_GBK" w:eastAsia="方正书宋_GBK"/>
                <w:b/>
              </w:rPr>
            </w:pPr>
            <w:r>
              <w:rPr>
                <w:rFonts w:hint="eastAsia" w:ascii="方正书宋_GBK" w:eastAsia="方正书宋_GBK"/>
                <w:b/>
              </w:rPr>
              <w:t>0</w:t>
            </w:r>
          </w:p>
        </w:tc>
        <w:tc>
          <w:tcPr>
            <w:tcW w:w="1134" w:type="dxa"/>
            <w:vAlign w:val="center"/>
          </w:tcPr>
          <w:p>
            <w:pPr>
              <w:spacing w:line="300" w:lineRule="exact"/>
              <w:jc w:val="right"/>
              <w:rPr>
                <w:rFonts w:ascii="方正书宋_GBK" w:eastAsia="方正书宋_GBK"/>
                <w:b/>
              </w:rPr>
            </w:pPr>
            <w:r>
              <w:rPr>
                <w:rFonts w:hint="eastAsia" w:ascii="方正书宋_GBK" w:eastAsia="方正书宋_GBK"/>
                <w:b/>
              </w:rPr>
              <w:t>0</w:t>
            </w:r>
          </w:p>
        </w:tc>
        <w:tc>
          <w:tcPr>
            <w:tcW w:w="1134" w:type="dxa"/>
            <w:vAlign w:val="center"/>
          </w:tcPr>
          <w:p>
            <w:pPr>
              <w:spacing w:line="300" w:lineRule="exact"/>
              <w:jc w:val="right"/>
              <w:rPr>
                <w:rFonts w:ascii="方正书宋_GBK" w:eastAsia="方正书宋_GBK"/>
                <w:b/>
              </w:rPr>
            </w:pPr>
            <w:r>
              <w:rPr>
                <w:rFonts w:hint="eastAsia" w:ascii="方正书宋_GBK" w:eastAsia="方正书宋_GBK"/>
                <w:b/>
              </w:rPr>
              <w:t>0</w:t>
            </w:r>
          </w:p>
        </w:tc>
        <w:tc>
          <w:tcPr>
            <w:tcW w:w="1134" w:type="dxa"/>
            <w:vAlign w:val="center"/>
          </w:tcPr>
          <w:p>
            <w:pPr>
              <w:spacing w:line="300" w:lineRule="exact"/>
              <w:jc w:val="right"/>
              <w:rPr>
                <w:rFonts w:ascii="方正书宋_GBK" w:eastAsia="方正书宋_GBK"/>
                <w:b/>
              </w:rPr>
            </w:pPr>
            <w:r>
              <w:rPr>
                <w:rFonts w:hint="eastAsia" w:ascii="方正书宋_GBK" w:eastAsia="方正书宋_GBK"/>
                <w:b/>
              </w:rPr>
              <w:t>0</w:t>
            </w:r>
          </w:p>
        </w:tc>
      </w:tr>
    </w:tbl>
    <w:p>
      <w:pPr>
        <w:ind w:firstLine="420" w:firstLineChars="200"/>
        <w:jc w:val="left"/>
        <w:rPr>
          <w:rFonts w:hAnsi="宋体"/>
        </w:rPr>
      </w:pPr>
      <w:r>
        <w:rPr>
          <w:rFonts w:hint="eastAsia" w:ascii="方正书宋_GBK" w:eastAsia="方正书宋_GBK"/>
        </w:rPr>
        <w:t>注：无政府采购预算，空表列示。</w:t>
      </w:r>
    </w:p>
    <w:p>
      <w:pPr>
        <w:ind w:firstLine="640" w:firstLineChars="200"/>
        <w:jc w:val="left"/>
        <w:rPr>
          <w:rFonts w:hAnsi="宋体"/>
          <w:sz w:val="32"/>
        </w:rPr>
      </w:pPr>
      <w:r>
        <w:rPr>
          <w:rFonts w:eastAsia="方正仿宋_GBK"/>
          <w:sz w:val="32"/>
        </w:rPr>
        <w:t xml:space="preserve"> </w:t>
      </w:r>
      <w:bookmarkStart w:id="6" w:name="_Toc66179338"/>
      <w:r>
        <w:rPr>
          <w:rFonts w:hint="eastAsia" w:ascii="黑体" w:hAnsi="黑体" w:eastAsia="黑体"/>
          <w:sz w:val="32"/>
        </w:rPr>
        <w:t>七、国有资产信息</w:t>
      </w:r>
      <w:bookmarkEnd w:id="6"/>
    </w:p>
    <w:p>
      <w:pPr>
        <w:spacing w:line="500" w:lineRule="exact"/>
        <w:ind w:firstLine="560" w:firstLineChars="200"/>
        <w:jc w:val="left"/>
        <w:rPr>
          <w:rFonts w:eastAsia="方正仿宋_GBK"/>
          <w:sz w:val="28"/>
        </w:rPr>
      </w:pPr>
      <w:r>
        <w:rPr>
          <w:rFonts w:hint="eastAsia" w:eastAsia="方正仿宋_GBK"/>
          <w:sz w:val="28"/>
        </w:rPr>
        <w:t>高阳县行政审批局（含所属单位）上年末固定资产金额为3361100元（详见下表）。本年度拟购置固定资产总额为80000元，不涉及政府采购情况。</w:t>
      </w:r>
    </w:p>
    <w:p>
      <w:pPr>
        <w:spacing w:line="500" w:lineRule="exact"/>
        <w:ind w:firstLine="560" w:firstLineChars="200"/>
        <w:jc w:val="left"/>
        <w:rPr>
          <w:rFonts w:eastAsia="方正仿宋_GBK"/>
          <w:sz w:val="28"/>
        </w:rPr>
      </w:pPr>
    </w:p>
    <w:p>
      <w:pPr>
        <w:jc w:val="center"/>
        <w:rPr>
          <w:rFonts w:hAnsi="宋体"/>
          <w:sz w:val="36"/>
        </w:rPr>
      </w:pPr>
      <w:r>
        <w:rPr>
          <w:rFonts w:hint="eastAsia" w:ascii="方正小标宋_GBK" w:eastAsia="方正小标宋_GBK"/>
          <w:sz w:val="36"/>
        </w:rPr>
        <w:t>部门固定资产占用情况表</w:t>
      </w:r>
    </w:p>
    <w:tbl>
      <w:tblPr>
        <w:tblStyle w:val="2"/>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225</w:t>
            </w:r>
            <w:r>
              <w:rPr>
                <w:rFonts w:hint="eastAsia" w:ascii="方正小标宋_GBK" w:eastAsia="方正小标宋_GBK"/>
                <w:sz w:val="24"/>
              </w:rPr>
              <w:t>高阳县行政审批局</w:t>
            </w:r>
          </w:p>
        </w:tc>
        <w:tc>
          <w:tcPr>
            <w:tcW w:w="5670" w:type="dxa"/>
            <w:gridSpan w:val="2"/>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　　　　　　　　资产总额</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r>
              <w:rPr>
                <w:rFonts w:ascii="方正书宋_GBK" w:eastAsia="方正书宋_GBK"/>
              </w:rPr>
              <w:t>3361063.35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vAlign w:val="center"/>
          </w:tcPr>
          <w:p>
            <w:pPr>
              <w:spacing w:line="300" w:lineRule="exact"/>
              <w:jc w:val="center"/>
              <w:rPr>
                <w:rFonts w:ascii="方正书宋_GBK" w:eastAsia="方正书宋_GBK"/>
              </w:rPr>
            </w:pPr>
            <w:r>
              <w:rPr>
                <w:rFonts w:ascii="方正书宋_GBK" w:eastAsia="方正书宋_GBK"/>
              </w:rPr>
              <w:t>1754.71</w:t>
            </w:r>
          </w:p>
        </w:tc>
        <w:tc>
          <w:tcPr>
            <w:tcW w:w="2835" w:type="dxa"/>
            <w:vAlign w:val="center"/>
          </w:tcPr>
          <w:p>
            <w:pPr>
              <w:spacing w:line="300" w:lineRule="exact"/>
              <w:jc w:val="right"/>
              <w:rPr>
                <w:rFonts w:ascii="方正书宋_GBK" w:eastAsia="方正书宋_GBK"/>
              </w:rPr>
            </w:pPr>
            <w:r>
              <w:rPr>
                <w:rFonts w:ascii="方正书宋_GBK" w:eastAsia="方正书宋_GBK"/>
              </w:rPr>
              <w:t>1730246.55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　　其中：办公用房（平方米）</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vAlign w:val="center"/>
          </w:tcPr>
          <w:p>
            <w:pPr>
              <w:spacing w:line="300" w:lineRule="exact"/>
              <w:jc w:val="center"/>
              <w:rPr>
                <w:rFonts w:ascii="方正书宋_GBK" w:eastAsia="方正书宋_GBK"/>
              </w:rPr>
            </w:pPr>
            <w:r>
              <w:rPr>
                <w:rFonts w:ascii="方正书宋_GBK" w:eastAsia="方正书宋_GBK"/>
              </w:rPr>
              <w:t>1</w:t>
            </w:r>
          </w:p>
        </w:tc>
        <w:tc>
          <w:tcPr>
            <w:tcW w:w="2835" w:type="dxa"/>
            <w:vAlign w:val="center"/>
          </w:tcPr>
          <w:p>
            <w:pPr>
              <w:spacing w:line="300" w:lineRule="exact"/>
              <w:jc w:val="right"/>
              <w:rPr>
                <w:rFonts w:ascii="方正书宋_GBK" w:eastAsia="方正书宋_GBK"/>
              </w:rPr>
            </w:pPr>
            <w:r>
              <w:rPr>
                <w:rFonts w:ascii="方正书宋_GBK" w:eastAsia="方正书宋_GBK"/>
              </w:rPr>
              <w:t>147000.00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r>
              <w:rPr>
                <w:rFonts w:ascii="方正书宋_GBK" w:eastAsia="方正书宋_GBK"/>
              </w:rPr>
              <w:t>1483816.80</w:t>
            </w:r>
          </w:p>
        </w:tc>
      </w:tr>
    </w:tbl>
    <w:p>
      <w:pPr>
        <w:spacing w:line="300" w:lineRule="exact"/>
        <w:ind w:firstLine="640" w:firstLineChars="200"/>
        <w:jc w:val="left"/>
        <w:rPr>
          <w:rFonts w:hAnsi="宋体"/>
          <w:sz w:val="32"/>
        </w:rPr>
      </w:pPr>
      <w:r>
        <w:rPr>
          <w:rFonts w:eastAsia="方正仿宋_GBK"/>
          <w:sz w:val="32"/>
        </w:rPr>
        <w:t xml:space="preserve"> </w:t>
      </w:r>
    </w:p>
    <w:p>
      <w:pPr>
        <w:spacing w:before="156" w:beforeLines="50" w:after="156" w:afterLines="50"/>
        <w:ind w:firstLine="640" w:firstLineChars="200"/>
        <w:jc w:val="left"/>
        <w:outlineLvl w:val="2"/>
        <w:rPr>
          <w:rFonts w:hAnsi="宋体"/>
          <w:sz w:val="32"/>
        </w:rPr>
      </w:pPr>
      <w:bookmarkStart w:id="7" w:name="_Toc66179339"/>
      <w:r>
        <w:rPr>
          <w:rFonts w:hint="eastAsia" w:ascii="黑体" w:hAnsi="黑体" w:eastAsia="黑体"/>
          <w:sz w:val="32"/>
        </w:rPr>
        <w:t>八、名词解释</w:t>
      </w:r>
      <w:bookmarkEnd w:id="7"/>
    </w:p>
    <w:p>
      <w:pPr>
        <w:spacing w:line="500" w:lineRule="exact"/>
        <w:ind w:firstLine="560" w:firstLineChars="200"/>
        <w:jc w:val="left"/>
        <w:rPr>
          <w:rFonts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指省级财政当年拨付的资金。</w:t>
      </w:r>
    </w:p>
    <w:p>
      <w:pPr>
        <w:spacing w:line="500" w:lineRule="exact"/>
        <w:ind w:firstLine="560" w:firstLineChars="200"/>
        <w:jc w:val="left"/>
        <w:rPr>
          <w:rFonts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纳入省级财政预算管理的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outlineLvl w:val="2"/>
        <w:rPr>
          <w:rFonts w:hAnsi="宋体"/>
          <w:sz w:val="32"/>
        </w:rPr>
      </w:pPr>
      <w:bookmarkStart w:id="8" w:name="_Toc66179340"/>
      <w:r>
        <w:rPr>
          <w:rFonts w:hint="eastAsia" w:ascii="黑体" w:hAnsi="黑体" w:eastAsia="黑体"/>
          <w:sz w:val="32"/>
        </w:rPr>
        <w:t>九、其他需要说明的事项</w:t>
      </w:r>
      <w:bookmarkEnd w:id="8"/>
    </w:p>
    <w:p>
      <w:pPr>
        <w:ind w:firstLine="1120" w:firstLineChars="400"/>
      </w:pPr>
      <w:r>
        <w:rPr>
          <w:rFonts w:hint="eastAsia" w:eastAsia="方正仿宋_GBK"/>
          <w:sz w:val="28"/>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5E189"/>
    <w:multiLevelType w:val="singleLevel"/>
    <w:tmpl w:val="09D5E189"/>
    <w:lvl w:ilvl="0" w:tentative="0">
      <w:start w:val="5"/>
      <w:numFmt w:val="chineseCounting"/>
      <w:suff w:val="nothing"/>
      <w:lvlText w:val="%1、"/>
      <w:lvlJc w:val="left"/>
      <w:pPr>
        <w:ind w:left="-10"/>
      </w:pPr>
      <w:rPr>
        <w:rFonts w:hint="eastAsia"/>
      </w:rPr>
    </w:lvl>
  </w:abstractNum>
  <w:abstractNum w:abstractNumId="1">
    <w:nsid w:val="21853EB5"/>
    <w:multiLevelType w:val="singleLevel"/>
    <w:tmpl w:val="21853EB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6833B5"/>
    <w:rsid w:val="00315948"/>
    <w:rsid w:val="003C7278"/>
    <w:rsid w:val="004D2A23"/>
    <w:rsid w:val="0053045A"/>
    <w:rsid w:val="006833B5"/>
    <w:rsid w:val="006D08E6"/>
    <w:rsid w:val="00931781"/>
    <w:rsid w:val="0094328D"/>
    <w:rsid w:val="00F76360"/>
    <w:rsid w:val="2DF329E2"/>
    <w:rsid w:val="3F480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1417</Words>
  <Characters>8078</Characters>
  <Lines>67</Lines>
  <Paragraphs>18</Paragraphs>
  <TotalTime>20</TotalTime>
  <ScaleCrop>false</ScaleCrop>
  <LinksUpToDate>false</LinksUpToDate>
  <CharactersWithSpaces>9477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2022-06-16T08:51:00Z</dcterms:created>
  <dc:creator>xb21cn</dc:creator>
  <cp:lastModifiedBy>Desdemo</cp:lastModifiedBy>
  <dcterms:modified xsi:type="dcterms:W3CDTF">2023-11-08T05:39:55Z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AB155295FA7E465082BB6EF8B781BE24_12</vt:lpwstr>
  </property>
</Properties>
</file>