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40" w:lineRule="auto"/>
        <w:ind w:firstLine="0" w:firstLineChars="0"/>
        <w:jc w:val="center"/>
        <w:outlineLvl w:val="0"/>
        <w:rPr>
          <w:rFonts w:hint="eastAsia" w:ascii="仿宋" w:hAnsi="仿宋" w:eastAsia="仿宋" w:cs="仿宋"/>
          <w:b/>
          <w:color w:val="auto"/>
          <w:sz w:val="32"/>
          <w:szCs w:val="32"/>
          <w:u w:val="single"/>
          <w:lang w:val="en-US" w:eastAsia="zh-CN"/>
        </w:rPr>
      </w:pPr>
      <w:bookmarkStart w:id="0" w:name="_GoBack"/>
      <w:bookmarkEnd w:id="0"/>
      <w:r>
        <w:rPr>
          <w:rFonts w:hint="eastAsia" w:ascii="仿宋" w:hAnsi="仿宋" w:eastAsia="仿宋" w:cs="仿宋"/>
          <w:b/>
          <w:color w:val="auto"/>
          <w:sz w:val="52"/>
          <w:szCs w:val="52"/>
          <w:lang w:val="en-US" w:eastAsia="zh-CN"/>
        </w:rPr>
        <w:t>河北满好会计师事务所（普通合伙）</w:t>
      </w:r>
      <w:r>
        <w:rPr>
          <w:rFonts w:hint="eastAsia" w:ascii="仿宋" w:hAnsi="仿宋" w:eastAsia="仿宋" w:cs="仿宋"/>
          <w:b/>
          <w:color w:val="auto"/>
          <w:sz w:val="32"/>
          <w:szCs w:val="32"/>
          <w:u w:val="single"/>
          <w:lang w:val="en-US" w:eastAsia="zh-CN"/>
        </w:rPr>
        <w:t>HEBEI MANHAO ACCOUNTANTS FIRMS(GENERAL PARTNERSHIP)</w:t>
      </w:r>
    </w:p>
    <w:p>
      <w:pPr>
        <w:autoSpaceDE w:val="0"/>
        <w:autoSpaceDN w:val="0"/>
        <w:adjustRightInd w:val="0"/>
        <w:snapToGrid w:val="0"/>
        <w:spacing w:line="240" w:lineRule="auto"/>
        <w:jc w:val="both"/>
        <w:outlineLvl w:val="0"/>
        <w:rPr>
          <w:rFonts w:hint="eastAsia" w:ascii="仿宋" w:hAnsi="仿宋" w:eastAsia="仿宋" w:cs="仿宋"/>
          <w:b/>
          <w:color w:val="auto"/>
          <w:sz w:val="24"/>
          <w:szCs w:val="24"/>
          <w:u w:val="thick"/>
          <w:lang w:val="en-US" w:eastAsia="zh-CN"/>
        </w:rPr>
      </w:pPr>
    </w:p>
    <w:p>
      <w:pPr>
        <w:autoSpaceDE w:val="0"/>
        <w:autoSpaceDN w:val="0"/>
        <w:adjustRightInd w:val="0"/>
        <w:snapToGrid w:val="0"/>
        <w:spacing w:line="240" w:lineRule="auto"/>
        <w:jc w:val="both"/>
        <w:outlineLvl w:val="0"/>
        <w:rPr>
          <w:rFonts w:hint="default" w:ascii="仿宋" w:hAnsi="仿宋" w:eastAsia="仿宋" w:cs="仿宋"/>
          <w:b/>
          <w:color w:val="000000" w:themeColor="text1"/>
          <w:sz w:val="32"/>
          <w:szCs w:val="32"/>
          <w:u w:val="none"/>
          <w:lang w:val="en-US" w:eastAsia="zh-CN"/>
          <w14:textFill>
            <w14:solidFill>
              <w14:schemeClr w14:val="tx1"/>
            </w14:solidFill>
          </w14:textFill>
        </w:rPr>
      </w:pPr>
      <w:r>
        <w:rPr>
          <w:rFonts w:hint="eastAsia" w:ascii="仿宋" w:hAnsi="仿宋" w:eastAsia="仿宋" w:cs="仿宋"/>
          <w:b/>
          <w:color w:val="auto"/>
          <w:sz w:val="24"/>
          <w:szCs w:val="24"/>
          <w:u w:val="thick"/>
          <w:lang w:val="en-US" w:eastAsia="zh-CN"/>
        </w:rPr>
        <w:t xml:space="preserve">                    冀满好（2022）专审字第029号                             </w:t>
      </w:r>
    </w:p>
    <w:p>
      <w:pPr>
        <w:spacing w:line="400" w:lineRule="exact"/>
        <w:rPr>
          <w:rFonts w:hint="eastAsia" w:ascii="仿宋_GB2312" w:eastAsia="仿宋_GB2312"/>
          <w:spacing w:val="-26"/>
          <w:sz w:val="24"/>
          <w:u w:val="thick"/>
        </w:rPr>
      </w:pP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高阳县农业农村局</w:t>
      </w: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2021年中央农田建设补助资金项目</w:t>
      </w: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绩效评价报告</w:t>
      </w:r>
    </w:p>
    <w:p>
      <w:pPr>
        <w:pageBreakBefore w:val="0"/>
        <w:kinsoku/>
        <w:wordWrap/>
        <w:overflowPunct/>
        <w:topLinePunct w:val="0"/>
        <w:autoSpaceDE/>
        <w:autoSpaceDN/>
        <w:bidi w:val="0"/>
        <w:snapToGrid/>
        <w:spacing w:line="580" w:lineRule="exact"/>
        <w:rPr>
          <w:rFonts w:hint="eastAsia" w:ascii="仿宋" w:hAnsi="仿宋" w:eastAsia="仿宋" w:cs="仿宋"/>
          <w:b/>
          <w:color w:val="auto"/>
          <w:sz w:val="24"/>
          <w:szCs w:val="24"/>
        </w:rPr>
      </w:pP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深入贯彻党的十九大精神，全面落实中央和省委、省政府关于实施预算绩效管理的决策部署，加强财政资金绩效管理，提高项目绩效管理水平，促进财政资金配置效率和使用效益提升，根据《中华人民共和国预算法》、财政部《项目支出绩效评价管理办法》（财预〔2020〕10 号）、《中共河北省委 河北省人民政府关于全面实施预算绩效管理的实施意见》(冀发〔2018〕54号)、《河北省省级预算绩效重点评价管理办法》（冀财绩〔2019〕11号）及《河北省财政厅关于加强和改进预算绩效重点评价工作进一步提高评价质量的意见》（冀财绩〔2020〕3号）、《高阳县县级预算绩效重点评价管理办法》（高财监〔2020〕7号）等有关规定，我们于2022年8月份对高阳县农业农村局“冀财农【2020】141号提前下达2021年中央农田建设补助资金”项目即“2021年高阳县庞口镇、西演镇高标准农田建设项目”进行了重点绩效评价，现将评价情况及结果报告如下：</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一、基本情况</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（一）项目概况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1.项目背景</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高阳县，隶属于河北省保定市，地处华北平原，位于保定东南部， </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地处京津石中心地带，距北京、天津、石家庄各约 150km，北靠雄安新区，西与清苑毗邻，南与蠡县、肃宁接壤，东与河间、任丘相接。在东经 115°38′~115°39′和北纬38°30′~38°46′之间，南北宽 28.5km，东西长 30km，总面积 472km²。 </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为全面贯彻党的十九届五中全会、中央经济工作会议和中央农村 工作会议精神，按照省委、省政府和厅党组决策部署，以习近平新时代中国特色社会主义思想为指导，以乡村振兴战略为总抓手，以保障国家粮食安全为底线，以提升粮食产能为首要目标，深入实施“藏粮于地、藏粮于技”战略，积极服务“四个农业”发展，大力实施高标准农田建设工程。</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2.项目建设的必要性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随着社会的发展和农业科技水平的不断提高，高阳县部分区域当前的农业生产状况已不能适应农业生产发展的需要，并已成为制约高阳县种植业特别是粮食生产的重要因素。根据镇村两级政府的申请，高阳县农业农村局对庞口镇及西演镇的9个村进行了实地考察，并确定该9个村为2021年高标准农田建设项目区。项目区目前农田灌溉基础设施较为薄弱，年久失修，损坏严重，且部分村灌溉仍采用土垄沟，渗漏现象严重，灌溉效率较低；农用电力配套设施年久失修，存在一定的安全隐患；部分项目区林草覆盖率较低，农业防护林网功能未能充分有效的发挥；部分农田道路狭窄，坑洼不平，雨雪天气难以通行，严重影响当时农产品运输。</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3.项目建设规模</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本项目高标准农田建设面积 22000亩，同步发展高效节水灌溉面积18409亩。项目区各村高标准农田建设面积统计情况见下表。 </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表 1 项目区各村高标准农田建设项目统计表     单位：亩</w:t>
      </w:r>
    </w:p>
    <w:tbl>
      <w:tblPr>
        <w:tblStyle w:val="9"/>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180"/>
        <w:gridCol w:w="2550"/>
        <w:gridCol w:w="2043"/>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乡镇</w:t>
            </w:r>
          </w:p>
        </w:tc>
        <w:tc>
          <w:tcPr>
            <w:tcW w:w="118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村名</w:t>
            </w:r>
          </w:p>
        </w:tc>
        <w:tc>
          <w:tcPr>
            <w:tcW w:w="255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高标准农田 建设面积</w:t>
            </w:r>
          </w:p>
        </w:tc>
        <w:tc>
          <w:tcPr>
            <w:tcW w:w="2043"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高效节水 灌溉面积</w:t>
            </w:r>
          </w:p>
        </w:tc>
        <w:tc>
          <w:tcPr>
            <w:tcW w:w="1527"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00" w:type="dxa"/>
            <w:vMerge w:val="restart"/>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庞口镇</w:t>
            </w:r>
          </w:p>
        </w:tc>
        <w:tc>
          <w:tcPr>
            <w:tcW w:w="1180" w:type="dxa"/>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南庞口</w:t>
            </w:r>
          </w:p>
        </w:tc>
        <w:tc>
          <w:tcPr>
            <w:tcW w:w="255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2615</w:t>
            </w:r>
          </w:p>
        </w:tc>
        <w:tc>
          <w:tcPr>
            <w:tcW w:w="2043"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1715</w:t>
            </w:r>
          </w:p>
        </w:tc>
        <w:tc>
          <w:tcPr>
            <w:tcW w:w="1527"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2349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00" w:type="dxa"/>
            <w:vMerge w:val="continue"/>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c>
          <w:tcPr>
            <w:tcW w:w="1180" w:type="dxa"/>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西庞口</w:t>
            </w:r>
          </w:p>
        </w:tc>
        <w:tc>
          <w:tcPr>
            <w:tcW w:w="255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1690</w:t>
            </w:r>
          </w:p>
        </w:tc>
        <w:tc>
          <w:tcPr>
            <w:tcW w:w="2043"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1321</w:t>
            </w:r>
          </w:p>
        </w:tc>
        <w:tc>
          <w:tcPr>
            <w:tcW w:w="1527"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1873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Merge w:val="continue"/>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c>
          <w:tcPr>
            <w:tcW w:w="1180" w:type="dxa"/>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高家庄</w:t>
            </w:r>
          </w:p>
        </w:tc>
        <w:tc>
          <w:tcPr>
            <w:tcW w:w="255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3816</w:t>
            </w:r>
          </w:p>
        </w:tc>
        <w:tc>
          <w:tcPr>
            <w:tcW w:w="2043"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3200</w:t>
            </w:r>
          </w:p>
        </w:tc>
        <w:tc>
          <w:tcPr>
            <w:tcW w:w="1527"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2812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00" w:type="dxa"/>
            <w:vMerge w:val="continue"/>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c>
          <w:tcPr>
            <w:tcW w:w="1180" w:type="dxa"/>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皇亲庄</w:t>
            </w:r>
          </w:p>
        </w:tc>
        <w:tc>
          <w:tcPr>
            <w:tcW w:w="255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1179</w:t>
            </w:r>
          </w:p>
        </w:tc>
        <w:tc>
          <w:tcPr>
            <w:tcW w:w="2043"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20</w:t>
            </w:r>
          </w:p>
        </w:tc>
        <w:tc>
          <w:tcPr>
            <w:tcW w:w="1527"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1147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c>
          <w:tcPr>
            <w:tcW w:w="1180" w:type="dxa"/>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 xml:space="preserve">陈家庄 </w:t>
            </w:r>
          </w:p>
        </w:tc>
        <w:tc>
          <w:tcPr>
            <w:tcW w:w="255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1914</w:t>
            </w:r>
          </w:p>
        </w:tc>
        <w:tc>
          <w:tcPr>
            <w:tcW w:w="2043"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1914</w:t>
            </w:r>
          </w:p>
        </w:tc>
        <w:tc>
          <w:tcPr>
            <w:tcW w:w="1527"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c>
          <w:tcPr>
            <w:tcW w:w="1180" w:type="dxa"/>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 xml:space="preserve">贺家庄 </w:t>
            </w:r>
          </w:p>
        </w:tc>
        <w:tc>
          <w:tcPr>
            <w:tcW w:w="255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2914</w:t>
            </w:r>
          </w:p>
        </w:tc>
        <w:tc>
          <w:tcPr>
            <w:tcW w:w="2043"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2368</w:t>
            </w:r>
          </w:p>
        </w:tc>
        <w:tc>
          <w:tcPr>
            <w:tcW w:w="1527"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1390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西演镇</w:t>
            </w:r>
          </w:p>
        </w:tc>
        <w:tc>
          <w:tcPr>
            <w:tcW w:w="1180" w:type="dxa"/>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延福村</w:t>
            </w:r>
          </w:p>
        </w:tc>
        <w:tc>
          <w:tcPr>
            <w:tcW w:w="255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3182</w:t>
            </w:r>
          </w:p>
        </w:tc>
        <w:tc>
          <w:tcPr>
            <w:tcW w:w="2043"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3182</w:t>
            </w:r>
          </w:p>
        </w:tc>
        <w:tc>
          <w:tcPr>
            <w:tcW w:w="1527"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c>
          <w:tcPr>
            <w:tcW w:w="1180" w:type="dxa"/>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sz w:val="21"/>
                <w:szCs w:val="21"/>
              </w:rPr>
            </w:pPr>
            <w:r>
              <w:rPr>
                <w:rFonts w:hint="eastAsia" w:ascii="仿宋" w:hAnsi="仿宋" w:eastAsia="仿宋" w:cs="仿宋"/>
                <w:sz w:val="21"/>
                <w:szCs w:val="21"/>
              </w:rPr>
              <w:t xml:space="preserve">延福屯 </w:t>
            </w:r>
          </w:p>
        </w:tc>
        <w:tc>
          <w:tcPr>
            <w:tcW w:w="255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2916</w:t>
            </w:r>
          </w:p>
        </w:tc>
        <w:tc>
          <w:tcPr>
            <w:tcW w:w="2043"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2916</w:t>
            </w:r>
          </w:p>
        </w:tc>
        <w:tc>
          <w:tcPr>
            <w:tcW w:w="1527"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c>
          <w:tcPr>
            <w:tcW w:w="1180" w:type="dxa"/>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sz w:val="21"/>
                <w:szCs w:val="21"/>
              </w:rPr>
            </w:pPr>
            <w:r>
              <w:rPr>
                <w:rFonts w:hint="eastAsia" w:ascii="仿宋" w:hAnsi="仿宋" w:eastAsia="仿宋" w:cs="仿宋"/>
                <w:sz w:val="21"/>
                <w:szCs w:val="21"/>
              </w:rPr>
              <w:t>周家辛庄</w:t>
            </w:r>
          </w:p>
        </w:tc>
        <w:tc>
          <w:tcPr>
            <w:tcW w:w="255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1774</w:t>
            </w:r>
          </w:p>
        </w:tc>
        <w:tc>
          <w:tcPr>
            <w:tcW w:w="2043"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1774</w:t>
            </w:r>
          </w:p>
        </w:tc>
        <w:tc>
          <w:tcPr>
            <w:tcW w:w="1527"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gridSpan w:val="2"/>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sz w:val="21"/>
                <w:szCs w:val="21"/>
              </w:rPr>
            </w:pPr>
            <w:r>
              <w:rPr>
                <w:rFonts w:hint="eastAsia" w:ascii="仿宋" w:hAnsi="仿宋" w:eastAsia="仿宋" w:cs="仿宋"/>
                <w:sz w:val="21"/>
                <w:szCs w:val="21"/>
              </w:rPr>
              <w:t xml:space="preserve">合计 </w:t>
            </w:r>
          </w:p>
        </w:tc>
        <w:tc>
          <w:tcPr>
            <w:tcW w:w="255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22000</w:t>
            </w:r>
          </w:p>
        </w:tc>
        <w:tc>
          <w:tcPr>
            <w:tcW w:w="2043"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18409</w:t>
            </w:r>
          </w:p>
        </w:tc>
        <w:tc>
          <w:tcPr>
            <w:tcW w:w="1527"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17322</w:t>
            </w:r>
          </w:p>
        </w:tc>
      </w:tr>
    </w:tbl>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表 2 项目区工程现状一览表                    单位：亩</w:t>
      </w:r>
    </w:p>
    <w:tbl>
      <w:tblPr>
        <w:tblStyle w:val="9"/>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070"/>
        <w:gridCol w:w="910"/>
        <w:gridCol w:w="1280"/>
        <w:gridCol w:w="1640"/>
        <w:gridCol w:w="110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restart"/>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 xml:space="preserve">乡镇 </w:t>
            </w:r>
          </w:p>
        </w:tc>
        <w:tc>
          <w:tcPr>
            <w:tcW w:w="1070" w:type="dxa"/>
            <w:vMerge w:val="restart"/>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 xml:space="preserve">村名 </w:t>
            </w:r>
          </w:p>
        </w:tc>
        <w:tc>
          <w:tcPr>
            <w:tcW w:w="910" w:type="dxa"/>
            <w:vMerge w:val="restart"/>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lang w:val="en-US" w:eastAsia="zh-CN"/>
              </w:rPr>
              <w:t>面积</w:t>
            </w:r>
          </w:p>
        </w:tc>
        <w:tc>
          <w:tcPr>
            <w:tcW w:w="4020" w:type="dxa"/>
            <w:gridSpan w:val="3"/>
          </w:tcPr>
          <w:p>
            <w:pPr>
              <w:keepNext w:val="0"/>
              <w:keepLines w:val="0"/>
              <w:widowControl/>
              <w:suppressLineNumbers w:val="0"/>
              <w:jc w:val="center"/>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val="0"/>
                <w:color w:val="000000"/>
                <w:kern w:val="0"/>
                <w:sz w:val="21"/>
                <w:szCs w:val="21"/>
                <w:lang w:val="en-US" w:eastAsia="zh-CN" w:bidi="ar"/>
              </w:rPr>
              <w:t>现有工程建设情况</w:t>
            </w:r>
          </w:p>
        </w:tc>
        <w:tc>
          <w:tcPr>
            <w:tcW w:w="1320" w:type="dxa"/>
            <w:vMerge w:val="restart"/>
          </w:tcPr>
          <w:p>
            <w:pPr>
              <w:keepNext w:val="0"/>
              <w:keepLines w:val="0"/>
              <w:widowControl/>
              <w:suppressLineNumbers w:val="0"/>
              <w:jc w:val="both"/>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规划工程</w:t>
            </w:r>
          </w:p>
          <w:p>
            <w:pPr>
              <w:keepNext w:val="0"/>
              <w:keepLines w:val="0"/>
              <w:widowControl/>
              <w:suppressLineNumbers w:val="0"/>
              <w:jc w:val="both"/>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val="0"/>
                <w:color w:val="000000"/>
                <w:kern w:val="0"/>
                <w:sz w:val="21"/>
                <w:szCs w:val="21"/>
                <w:lang w:val="en-US" w:eastAsia="zh-CN" w:bidi="ar"/>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70" w:type="dxa"/>
            <w:vMerge w:val="continue"/>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c>
          <w:tcPr>
            <w:tcW w:w="1070" w:type="dxa"/>
            <w:vMerge w:val="continue"/>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c>
          <w:tcPr>
            <w:tcW w:w="910" w:type="dxa"/>
            <w:vMerge w:val="continue"/>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c>
          <w:tcPr>
            <w:tcW w:w="1280" w:type="dxa"/>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 xml:space="preserve">种植作物 </w:t>
            </w:r>
          </w:p>
        </w:tc>
        <w:tc>
          <w:tcPr>
            <w:tcW w:w="1640" w:type="dxa"/>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现有机井（眼）</w:t>
            </w:r>
          </w:p>
        </w:tc>
        <w:tc>
          <w:tcPr>
            <w:tcW w:w="1100" w:type="dxa"/>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工程形式</w:t>
            </w:r>
          </w:p>
        </w:tc>
        <w:tc>
          <w:tcPr>
            <w:tcW w:w="1320" w:type="dxa"/>
            <w:vMerge w:val="continue"/>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restart"/>
            <w:vAlign w:val="top"/>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庞口镇</w:t>
            </w:r>
          </w:p>
        </w:tc>
        <w:tc>
          <w:tcPr>
            <w:tcW w:w="1070" w:type="dxa"/>
            <w:vAlign w:val="top"/>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南庞口</w:t>
            </w:r>
          </w:p>
        </w:tc>
        <w:tc>
          <w:tcPr>
            <w:tcW w:w="91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2615</w:t>
            </w:r>
          </w:p>
        </w:tc>
        <w:tc>
          <w:tcPr>
            <w:tcW w:w="128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小麦玉米</w:t>
            </w:r>
          </w:p>
        </w:tc>
        <w:tc>
          <w:tcPr>
            <w:tcW w:w="164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6</w:t>
            </w:r>
          </w:p>
        </w:tc>
        <w:tc>
          <w:tcPr>
            <w:tcW w:w="110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漫灌</w:t>
            </w:r>
          </w:p>
        </w:tc>
        <w:tc>
          <w:tcPr>
            <w:tcW w:w="132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管灌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c>
          <w:tcPr>
            <w:tcW w:w="1070" w:type="dxa"/>
            <w:vAlign w:val="top"/>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西庞口</w:t>
            </w:r>
          </w:p>
        </w:tc>
        <w:tc>
          <w:tcPr>
            <w:tcW w:w="91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1690</w:t>
            </w:r>
          </w:p>
        </w:tc>
        <w:tc>
          <w:tcPr>
            <w:tcW w:w="128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小麦玉米</w:t>
            </w:r>
          </w:p>
        </w:tc>
        <w:tc>
          <w:tcPr>
            <w:tcW w:w="164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12</w:t>
            </w:r>
          </w:p>
        </w:tc>
        <w:tc>
          <w:tcPr>
            <w:tcW w:w="1100" w:type="dxa"/>
            <w:vAlign w:val="top"/>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管灌</w:t>
            </w:r>
          </w:p>
        </w:tc>
        <w:tc>
          <w:tcPr>
            <w:tcW w:w="132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管灌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c>
          <w:tcPr>
            <w:tcW w:w="1070" w:type="dxa"/>
            <w:vAlign w:val="top"/>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高家庄</w:t>
            </w:r>
          </w:p>
        </w:tc>
        <w:tc>
          <w:tcPr>
            <w:tcW w:w="91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3816</w:t>
            </w:r>
          </w:p>
        </w:tc>
        <w:tc>
          <w:tcPr>
            <w:tcW w:w="128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小麦玉米</w:t>
            </w:r>
          </w:p>
        </w:tc>
        <w:tc>
          <w:tcPr>
            <w:tcW w:w="164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13</w:t>
            </w:r>
          </w:p>
        </w:tc>
        <w:tc>
          <w:tcPr>
            <w:tcW w:w="1100" w:type="dxa"/>
            <w:vAlign w:val="top"/>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管灌</w:t>
            </w:r>
          </w:p>
        </w:tc>
        <w:tc>
          <w:tcPr>
            <w:tcW w:w="132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管灌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c>
          <w:tcPr>
            <w:tcW w:w="1070" w:type="dxa"/>
            <w:vAlign w:val="top"/>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皇亲庄</w:t>
            </w:r>
          </w:p>
        </w:tc>
        <w:tc>
          <w:tcPr>
            <w:tcW w:w="91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1179</w:t>
            </w:r>
          </w:p>
        </w:tc>
        <w:tc>
          <w:tcPr>
            <w:tcW w:w="128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小麦玉米</w:t>
            </w:r>
          </w:p>
        </w:tc>
        <w:tc>
          <w:tcPr>
            <w:tcW w:w="164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5</w:t>
            </w:r>
          </w:p>
        </w:tc>
        <w:tc>
          <w:tcPr>
            <w:tcW w:w="1100" w:type="dxa"/>
            <w:vAlign w:val="top"/>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管灌</w:t>
            </w:r>
          </w:p>
        </w:tc>
        <w:tc>
          <w:tcPr>
            <w:tcW w:w="132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管灌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70" w:type="dxa"/>
            <w:vMerge w:val="continue"/>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c>
          <w:tcPr>
            <w:tcW w:w="1070" w:type="dxa"/>
            <w:vAlign w:val="top"/>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陈家庄</w:t>
            </w:r>
          </w:p>
        </w:tc>
        <w:tc>
          <w:tcPr>
            <w:tcW w:w="91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1914</w:t>
            </w:r>
          </w:p>
        </w:tc>
        <w:tc>
          <w:tcPr>
            <w:tcW w:w="128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玉米</w:t>
            </w:r>
          </w:p>
        </w:tc>
        <w:tc>
          <w:tcPr>
            <w:tcW w:w="164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7</w:t>
            </w:r>
          </w:p>
        </w:tc>
        <w:tc>
          <w:tcPr>
            <w:tcW w:w="1100" w:type="dxa"/>
            <w:vAlign w:val="top"/>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管灌</w:t>
            </w:r>
          </w:p>
        </w:tc>
        <w:tc>
          <w:tcPr>
            <w:tcW w:w="132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管灌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c>
          <w:tcPr>
            <w:tcW w:w="1070" w:type="dxa"/>
            <w:vAlign w:val="top"/>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贺家庄</w:t>
            </w:r>
          </w:p>
        </w:tc>
        <w:tc>
          <w:tcPr>
            <w:tcW w:w="91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2914</w:t>
            </w:r>
          </w:p>
        </w:tc>
        <w:tc>
          <w:tcPr>
            <w:tcW w:w="128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小麦玉米</w:t>
            </w:r>
          </w:p>
        </w:tc>
        <w:tc>
          <w:tcPr>
            <w:tcW w:w="164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9</w:t>
            </w:r>
          </w:p>
        </w:tc>
        <w:tc>
          <w:tcPr>
            <w:tcW w:w="1100" w:type="dxa"/>
            <w:vAlign w:val="top"/>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管灌</w:t>
            </w:r>
          </w:p>
        </w:tc>
        <w:tc>
          <w:tcPr>
            <w:tcW w:w="132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管灌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restart"/>
            <w:vAlign w:val="top"/>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西演镇</w:t>
            </w:r>
          </w:p>
        </w:tc>
        <w:tc>
          <w:tcPr>
            <w:tcW w:w="1070" w:type="dxa"/>
            <w:vAlign w:val="top"/>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延福村</w:t>
            </w:r>
          </w:p>
        </w:tc>
        <w:tc>
          <w:tcPr>
            <w:tcW w:w="91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3182</w:t>
            </w:r>
          </w:p>
        </w:tc>
        <w:tc>
          <w:tcPr>
            <w:tcW w:w="128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小麦玉米</w:t>
            </w:r>
          </w:p>
        </w:tc>
        <w:tc>
          <w:tcPr>
            <w:tcW w:w="164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29</w:t>
            </w:r>
          </w:p>
        </w:tc>
        <w:tc>
          <w:tcPr>
            <w:tcW w:w="110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漫灌</w:t>
            </w:r>
          </w:p>
        </w:tc>
        <w:tc>
          <w:tcPr>
            <w:tcW w:w="132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管灌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c>
          <w:tcPr>
            <w:tcW w:w="1070" w:type="dxa"/>
            <w:vAlign w:val="top"/>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延福屯</w:t>
            </w:r>
          </w:p>
        </w:tc>
        <w:tc>
          <w:tcPr>
            <w:tcW w:w="91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2916</w:t>
            </w:r>
          </w:p>
        </w:tc>
        <w:tc>
          <w:tcPr>
            <w:tcW w:w="128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小麦玉米</w:t>
            </w:r>
          </w:p>
        </w:tc>
        <w:tc>
          <w:tcPr>
            <w:tcW w:w="164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30</w:t>
            </w:r>
          </w:p>
        </w:tc>
        <w:tc>
          <w:tcPr>
            <w:tcW w:w="110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漫灌</w:t>
            </w:r>
          </w:p>
        </w:tc>
        <w:tc>
          <w:tcPr>
            <w:tcW w:w="132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管灌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c>
          <w:tcPr>
            <w:tcW w:w="1070" w:type="dxa"/>
            <w:vAlign w:val="top"/>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周家辛庄</w:t>
            </w:r>
          </w:p>
        </w:tc>
        <w:tc>
          <w:tcPr>
            <w:tcW w:w="91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1774</w:t>
            </w:r>
          </w:p>
        </w:tc>
        <w:tc>
          <w:tcPr>
            <w:tcW w:w="128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小麦玉米</w:t>
            </w:r>
          </w:p>
        </w:tc>
        <w:tc>
          <w:tcPr>
            <w:tcW w:w="164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13</w:t>
            </w:r>
          </w:p>
        </w:tc>
        <w:tc>
          <w:tcPr>
            <w:tcW w:w="110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漫灌</w:t>
            </w:r>
          </w:p>
        </w:tc>
        <w:tc>
          <w:tcPr>
            <w:tcW w:w="132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sz w:val="21"/>
                <w:szCs w:val="21"/>
              </w:rPr>
              <w:t>管灌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default"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合计</w:t>
            </w:r>
          </w:p>
        </w:tc>
        <w:tc>
          <w:tcPr>
            <w:tcW w:w="1070" w:type="dxa"/>
          </w:tcPr>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1"/>
                <w:szCs w:val="21"/>
                <w:vertAlign w:val="baseline"/>
                <w:lang w:val="en-US" w:eastAsia="zh-CN"/>
              </w:rPr>
            </w:pPr>
          </w:p>
        </w:tc>
        <w:tc>
          <w:tcPr>
            <w:tcW w:w="91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22000</w:t>
            </w:r>
          </w:p>
        </w:tc>
        <w:tc>
          <w:tcPr>
            <w:tcW w:w="128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p>
        </w:tc>
        <w:tc>
          <w:tcPr>
            <w:tcW w:w="164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r>
              <w:rPr>
                <w:rFonts w:hint="eastAsia" w:ascii="仿宋" w:hAnsi="仿宋" w:eastAsia="仿宋" w:cs="仿宋"/>
                <w:b w:val="0"/>
                <w:bCs/>
                <w:color w:val="auto"/>
                <w:sz w:val="21"/>
                <w:szCs w:val="21"/>
                <w:vertAlign w:val="baseline"/>
                <w:lang w:val="en-US" w:eastAsia="zh-CN"/>
              </w:rPr>
              <w:t>124</w:t>
            </w:r>
          </w:p>
        </w:tc>
        <w:tc>
          <w:tcPr>
            <w:tcW w:w="110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p>
        </w:tc>
        <w:tc>
          <w:tcPr>
            <w:tcW w:w="1320" w:type="dxa"/>
          </w:tcPr>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1"/>
                <w:szCs w:val="21"/>
                <w:vertAlign w:val="baseline"/>
                <w:lang w:val="en-US" w:eastAsia="zh-CN"/>
              </w:rPr>
            </w:pPr>
          </w:p>
        </w:tc>
      </w:tr>
    </w:tbl>
    <w:p>
      <w:pPr>
        <w:keepNext w:val="0"/>
        <w:keepLines w:val="0"/>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4.项目建设内容</w:t>
      </w:r>
    </w:p>
    <w:p>
      <w:pPr>
        <w:pStyle w:val="2"/>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（1）土壤改良 </w:t>
      </w:r>
    </w:p>
    <w:p>
      <w:pPr>
        <w:pStyle w:val="2"/>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项目区内共涉及土壤改良面积19086亩。 </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灌溉排水和节水措施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①水源工程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更换水泵共计19套，其中200QJ32-784套，200QJ40-783套， 200QJ50-7810套，200QJ50-912套；更新DN100泵管350m。</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②输水工程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铺设灌溉管道共计131.229km，其中dn110 PVC-U管道 95.413km， dn125 PVC-U管道35.816km。安装出水口（Ф110）及出水口保护装置2016个；安装出水口（Ф125）及出水口保护装置704个。配套RG110×1.3-0.15MPa PE小白龙水带31.562km，配套RG125×1.5-0.15MPa PE小白龙水带12.438km。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安装机井首部115套。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③排水工程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新建排水沟3.224km。 </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田间道路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新建田间道路总长19.314km。其中：新建3m宽混凝土路8.806km， 3.5m宽混凝土路0.504km，4m宽混凝土路6.880km，5m宽混凝土路 3.124km。 </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农田防护</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在项目区内部分主要道路两侧进行道路绿化，共计栽植金叶榆 5604株。 </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农田输配电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铺设低压输电线路17.519km。</w:t>
      </w:r>
    </w:p>
    <w:p>
      <w:pPr>
        <w:keepNext w:val="0"/>
        <w:keepLines w:val="0"/>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5.项目投资及工期</w:t>
      </w:r>
    </w:p>
    <w:p>
      <w:pPr>
        <w:keepNext w:val="0"/>
        <w:keepLines w:val="0"/>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本项目计划总投资 2472万元。其中土壤改良投资 858.87万元，占项目总投资的34.74%；灌溉排水和节水措施475.32万元，占项目总投资的19.23%；田间机耕道路投资932.08万元，占项目总投资的 37.71%；农田防护和生态环境保持投资24.49万元，占项目总投资的 0.99%；农田输配电投资73.38万元，占项目总投资的2.97%；项目管理费54.72万元，占项目总投资的2.21%；工程监理费23.64万元，占项目总投资的0.96%；工程勘测设计费29.50万元，占项目总投资的1.19%。</w:t>
      </w:r>
    </w:p>
    <w:p>
      <w:pPr>
        <w:keepNext w:val="0"/>
        <w:keepLines w:val="0"/>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建设期限：项目计划自 2021年6月开工至2022年6月完工。</w:t>
      </w:r>
    </w:p>
    <w:p>
      <w:pPr>
        <w:keepNext w:val="0"/>
        <w:keepLines w:val="0"/>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6.项目实施情况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2021年8月23日高阳县农业农村局与河北安正工程项目管理有限公司签订《工程建设项目招标代理协议书》，委托其对“2021年高阳县庞口镇、西演镇高标准农田建设项目”进行招标。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8月20日，高阳县财政投资评审中心委托河北瑞亿特项目管理有限公司，审核确定项目工程招标的最高限价15,010,916.04元；2021年9月11日，高阳县农业农村局委托河北恒奥工程项目管理有限公司，审核确定项目土壤改良招标的最高限价7,634,400.00元，二者合计22,645,316.04元，总量控制，不得突破。</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2021年9月24日，农业农村局经公开招标，共有10家公司中标，中标价总额为</w:t>
      </w:r>
      <w:r>
        <w:rPr>
          <w:rFonts w:hint="eastAsia" w:ascii="仿宋" w:hAnsi="仿宋" w:eastAsia="仿宋" w:cs="仿宋"/>
          <w:sz w:val="28"/>
          <w:szCs w:val="28"/>
          <w:lang w:val="en-US" w:eastAsia="zh-CN"/>
        </w:rPr>
        <w:t>22,496,646.98元。并于2021年10月7日，与各家中标企业签订了合同。其中明细情况如下：</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（1）2021年9月24日中土城联工程建设有限公司中标该项目第六标段，中标价为：1,550,891.27元。2021年10月7日，高阳县农业农村局与其签订了《建设工程施工合同》，竣工日期：2022年6月15日。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（2）2021年9月24日河北太平洋建设工程有限公司中标该项目第七标段，中标价为：1,440,011.00元。2021年10月7日，高阳县农业农村局与其签订了《建设工程施工合同》，竣工日期：2022年6月15日。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（3）2021年9月24日河南天泉建设工程有限公司中标该项目第八标段，中标价为：1,990,089.18元。2021年10月7日，高阳县农业农村局与其签订了《建设工程施工合同》，竣工日期：2022年6月15日。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（4）2021年9月24日石家庄冠铭建筑工程有限公司中标该项目第九标段，中标价为：2,041,078.04元。2021年10月7日，高阳县农业农村局与其签订了《建设工程施工合同》。</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（5）2021年9月24日保定市政工程建设有限公司中标该项目第十标段，中标价为：1,423,649.16元。2021年10月7日，高阳县农业农村局与其签订了《建设工程施工合同》，竣工日期：2022年6月15日。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（6）2021年9月24日河北志天建筑工程有限公司中标该项目第十一标段，中标价为：2,438,584.93元。2021年10月7日，高阳县农业农村局与其签订了《建设工程施工合同》，竣工日期：2022年6月15日。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（7）2021年9月24日河北鸿志建筑安装工程有限公司中标该项目第十二标段，中标价为：1,335,729.02元。2021年10月7日，高阳县农业农村局与其签订了《建设工程施工合同》，竣工日期：2022年6月15日。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（8）2021年9月24日任丘市国润建筑工程有限公司中标该项目第十三标段，中标价为：936,521.00元。2021年10月29日，高阳县农业农村局与其签订了《建设工程施工合同》，竣工日期：2022年6月15日。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（9）2021年9月24日河北省保定市第三建筑安装工程公司中标该项目第十四标段，中标价为：1,017,000.06元。2021年10月7日，高阳县农业农村局与其签订了《建设工程施工合同》，竣工日期：2022年6月15日。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（10）2021年9月24日河北中瑞电力设备有限公司中标该项目第十五标段，中标价为：705,489.00元。2021年10月7日，高阳县农业农村局与其签订了《建设工程施工合同》，竣工日期：2022年6月15日。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10月22日，农业农村局针对该项目-土壤改良采购生物有机肥标段进行第二次招标。满园春（河间）农业科技有限公司中标，中标价为：7,617,604.32元。2021年10月31日，高阳县农业农村局与其签订了《2021年庞口镇、西演镇高标准农田建设项目（土壤改良采购生物有机肥）合同》，竣工日期：2022年6月底。</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2021年8月6日，高阳县农业农村局与共赢建设集团有限公司签订《建设工程监理合同》。签约酬金：230,000.00元。</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整个招投标过程，体现了公开、公正、自愿、平等的原则。</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（二）资金投入和使用情况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项目总投资2472 万元，其中：中央农田建设补助资金1736万元，省级农田建设补助资金（地方政府债券）736万元。</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8月20日，高阳县财政投资评审中心委托河北瑞亿特项目管理有限公司，审核确定项目工程招标的最高限价15,010,916.04元；2021年9月11日，高阳县农业农村局委托河北恒奥工程项目管理有限公司，审核确定项目土壤改良招标的最高限价7,634,400.00元，二者合计22,645,316.04元，为该项目审核确定的预算最高限价。</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截至2022年6月30日，该项目该项目全部完工。根据合同规定，应支付施工单位不超过70%的工程款，2022年6月30日前，农业农村局共支付工程款14,191,285.00元。</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（三）项目绩效目标设定</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高阳县农业农村局2021年度预算项目绩效目标，见下表：     </w:t>
      </w:r>
    </w:p>
    <w:tbl>
      <w:tblPr>
        <w:tblStyle w:val="9"/>
        <w:tblW w:w="83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5"/>
        <w:gridCol w:w="1700"/>
        <w:gridCol w:w="2410"/>
        <w:gridCol w:w="680"/>
        <w:gridCol w:w="640"/>
        <w:gridCol w:w="970"/>
        <w:gridCol w:w="6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1285" w:type="dxa"/>
            <w:vMerge w:val="restart"/>
            <w:noWrap w:val="0"/>
            <w:vAlign w:val="center"/>
          </w:tcPr>
          <w:p>
            <w:pPr>
              <w:pStyle w:val="2"/>
              <w:keepNext w:val="0"/>
              <w:keepLines w:val="0"/>
              <w:pageBreakBefore w:val="0"/>
              <w:widowControl w:val="0"/>
              <w:tabs>
                <w:tab w:val="left" w:pos="649"/>
              </w:tabs>
              <w:kinsoku/>
              <w:wordWrap/>
              <w:overflowPunct/>
              <w:topLinePunct w:val="0"/>
              <w:autoSpaceDE/>
              <w:autoSpaceDN/>
              <w:bidi/>
              <w:adjustRightInd/>
              <w:snapToGrid/>
              <w:ind w:left="0" w:leftChars="0" w:right="0" w:firstLine="0" w:firstLineChars="0"/>
              <w:jc w:val="center"/>
              <w:textAlignment w:val="auto"/>
              <w:rPr>
                <w:rFonts w:hint="eastAsia" w:ascii="仿宋" w:hAnsi="仿宋" w:eastAsia="仿宋" w:cs="仿宋"/>
                <w:color w:val="333333"/>
                <w:kern w:val="0"/>
                <w:sz w:val="21"/>
                <w:szCs w:val="21"/>
                <w:lang w:eastAsia="zh-CN"/>
              </w:rPr>
            </w:pPr>
            <w:r>
              <w:rPr>
                <w:rFonts w:hint="eastAsia" w:ascii="仿宋" w:hAnsi="仿宋" w:eastAsia="仿宋" w:cs="仿宋"/>
                <w:kern w:val="0"/>
                <w:sz w:val="21"/>
                <w:szCs w:val="21"/>
                <w:lang w:val="en-US" w:eastAsia="zh-CN" w:bidi="ar-SA"/>
              </w:rPr>
              <w:t>一级指标</w:t>
            </w:r>
          </w:p>
        </w:tc>
        <w:tc>
          <w:tcPr>
            <w:tcW w:w="1700" w:type="dxa"/>
            <w:vMerge w:val="restart"/>
            <w:noWrap w:val="0"/>
            <w:vAlign w:val="center"/>
          </w:tcPr>
          <w:p>
            <w:pPr>
              <w:keepNext w:val="0"/>
              <w:keepLines w:val="0"/>
              <w:pageBreakBefore w:val="0"/>
              <w:widowControl w:val="0"/>
              <w:kinsoku/>
              <w:wordWrap/>
              <w:overflowPunct/>
              <w:topLinePunct w:val="0"/>
              <w:autoSpaceDE/>
              <w:autoSpaceDN/>
              <w:bidi/>
              <w:adjustRightInd/>
              <w:snapToGrid/>
              <w:jc w:val="center"/>
              <w:textAlignment w:val="auto"/>
              <w:rPr>
                <w:rFonts w:hint="eastAsia" w:ascii="仿宋" w:hAnsi="仿宋" w:eastAsia="仿宋" w:cs="仿宋"/>
                <w:color w:val="333333"/>
                <w:kern w:val="0"/>
                <w:sz w:val="21"/>
                <w:szCs w:val="21"/>
                <w:lang w:eastAsia="zh-CN"/>
              </w:rPr>
            </w:pPr>
            <w:r>
              <w:rPr>
                <w:rFonts w:hint="eastAsia" w:ascii="仿宋" w:hAnsi="仿宋" w:eastAsia="仿宋" w:cs="仿宋"/>
                <w:kern w:val="0"/>
                <w:sz w:val="21"/>
                <w:szCs w:val="21"/>
                <w:lang w:val="en-US" w:eastAsia="zh-CN" w:bidi="ar-SA"/>
              </w:rPr>
              <w:t>二级指标</w:t>
            </w:r>
          </w:p>
        </w:tc>
        <w:tc>
          <w:tcPr>
            <w:tcW w:w="2410" w:type="dxa"/>
            <w:vMerge w:val="restart"/>
            <w:noWrap w:val="0"/>
            <w:vAlign w:val="center"/>
          </w:tcPr>
          <w:p>
            <w:pPr>
              <w:jc w:val="center"/>
              <w:rPr>
                <w:rFonts w:hint="eastAsia"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三级指标</w:t>
            </w:r>
          </w:p>
        </w:tc>
        <w:tc>
          <w:tcPr>
            <w:tcW w:w="680" w:type="dxa"/>
            <w:vMerge w:val="restart"/>
            <w:noWrap w:val="0"/>
            <w:vAlign w:val="center"/>
          </w:tcPr>
          <w:p>
            <w:pPr>
              <w:jc w:val="center"/>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指标分值</w:t>
            </w:r>
          </w:p>
        </w:tc>
        <w:tc>
          <w:tcPr>
            <w:tcW w:w="2273" w:type="dxa"/>
            <w:gridSpan w:val="3"/>
            <w:noWrap w:val="0"/>
            <w:vAlign w:val="bottom"/>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预期指标值</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333333"/>
                <w:kern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285" w:type="dxa"/>
            <w:vMerge w:val="continue"/>
            <w:noWrap w:val="0"/>
            <w:vAlign w:val="center"/>
          </w:tcPr>
          <w:p>
            <w:pPr>
              <w:jc w:val="center"/>
              <w:rPr>
                <w:rFonts w:hint="eastAsia" w:ascii="仿宋" w:hAnsi="仿宋" w:eastAsia="仿宋" w:cs="仿宋"/>
                <w:color w:val="333333"/>
                <w:kern w:val="0"/>
                <w:sz w:val="21"/>
                <w:szCs w:val="21"/>
                <w:lang w:eastAsia="zh-CN"/>
              </w:rPr>
            </w:pPr>
          </w:p>
        </w:tc>
        <w:tc>
          <w:tcPr>
            <w:tcW w:w="1700" w:type="dxa"/>
            <w:vMerge w:val="continue"/>
            <w:noWrap w:val="0"/>
            <w:vAlign w:val="center"/>
          </w:tcPr>
          <w:p>
            <w:pPr>
              <w:jc w:val="left"/>
              <w:rPr>
                <w:rFonts w:hint="eastAsia" w:ascii="仿宋" w:hAnsi="仿宋" w:eastAsia="仿宋" w:cs="仿宋"/>
                <w:color w:val="333333"/>
                <w:kern w:val="0"/>
                <w:sz w:val="21"/>
                <w:szCs w:val="21"/>
                <w:lang w:eastAsia="zh-CN"/>
              </w:rPr>
            </w:pPr>
          </w:p>
        </w:tc>
        <w:tc>
          <w:tcPr>
            <w:tcW w:w="2410" w:type="dxa"/>
            <w:vMerge w:val="continue"/>
            <w:noWrap w:val="0"/>
            <w:vAlign w:val="center"/>
          </w:tcPr>
          <w:p>
            <w:pPr>
              <w:jc w:val="left"/>
              <w:rPr>
                <w:rFonts w:hint="eastAsia" w:ascii="仿宋" w:hAnsi="仿宋" w:eastAsia="仿宋" w:cs="仿宋"/>
                <w:sz w:val="21"/>
                <w:szCs w:val="21"/>
                <w:lang w:val="en-US" w:eastAsia="zh-CN"/>
              </w:rPr>
            </w:pPr>
          </w:p>
        </w:tc>
        <w:tc>
          <w:tcPr>
            <w:tcW w:w="680" w:type="dxa"/>
            <w:vMerge w:val="continue"/>
            <w:noWrap w:val="0"/>
            <w:vAlign w:val="center"/>
          </w:tcPr>
          <w:p>
            <w:pPr>
              <w:jc w:val="center"/>
              <w:rPr>
                <w:rFonts w:hint="eastAsia" w:ascii="仿宋" w:hAnsi="仿宋" w:eastAsia="仿宋" w:cs="仿宋"/>
                <w:sz w:val="21"/>
                <w:szCs w:val="21"/>
                <w:lang w:val="en-US" w:eastAsia="zh-CN"/>
              </w:rPr>
            </w:pPr>
          </w:p>
        </w:tc>
        <w:tc>
          <w:tcPr>
            <w:tcW w:w="64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符号</w:t>
            </w:r>
          </w:p>
        </w:tc>
        <w:tc>
          <w:tcPr>
            <w:tcW w:w="97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333333"/>
                <w:kern w:val="0"/>
                <w:sz w:val="21"/>
                <w:szCs w:val="21"/>
                <w:lang w:eastAsia="zh-CN"/>
              </w:rPr>
            </w:pPr>
            <w:r>
              <w:rPr>
                <w:rFonts w:hint="eastAsia" w:ascii="仿宋" w:hAnsi="仿宋" w:eastAsia="仿宋" w:cs="仿宋"/>
                <w:sz w:val="21"/>
                <w:szCs w:val="21"/>
                <w:lang w:val="en-US" w:eastAsia="zh-CN"/>
              </w:rPr>
              <w:t>值</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restart"/>
            <w:noWrap w:val="0"/>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产出指标</w:t>
            </w:r>
          </w:p>
          <w:p>
            <w:pPr>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50</w:t>
            </w:r>
            <w:r>
              <w:rPr>
                <w:rFonts w:hint="eastAsia" w:ascii="仿宋" w:hAnsi="仿宋" w:eastAsia="仿宋" w:cs="仿宋"/>
                <w:color w:val="000000"/>
                <w:kern w:val="0"/>
                <w:sz w:val="21"/>
                <w:szCs w:val="21"/>
                <w:lang w:eastAsia="zh-CN"/>
              </w:rPr>
              <w:t>）</w:t>
            </w:r>
          </w:p>
          <w:p>
            <w:pPr>
              <w:jc w:val="center"/>
              <w:rPr>
                <w:rFonts w:hint="eastAsia" w:ascii="仿宋" w:hAnsi="仿宋" w:eastAsia="仿宋" w:cs="仿宋"/>
                <w:color w:val="000000"/>
                <w:kern w:val="0"/>
                <w:sz w:val="21"/>
                <w:szCs w:val="21"/>
                <w:lang w:eastAsia="zh-CN"/>
              </w:rPr>
            </w:pPr>
          </w:p>
          <w:p>
            <w:pPr>
              <w:jc w:val="center"/>
              <w:rPr>
                <w:rFonts w:hint="eastAsia" w:ascii="仿宋" w:hAnsi="仿宋" w:eastAsia="仿宋" w:cs="仿宋"/>
                <w:color w:val="000000"/>
                <w:kern w:val="0"/>
                <w:sz w:val="21"/>
                <w:szCs w:val="21"/>
                <w:lang w:val="en-US" w:eastAsia="zh-CN"/>
              </w:rPr>
            </w:pPr>
          </w:p>
        </w:tc>
        <w:tc>
          <w:tcPr>
            <w:tcW w:w="1700" w:type="dxa"/>
            <w:vMerge w:val="restart"/>
            <w:noWrap w:val="0"/>
            <w:vAlign w:val="center"/>
          </w:tcPr>
          <w:p>
            <w:pPr>
              <w:jc w:val="left"/>
              <w:rPr>
                <w:rFonts w:hint="eastAsia" w:ascii="仿宋" w:hAnsi="仿宋" w:eastAsia="仿宋" w:cs="仿宋"/>
                <w:color w:val="000000"/>
                <w:kern w:val="0"/>
                <w:sz w:val="21"/>
                <w:szCs w:val="21"/>
                <w:lang w:eastAsia="zh-CN"/>
              </w:rPr>
            </w:pPr>
            <w:r>
              <w:rPr>
                <w:rFonts w:hint="eastAsia" w:ascii="仿宋" w:hAnsi="仿宋" w:eastAsia="仿宋" w:cs="仿宋"/>
                <w:color w:val="000000"/>
                <w:sz w:val="21"/>
                <w:szCs w:val="21"/>
                <w:lang w:val="en-US" w:eastAsia="zh-CN"/>
              </w:rPr>
              <w:t>数量指标</w:t>
            </w:r>
          </w:p>
        </w:tc>
        <w:tc>
          <w:tcPr>
            <w:tcW w:w="2410" w:type="dxa"/>
            <w:noWrap w:val="0"/>
            <w:vAlign w:val="center"/>
          </w:tcPr>
          <w:p>
            <w:pPr>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新增高标准农田面积</w:t>
            </w:r>
          </w:p>
        </w:tc>
        <w:tc>
          <w:tcPr>
            <w:tcW w:w="680"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640" w:type="dxa"/>
            <w:noWrap w:val="0"/>
            <w:vAlign w:val="center"/>
          </w:tcPr>
          <w:p>
            <w:pPr>
              <w:jc w:val="center"/>
              <w:rPr>
                <w:rFonts w:hint="eastAsia" w:ascii="仿宋" w:hAnsi="仿宋" w:eastAsia="仿宋" w:cs="仿宋"/>
                <w:color w:val="000000"/>
                <w:sz w:val="21"/>
                <w:szCs w:val="21"/>
                <w:lang w:val="en-US" w:eastAsia="zh-CN"/>
              </w:rPr>
            </w:pPr>
          </w:p>
        </w:tc>
        <w:tc>
          <w:tcPr>
            <w:tcW w:w="970" w:type="dxa"/>
            <w:noWrap w:val="0"/>
            <w:vAlign w:val="center"/>
          </w:tcPr>
          <w:p>
            <w:pPr>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sz w:val="21"/>
                <w:szCs w:val="21"/>
                <w:lang w:val="en-US" w:eastAsia="zh-CN"/>
              </w:rPr>
              <w:t>22000</w:t>
            </w:r>
          </w:p>
        </w:tc>
        <w:tc>
          <w:tcPr>
            <w:tcW w:w="663" w:type="dxa"/>
            <w:noWrap w:val="0"/>
            <w:vAlign w:val="center"/>
          </w:tcPr>
          <w:p>
            <w:pPr>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noWrap w:val="0"/>
            <w:vAlign w:val="center"/>
          </w:tcPr>
          <w:p>
            <w:pPr>
              <w:jc w:val="center"/>
              <w:rPr>
                <w:rFonts w:hint="eastAsia" w:ascii="仿宋" w:hAnsi="仿宋" w:eastAsia="仿宋" w:cs="仿宋"/>
                <w:color w:val="000000"/>
                <w:kern w:val="0"/>
                <w:sz w:val="21"/>
                <w:szCs w:val="21"/>
                <w:lang w:val="en-US" w:eastAsia="zh-CN"/>
              </w:rPr>
            </w:pPr>
          </w:p>
        </w:tc>
        <w:tc>
          <w:tcPr>
            <w:tcW w:w="1700" w:type="dxa"/>
            <w:vMerge w:val="continue"/>
            <w:noWrap w:val="0"/>
            <w:vAlign w:val="center"/>
          </w:tcPr>
          <w:p>
            <w:pPr>
              <w:jc w:val="left"/>
              <w:rPr>
                <w:rFonts w:hint="eastAsia" w:ascii="仿宋" w:hAnsi="仿宋" w:eastAsia="仿宋" w:cs="仿宋"/>
                <w:color w:val="000000"/>
                <w:sz w:val="21"/>
                <w:szCs w:val="21"/>
                <w:lang w:val="en-US" w:eastAsia="zh-CN"/>
              </w:rPr>
            </w:pPr>
          </w:p>
        </w:tc>
        <w:tc>
          <w:tcPr>
            <w:tcW w:w="2410" w:type="dxa"/>
            <w:noWrap w:val="0"/>
            <w:vAlign w:val="center"/>
          </w:tcPr>
          <w:p>
            <w:pPr>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新增高效节水灌溉面积</w:t>
            </w:r>
          </w:p>
        </w:tc>
        <w:tc>
          <w:tcPr>
            <w:tcW w:w="680"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640" w:type="dxa"/>
            <w:noWrap w:val="0"/>
            <w:vAlign w:val="center"/>
          </w:tcPr>
          <w:p>
            <w:pPr>
              <w:jc w:val="center"/>
              <w:rPr>
                <w:rFonts w:hint="eastAsia" w:ascii="仿宋" w:hAnsi="仿宋" w:eastAsia="仿宋" w:cs="仿宋"/>
                <w:color w:val="000000"/>
                <w:sz w:val="21"/>
                <w:szCs w:val="21"/>
                <w:lang w:val="en-US" w:eastAsia="zh-CN"/>
              </w:rPr>
            </w:pPr>
          </w:p>
        </w:tc>
        <w:tc>
          <w:tcPr>
            <w:tcW w:w="970"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18409</w:t>
            </w:r>
          </w:p>
        </w:tc>
        <w:tc>
          <w:tcPr>
            <w:tcW w:w="663" w:type="dxa"/>
            <w:noWrap w:val="0"/>
            <w:vAlign w:val="center"/>
          </w:tcPr>
          <w:p>
            <w:pPr>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noWrap w:val="0"/>
            <w:vAlign w:val="center"/>
          </w:tcPr>
          <w:p>
            <w:pPr>
              <w:jc w:val="center"/>
              <w:rPr>
                <w:rFonts w:hint="eastAsia" w:ascii="仿宋" w:hAnsi="仿宋" w:eastAsia="仿宋" w:cs="仿宋"/>
                <w:color w:val="000000"/>
                <w:kern w:val="0"/>
                <w:sz w:val="21"/>
                <w:szCs w:val="21"/>
                <w:lang w:eastAsia="zh-CN"/>
              </w:rPr>
            </w:pPr>
          </w:p>
        </w:tc>
        <w:tc>
          <w:tcPr>
            <w:tcW w:w="1700" w:type="dxa"/>
            <w:noWrap w:val="0"/>
            <w:vAlign w:val="center"/>
          </w:tcPr>
          <w:p>
            <w:pPr>
              <w:jc w:val="left"/>
              <w:rPr>
                <w:rFonts w:hint="eastAsia" w:ascii="仿宋" w:hAnsi="仿宋" w:eastAsia="仿宋" w:cs="仿宋"/>
                <w:color w:val="000000"/>
                <w:kern w:val="0"/>
                <w:sz w:val="21"/>
                <w:szCs w:val="21"/>
                <w:lang w:eastAsia="zh-CN"/>
              </w:rPr>
            </w:pPr>
            <w:r>
              <w:rPr>
                <w:rFonts w:hint="eastAsia" w:ascii="仿宋" w:hAnsi="仿宋" w:eastAsia="仿宋" w:cs="仿宋"/>
                <w:color w:val="000000"/>
                <w:sz w:val="21"/>
                <w:szCs w:val="21"/>
                <w:lang w:val="en-US" w:eastAsia="zh-CN"/>
              </w:rPr>
              <w:t>质量指标</w:t>
            </w:r>
          </w:p>
        </w:tc>
        <w:tc>
          <w:tcPr>
            <w:tcW w:w="2410" w:type="dxa"/>
            <w:noWrap w:val="0"/>
            <w:vAlign w:val="center"/>
          </w:tcPr>
          <w:p>
            <w:pPr>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项目验收合格率</w:t>
            </w:r>
          </w:p>
        </w:tc>
        <w:tc>
          <w:tcPr>
            <w:tcW w:w="680"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640"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w:t>
            </w:r>
          </w:p>
        </w:tc>
        <w:tc>
          <w:tcPr>
            <w:tcW w:w="970" w:type="dxa"/>
            <w:noWrap w:val="0"/>
            <w:vAlign w:val="center"/>
          </w:tcPr>
          <w:p>
            <w:pPr>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663" w:type="dxa"/>
            <w:noWrap w:val="0"/>
            <w:vAlign w:val="center"/>
          </w:tcPr>
          <w:p>
            <w:pPr>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noWrap w:val="0"/>
            <w:vAlign w:val="center"/>
          </w:tcPr>
          <w:p>
            <w:pPr>
              <w:jc w:val="center"/>
              <w:rPr>
                <w:rFonts w:hint="eastAsia" w:ascii="仿宋" w:hAnsi="仿宋" w:eastAsia="仿宋" w:cs="仿宋"/>
                <w:color w:val="000000"/>
                <w:kern w:val="0"/>
                <w:sz w:val="21"/>
                <w:szCs w:val="21"/>
                <w:lang w:eastAsia="zh-CN"/>
              </w:rPr>
            </w:pPr>
          </w:p>
        </w:tc>
        <w:tc>
          <w:tcPr>
            <w:tcW w:w="1700" w:type="dxa"/>
            <w:noWrap w:val="0"/>
            <w:vAlign w:val="center"/>
          </w:tcPr>
          <w:p>
            <w:pPr>
              <w:jc w:val="left"/>
              <w:rPr>
                <w:rFonts w:hint="eastAsia" w:ascii="仿宋" w:hAnsi="仿宋" w:eastAsia="仿宋" w:cs="仿宋"/>
                <w:color w:val="000000"/>
                <w:kern w:val="0"/>
                <w:sz w:val="21"/>
                <w:szCs w:val="21"/>
                <w:lang w:eastAsia="zh-CN"/>
              </w:rPr>
            </w:pPr>
            <w:r>
              <w:rPr>
                <w:rFonts w:hint="eastAsia" w:ascii="仿宋" w:hAnsi="仿宋" w:eastAsia="仿宋" w:cs="仿宋"/>
                <w:color w:val="000000"/>
                <w:sz w:val="21"/>
                <w:szCs w:val="21"/>
                <w:lang w:val="en-US" w:eastAsia="zh-CN"/>
              </w:rPr>
              <w:t>时效指标</w:t>
            </w:r>
          </w:p>
        </w:tc>
        <w:tc>
          <w:tcPr>
            <w:tcW w:w="2410" w:type="dxa"/>
            <w:noWrap w:val="0"/>
            <w:vAlign w:val="center"/>
          </w:tcPr>
          <w:p>
            <w:pPr>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任务完成及时性</w:t>
            </w:r>
          </w:p>
        </w:tc>
        <w:tc>
          <w:tcPr>
            <w:tcW w:w="680"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640" w:type="dxa"/>
            <w:noWrap w:val="0"/>
            <w:vAlign w:val="center"/>
          </w:tcPr>
          <w:p>
            <w:pPr>
              <w:jc w:val="center"/>
              <w:rPr>
                <w:rFonts w:hint="default" w:ascii="仿宋" w:hAnsi="仿宋" w:eastAsia="仿宋" w:cs="仿宋"/>
                <w:color w:val="000000"/>
                <w:sz w:val="21"/>
                <w:szCs w:val="21"/>
                <w:lang w:val="en-US" w:eastAsia="zh-CN"/>
              </w:rPr>
            </w:pPr>
          </w:p>
        </w:tc>
        <w:tc>
          <w:tcPr>
            <w:tcW w:w="970"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100</w:t>
            </w:r>
          </w:p>
        </w:tc>
        <w:tc>
          <w:tcPr>
            <w:tcW w:w="663" w:type="dxa"/>
            <w:noWrap w:val="0"/>
            <w:vAlign w:val="center"/>
          </w:tcPr>
          <w:p>
            <w:pPr>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noWrap w:val="0"/>
            <w:vAlign w:val="center"/>
          </w:tcPr>
          <w:p>
            <w:pPr>
              <w:jc w:val="center"/>
              <w:rPr>
                <w:rFonts w:hint="eastAsia" w:ascii="仿宋" w:hAnsi="仿宋" w:eastAsia="仿宋" w:cs="仿宋"/>
                <w:color w:val="000000"/>
                <w:kern w:val="0"/>
                <w:sz w:val="21"/>
                <w:szCs w:val="21"/>
                <w:lang w:val="en-US" w:eastAsia="zh-CN"/>
              </w:rPr>
            </w:pPr>
          </w:p>
        </w:tc>
        <w:tc>
          <w:tcPr>
            <w:tcW w:w="1700" w:type="dxa"/>
            <w:noWrap w:val="0"/>
            <w:vAlign w:val="center"/>
          </w:tcPr>
          <w:p>
            <w:pPr>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sz w:val="21"/>
                <w:szCs w:val="21"/>
                <w:lang w:val="en-US" w:eastAsia="zh-CN"/>
              </w:rPr>
              <w:t>成本指标</w:t>
            </w:r>
          </w:p>
        </w:tc>
        <w:tc>
          <w:tcPr>
            <w:tcW w:w="2410" w:type="dxa"/>
            <w:noWrap w:val="0"/>
            <w:vAlign w:val="center"/>
          </w:tcPr>
          <w:p>
            <w:pPr>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财政资金亩均补助标准</w:t>
            </w:r>
          </w:p>
        </w:tc>
        <w:tc>
          <w:tcPr>
            <w:tcW w:w="680"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640" w:type="dxa"/>
            <w:noWrap w:val="0"/>
            <w:vAlign w:val="center"/>
          </w:tcPr>
          <w:p>
            <w:pPr>
              <w:jc w:val="center"/>
              <w:rPr>
                <w:rFonts w:hint="default" w:ascii="仿宋" w:hAnsi="仿宋" w:eastAsia="仿宋" w:cs="仿宋"/>
                <w:color w:val="000000"/>
                <w:sz w:val="21"/>
                <w:szCs w:val="21"/>
                <w:lang w:val="en-US" w:eastAsia="zh-CN"/>
              </w:rPr>
            </w:pPr>
          </w:p>
        </w:tc>
        <w:tc>
          <w:tcPr>
            <w:tcW w:w="970" w:type="dxa"/>
            <w:noWrap w:val="0"/>
            <w:vAlign w:val="center"/>
          </w:tcPr>
          <w:p>
            <w:pPr>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1123.64</w:t>
            </w:r>
          </w:p>
        </w:tc>
        <w:tc>
          <w:tcPr>
            <w:tcW w:w="663" w:type="dxa"/>
            <w:noWrap w:val="0"/>
            <w:vAlign w:val="center"/>
          </w:tcPr>
          <w:p>
            <w:pPr>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restart"/>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效益指标（30）</w:t>
            </w:r>
          </w:p>
        </w:tc>
        <w:tc>
          <w:tcPr>
            <w:tcW w:w="1700" w:type="dxa"/>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经济效益指标</w:t>
            </w:r>
          </w:p>
        </w:tc>
        <w:tc>
          <w:tcPr>
            <w:tcW w:w="2410" w:type="dxa"/>
            <w:noWrap w:val="0"/>
            <w:vAlign w:val="center"/>
          </w:tcPr>
          <w:p>
            <w:pPr>
              <w:jc w:val="both"/>
              <w:rPr>
                <w:rFonts w:hint="default" w:ascii="仿宋" w:hAnsi="仿宋" w:eastAsia="仿宋" w:cs="仿宋"/>
                <w:sz w:val="21"/>
                <w:szCs w:val="21"/>
                <w:lang w:val="en-US" w:eastAsia="zh-CN"/>
              </w:rPr>
            </w:pPr>
          </w:p>
        </w:tc>
        <w:tc>
          <w:tcPr>
            <w:tcW w:w="680" w:type="dxa"/>
            <w:noWrap w:val="0"/>
            <w:vAlign w:val="center"/>
          </w:tcPr>
          <w:p>
            <w:pPr>
              <w:jc w:val="center"/>
              <w:rPr>
                <w:rFonts w:hint="default" w:ascii="仿宋" w:hAnsi="仿宋" w:eastAsia="仿宋" w:cs="仿宋"/>
                <w:sz w:val="21"/>
                <w:szCs w:val="21"/>
                <w:lang w:val="en-US" w:eastAsia="zh-CN"/>
              </w:rPr>
            </w:pPr>
          </w:p>
        </w:tc>
        <w:tc>
          <w:tcPr>
            <w:tcW w:w="640" w:type="dxa"/>
            <w:noWrap w:val="0"/>
            <w:vAlign w:val="center"/>
          </w:tcPr>
          <w:p>
            <w:pPr>
              <w:jc w:val="center"/>
              <w:rPr>
                <w:rFonts w:hint="default" w:ascii="仿宋" w:hAnsi="仿宋" w:eastAsia="仿宋" w:cs="仿宋"/>
                <w:sz w:val="21"/>
                <w:szCs w:val="21"/>
                <w:lang w:val="en-US" w:eastAsia="zh-CN"/>
              </w:rPr>
            </w:pPr>
          </w:p>
        </w:tc>
        <w:tc>
          <w:tcPr>
            <w:tcW w:w="970" w:type="dxa"/>
            <w:noWrap w:val="0"/>
            <w:vAlign w:val="center"/>
          </w:tcPr>
          <w:p>
            <w:pPr>
              <w:jc w:val="center"/>
              <w:rPr>
                <w:rFonts w:hint="default" w:ascii="仿宋" w:hAnsi="仿宋" w:eastAsia="仿宋" w:cs="仿宋"/>
                <w:sz w:val="21"/>
                <w:szCs w:val="21"/>
                <w:lang w:val="en-US" w:eastAsia="zh-CN"/>
              </w:rPr>
            </w:pPr>
          </w:p>
        </w:tc>
        <w:tc>
          <w:tcPr>
            <w:tcW w:w="663" w:type="dxa"/>
            <w:noWrap w:val="0"/>
            <w:vAlign w:val="center"/>
          </w:tcPr>
          <w:p>
            <w:pPr>
              <w:jc w:val="center"/>
              <w:rPr>
                <w:rFonts w:hint="default" w:ascii="仿宋" w:hAnsi="仿宋" w:eastAsia="仿宋" w:cs="仿宋"/>
                <w:color w:val="333333"/>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noWrap w:val="0"/>
            <w:vAlign w:val="center"/>
          </w:tcPr>
          <w:p>
            <w:pPr>
              <w:jc w:val="center"/>
              <w:rPr>
                <w:rFonts w:hint="eastAsia" w:ascii="仿宋" w:hAnsi="仿宋" w:eastAsia="仿宋" w:cs="仿宋"/>
                <w:sz w:val="21"/>
                <w:szCs w:val="21"/>
                <w:lang w:val="en-US" w:eastAsia="zh-CN"/>
              </w:rPr>
            </w:pPr>
          </w:p>
        </w:tc>
        <w:tc>
          <w:tcPr>
            <w:tcW w:w="1700" w:type="dxa"/>
            <w:vMerge w:val="restart"/>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社会效益指标</w:t>
            </w:r>
          </w:p>
        </w:tc>
        <w:tc>
          <w:tcPr>
            <w:tcW w:w="2410" w:type="dxa"/>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粮食综合生产能力</w:t>
            </w:r>
          </w:p>
        </w:tc>
        <w:tc>
          <w:tcPr>
            <w:tcW w:w="68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64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97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242.47</w:t>
            </w:r>
          </w:p>
        </w:tc>
        <w:tc>
          <w:tcPr>
            <w:tcW w:w="663" w:type="dxa"/>
            <w:noWrap w:val="0"/>
            <w:vAlign w:val="center"/>
          </w:tcPr>
          <w:p>
            <w:pPr>
              <w:jc w:val="center"/>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千克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noWrap w:val="0"/>
            <w:vAlign w:val="center"/>
          </w:tcPr>
          <w:p>
            <w:pPr>
              <w:jc w:val="center"/>
              <w:rPr>
                <w:rFonts w:hint="eastAsia" w:ascii="仿宋" w:hAnsi="仿宋" w:eastAsia="仿宋" w:cs="仿宋"/>
                <w:sz w:val="21"/>
                <w:szCs w:val="21"/>
                <w:lang w:val="en-US" w:eastAsia="zh-CN"/>
              </w:rPr>
            </w:pPr>
          </w:p>
        </w:tc>
        <w:tc>
          <w:tcPr>
            <w:tcW w:w="1700" w:type="dxa"/>
            <w:vMerge w:val="continue"/>
            <w:noWrap w:val="0"/>
            <w:vAlign w:val="center"/>
          </w:tcPr>
          <w:p>
            <w:pPr>
              <w:jc w:val="left"/>
              <w:rPr>
                <w:rFonts w:hint="eastAsia" w:ascii="仿宋" w:hAnsi="仿宋" w:eastAsia="仿宋" w:cs="仿宋"/>
                <w:sz w:val="21"/>
                <w:szCs w:val="21"/>
                <w:lang w:val="en-US" w:eastAsia="zh-CN"/>
              </w:rPr>
            </w:pPr>
          </w:p>
        </w:tc>
        <w:tc>
          <w:tcPr>
            <w:tcW w:w="2410" w:type="dxa"/>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田间道路通达率</w:t>
            </w:r>
          </w:p>
        </w:tc>
        <w:tc>
          <w:tcPr>
            <w:tcW w:w="68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640" w:type="dxa"/>
            <w:noWrap w:val="0"/>
            <w:vAlign w:val="center"/>
          </w:tcPr>
          <w:p>
            <w:pPr>
              <w:jc w:val="center"/>
              <w:rPr>
                <w:rFonts w:hint="eastAsia" w:ascii="仿宋" w:hAnsi="仿宋" w:eastAsia="仿宋" w:cs="仿宋"/>
                <w:sz w:val="21"/>
                <w:szCs w:val="21"/>
                <w:lang w:val="en-US" w:eastAsia="zh-CN"/>
              </w:rPr>
            </w:pPr>
          </w:p>
        </w:tc>
        <w:tc>
          <w:tcPr>
            <w:tcW w:w="97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663" w:type="dxa"/>
            <w:noWrap w:val="0"/>
            <w:vAlign w:val="center"/>
          </w:tcPr>
          <w:p>
            <w:pPr>
              <w:jc w:val="center"/>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noWrap w:val="0"/>
            <w:vAlign w:val="center"/>
          </w:tcPr>
          <w:p>
            <w:pPr>
              <w:jc w:val="center"/>
              <w:rPr>
                <w:rFonts w:hint="eastAsia" w:ascii="仿宋" w:hAnsi="仿宋" w:eastAsia="仿宋" w:cs="仿宋"/>
                <w:sz w:val="21"/>
                <w:szCs w:val="21"/>
                <w:lang w:val="en-US" w:eastAsia="zh-CN"/>
              </w:rPr>
            </w:pPr>
          </w:p>
        </w:tc>
        <w:tc>
          <w:tcPr>
            <w:tcW w:w="1700" w:type="dxa"/>
            <w:vMerge w:val="restart"/>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生态效益指标</w:t>
            </w:r>
          </w:p>
        </w:tc>
        <w:tc>
          <w:tcPr>
            <w:tcW w:w="2410" w:type="dxa"/>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耕地质量</w:t>
            </w:r>
          </w:p>
        </w:tc>
        <w:tc>
          <w:tcPr>
            <w:tcW w:w="68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640" w:type="dxa"/>
            <w:noWrap w:val="0"/>
            <w:vAlign w:val="center"/>
          </w:tcPr>
          <w:p>
            <w:pPr>
              <w:jc w:val="center"/>
              <w:rPr>
                <w:rFonts w:hint="eastAsia" w:ascii="仿宋" w:hAnsi="仿宋" w:eastAsia="仿宋" w:cs="仿宋"/>
                <w:sz w:val="21"/>
                <w:szCs w:val="21"/>
                <w:lang w:val="en-US" w:eastAsia="zh-CN"/>
              </w:rPr>
            </w:pPr>
          </w:p>
        </w:tc>
        <w:tc>
          <w:tcPr>
            <w:tcW w:w="97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良好</w:t>
            </w:r>
          </w:p>
        </w:tc>
        <w:tc>
          <w:tcPr>
            <w:tcW w:w="663" w:type="dxa"/>
            <w:noWrap w:val="0"/>
            <w:vAlign w:val="center"/>
          </w:tcPr>
          <w:p>
            <w:pPr>
              <w:jc w:val="center"/>
              <w:rPr>
                <w:rFonts w:hint="eastAsia" w:ascii="仿宋" w:hAnsi="仿宋" w:eastAsia="仿宋" w:cs="仿宋"/>
                <w:color w:val="333333"/>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noWrap w:val="0"/>
            <w:vAlign w:val="center"/>
          </w:tcPr>
          <w:p>
            <w:pPr>
              <w:jc w:val="center"/>
              <w:rPr>
                <w:rFonts w:hint="eastAsia" w:ascii="仿宋" w:hAnsi="仿宋" w:eastAsia="仿宋" w:cs="仿宋"/>
                <w:sz w:val="21"/>
                <w:szCs w:val="21"/>
                <w:lang w:val="en-US" w:eastAsia="zh-CN"/>
              </w:rPr>
            </w:pPr>
          </w:p>
        </w:tc>
        <w:tc>
          <w:tcPr>
            <w:tcW w:w="1700" w:type="dxa"/>
            <w:vMerge w:val="continue"/>
            <w:noWrap w:val="0"/>
            <w:vAlign w:val="center"/>
          </w:tcPr>
          <w:p>
            <w:pPr>
              <w:jc w:val="left"/>
              <w:rPr>
                <w:rFonts w:hint="eastAsia" w:ascii="仿宋" w:hAnsi="仿宋" w:eastAsia="仿宋" w:cs="仿宋"/>
                <w:sz w:val="21"/>
                <w:szCs w:val="21"/>
                <w:lang w:val="en-US" w:eastAsia="zh-CN"/>
              </w:rPr>
            </w:pPr>
          </w:p>
        </w:tc>
        <w:tc>
          <w:tcPr>
            <w:tcW w:w="2410" w:type="dxa"/>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水资源利用率</w:t>
            </w:r>
          </w:p>
        </w:tc>
        <w:tc>
          <w:tcPr>
            <w:tcW w:w="68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640" w:type="dxa"/>
            <w:noWrap w:val="0"/>
            <w:vAlign w:val="center"/>
          </w:tcPr>
          <w:p>
            <w:pPr>
              <w:jc w:val="center"/>
              <w:rPr>
                <w:rFonts w:hint="eastAsia" w:ascii="仿宋" w:hAnsi="仿宋" w:eastAsia="仿宋" w:cs="仿宋"/>
                <w:sz w:val="21"/>
                <w:szCs w:val="21"/>
                <w:lang w:val="en-US" w:eastAsia="zh-CN"/>
              </w:rPr>
            </w:pPr>
          </w:p>
        </w:tc>
        <w:tc>
          <w:tcPr>
            <w:tcW w:w="97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0.85</w:t>
            </w:r>
          </w:p>
        </w:tc>
        <w:tc>
          <w:tcPr>
            <w:tcW w:w="663" w:type="dxa"/>
            <w:noWrap w:val="0"/>
            <w:vAlign w:val="center"/>
          </w:tcPr>
          <w:p>
            <w:pPr>
              <w:jc w:val="center"/>
              <w:rPr>
                <w:rFonts w:hint="eastAsia" w:ascii="仿宋" w:hAnsi="仿宋" w:eastAsia="仿宋" w:cs="仿宋"/>
                <w:color w:val="333333"/>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noWrap w:val="0"/>
            <w:vAlign w:val="center"/>
          </w:tcPr>
          <w:p>
            <w:pPr>
              <w:jc w:val="center"/>
              <w:rPr>
                <w:rFonts w:hint="eastAsia" w:ascii="仿宋" w:hAnsi="仿宋" w:eastAsia="仿宋" w:cs="仿宋"/>
                <w:sz w:val="21"/>
                <w:szCs w:val="21"/>
                <w:lang w:val="en-US" w:eastAsia="zh-CN"/>
              </w:rPr>
            </w:pPr>
          </w:p>
        </w:tc>
        <w:tc>
          <w:tcPr>
            <w:tcW w:w="1700" w:type="dxa"/>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可持续影响指标</w:t>
            </w:r>
          </w:p>
        </w:tc>
        <w:tc>
          <w:tcPr>
            <w:tcW w:w="2410" w:type="dxa"/>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农业种植结构</w:t>
            </w:r>
          </w:p>
        </w:tc>
        <w:tc>
          <w:tcPr>
            <w:tcW w:w="68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640" w:type="dxa"/>
            <w:noWrap w:val="0"/>
            <w:vAlign w:val="center"/>
          </w:tcPr>
          <w:p>
            <w:pPr>
              <w:jc w:val="center"/>
              <w:rPr>
                <w:rFonts w:hint="eastAsia" w:ascii="仿宋" w:hAnsi="仿宋" w:eastAsia="仿宋" w:cs="仿宋"/>
                <w:sz w:val="21"/>
                <w:szCs w:val="21"/>
                <w:lang w:val="en-US" w:eastAsia="zh-CN"/>
              </w:rPr>
            </w:pPr>
          </w:p>
        </w:tc>
        <w:tc>
          <w:tcPr>
            <w:tcW w:w="97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合理</w:t>
            </w:r>
          </w:p>
        </w:tc>
        <w:tc>
          <w:tcPr>
            <w:tcW w:w="663" w:type="dxa"/>
            <w:noWrap w:val="0"/>
            <w:vAlign w:val="center"/>
          </w:tcPr>
          <w:p>
            <w:pPr>
              <w:jc w:val="center"/>
              <w:rPr>
                <w:rFonts w:hint="eastAsia" w:ascii="仿宋" w:hAnsi="仿宋" w:eastAsia="仿宋" w:cs="仿宋"/>
                <w:color w:val="333333"/>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满意度指标（10）</w:t>
            </w:r>
          </w:p>
        </w:tc>
        <w:tc>
          <w:tcPr>
            <w:tcW w:w="1700" w:type="dxa"/>
            <w:noWrap w:val="0"/>
            <w:vAlign w:val="center"/>
          </w:tcPr>
          <w:p>
            <w:pPr>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满意度指标</w:t>
            </w:r>
          </w:p>
        </w:tc>
        <w:tc>
          <w:tcPr>
            <w:tcW w:w="2410" w:type="dxa"/>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受益群众满意度</w:t>
            </w:r>
          </w:p>
        </w:tc>
        <w:tc>
          <w:tcPr>
            <w:tcW w:w="68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640" w:type="dxa"/>
            <w:noWrap w:val="0"/>
            <w:vAlign w:val="center"/>
          </w:tcPr>
          <w:p>
            <w:pPr>
              <w:keepNext w:val="0"/>
              <w:keepLines w:val="0"/>
              <w:widowControl/>
              <w:suppressLineNumbers w:val="0"/>
              <w:jc w:val="center"/>
              <w:textAlignment w:val="center"/>
              <w:rPr>
                <w:rFonts w:hint="default" w:ascii="仿宋" w:hAnsi="仿宋" w:eastAsia="仿宋" w:cs="仿宋"/>
                <w:sz w:val="21"/>
                <w:szCs w:val="21"/>
                <w:lang w:val="en-US" w:eastAsia="zh-CN"/>
              </w:rPr>
            </w:pPr>
          </w:p>
        </w:tc>
        <w:tc>
          <w:tcPr>
            <w:tcW w:w="970" w:type="dxa"/>
            <w:noWrap w:val="0"/>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宋体" w:hAnsi="宋体" w:cs="宋体"/>
                <w:i w:val="0"/>
                <w:iCs w:val="0"/>
                <w:color w:val="000000"/>
                <w:kern w:val="0"/>
                <w:sz w:val="18"/>
                <w:szCs w:val="18"/>
                <w:u w:val="none"/>
                <w:lang w:val="en-US" w:eastAsia="zh-CN" w:bidi="ar"/>
              </w:rPr>
              <w:t>100</w:t>
            </w:r>
          </w:p>
        </w:tc>
        <w:tc>
          <w:tcPr>
            <w:tcW w:w="663" w:type="dxa"/>
            <w:noWrap w:val="0"/>
            <w:vAlign w:val="center"/>
          </w:tcPr>
          <w:p>
            <w:pPr>
              <w:jc w:val="center"/>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预算执行率（10）</w:t>
            </w:r>
          </w:p>
        </w:tc>
        <w:tc>
          <w:tcPr>
            <w:tcW w:w="1700" w:type="dxa"/>
            <w:noWrap w:val="0"/>
            <w:vAlign w:val="center"/>
          </w:tcPr>
          <w:p>
            <w:pPr>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预算执行率</w:t>
            </w:r>
          </w:p>
        </w:tc>
        <w:tc>
          <w:tcPr>
            <w:tcW w:w="2410" w:type="dxa"/>
            <w:noWrap w:val="0"/>
            <w:vAlign w:val="center"/>
          </w:tcPr>
          <w:p>
            <w:pPr>
              <w:jc w:val="center"/>
              <w:rPr>
                <w:rFonts w:hint="eastAsia" w:ascii="仿宋" w:hAnsi="仿宋" w:eastAsia="仿宋" w:cs="仿宋"/>
                <w:sz w:val="21"/>
                <w:szCs w:val="21"/>
                <w:lang w:val="en-US" w:eastAsia="zh-CN"/>
              </w:rPr>
            </w:pPr>
          </w:p>
        </w:tc>
        <w:tc>
          <w:tcPr>
            <w:tcW w:w="68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640" w:type="dxa"/>
            <w:noWrap w:val="0"/>
            <w:vAlign w:val="top"/>
          </w:tcPr>
          <w:p>
            <w:pPr>
              <w:keepNext w:val="0"/>
              <w:keepLines w:val="0"/>
              <w:widowControl/>
              <w:suppressLineNumbers w:val="0"/>
              <w:jc w:val="center"/>
              <w:textAlignment w:val="top"/>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70" w:type="dxa"/>
            <w:noWrap w:val="0"/>
            <w:vAlign w:val="top"/>
          </w:tcPr>
          <w:p>
            <w:pPr>
              <w:keepNext w:val="0"/>
              <w:keepLines w:val="0"/>
              <w:widowControl/>
              <w:suppressLineNumbers w:val="0"/>
              <w:jc w:val="center"/>
              <w:textAlignment w:val="top"/>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663" w:type="dxa"/>
            <w:noWrap w:val="0"/>
            <w:vAlign w:val="top"/>
          </w:tcPr>
          <w:p>
            <w:pPr>
              <w:keepNext w:val="0"/>
              <w:keepLines w:val="0"/>
              <w:widowControl/>
              <w:suppressLineNumbers w:val="0"/>
              <w:jc w:val="center"/>
              <w:textAlignment w:val="top"/>
              <w:rPr>
                <w:rFonts w:hint="eastAsia" w:ascii="仿宋" w:hAnsi="仿宋" w:eastAsia="仿宋" w:cs="仿宋"/>
                <w:color w:val="333333"/>
                <w:kern w:val="0"/>
                <w:sz w:val="21"/>
                <w:szCs w:val="21"/>
                <w:lang w:val="en-US" w:eastAsia="zh-CN"/>
              </w:rPr>
            </w:pPr>
            <w:r>
              <w:rPr>
                <w:rFonts w:hint="eastAsia" w:ascii="宋体" w:hAnsi="宋体" w:eastAsia="宋体" w:cs="宋体"/>
                <w:i w:val="0"/>
                <w:iCs w:val="0"/>
                <w:color w:val="000000"/>
                <w:kern w:val="0"/>
                <w:sz w:val="18"/>
                <w:szCs w:val="18"/>
                <w:u w:val="none"/>
                <w:lang w:val="en-US" w:eastAsia="zh-CN" w:bidi="ar"/>
              </w:rPr>
              <w:t>%</w:t>
            </w:r>
          </w:p>
        </w:tc>
      </w:tr>
    </w:tbl>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二、绩效评价工作开展情况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做好此项评价，高阳县财政局成立了预算绩效管理工作领导小组，并聘请河北满好会计师事务所专业人员参加绩效评价工作。工作组认真进行前期调研，搜集、查找、学习相关政策、行业标准、专业知识，并组织评价组成员与主管部门进行多次讨论与研究。根据财政资金绩效评价的基本要求和规定，结合2021年高阳县庞口镇、西演镇高标准农田建设项目工作特点，从评价对象、评价依据、评价工作组织、评价方法及程序、评价时间安排、评价保障措施等六方面研究制定了绩效评价工作方案。设计了满意度调查问卷表，以局业务人员和社会公众为对象，发放满意度调查问卷表，对该项目工作进行满意度调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评价组通过实地核实相关原始账页、支出凭证、管理制度等相关原始资料、现场查验、公众满意度调查等方式，按照绩效评价指标体系的评分办法从项目决策、管理、产出、效益等方面进行实地监督评价。</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项目绩效评价指标体系分值共100分，一级指标4项：决策、管理、产出、效益；二级指标12项；三级指标18项，各分项指标及分值详见附件1。</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三、综合评价情况及评价结论</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通过项目的实施，高阳县农业农村局建设高标准农田22000亩，同步发展高效节水灌溉面积18409亩，硬化田间机耕道路19.314公里，铺设灌溉管道131.229公里，铺设低压输电线路17.519公里，栽植金叶榆5604株。项目区内农业生产基础设施条件得到极大改善，农业生产条件得到改善，农业生产能力显著提高，达到了田规整、林配套、管相通、路便利，基本实现园田化。 </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2021年高阳县庞口镇、西演镇高标准农田建设补助资金项目绩效评价综合得分91分。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根据河北省财政厅颁发的《河北省省级预算绩效重点评价管理办法》第十七条：“重点评价结果采取评级形式,以优、良、中、差四个等级来反映;评价结果能量化的,也可以分值来表述,在评价总分设置为100分情况下,一般得分与等级对应关系为:90分以上为优、80-90分为良、60-80分为中、60分以下为差”的规定。项目综合评价结论为“优”。</w:t>
      </w:r>
    </w:p>
    <w:p>
      <w:pPr>
        <w:pageBreakBefore w:val="0"/>
        <w:widowControl w:val="0"/>
        <w:tabs>
          <w:tab w:val="left" w:pos="4860"/>
        </w:tabs>
        <w:kinsoku/>
        <w:wordWrap/>
        <w:overflowPunct/>
        <w:topLinePunct w:val="0"/>
        <w:autoSpaceDE/>
        <w:autoSpaceDN/>
        <w:bidi w:val="0"/>
        <w:adjustRightInd/>
        <w:snapToGrid/>
        <w:spacing w:line="580" w:lineRule="exact"/>
        <w:ind w:firstLine="1680" w:firstLineChars="6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表3：绩效评价具体得分情况表</w:t>
      </w:r>
    </w:p>
    <w:p>
      <w:pPr>
        <w:pStyle w:val="2"/>
        <w:rPr>
          <w:rFonts w:hint="eastAsia"/>
          <w:lang w:val="en-US" w:eastAsia="zh-CN"/>
        </w:rPr>
      </w:pPr>
    </w:p>
    <w:tbl>
      <w:tblPr>
        <w:tblStyle w:val="9"/>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1691"/>
        <w:gridCol w:w="3230"/>
        <w:gridCol w:w="738"/>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一级指标</w:t>
            </w:r>
          </w:p>
        </w:tc>
        <w:tc>
          <w:tcPr>
            <w:tcW w:w="169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二级指标</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三级指标</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分值</w:t>
            </w:r>
          </w:p>
        </w:tc>
        <w:tc>
          <w:tcPr>
            <w:tcW w:w="782"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决策（5分）</w:t>
            </w:r>
          </w:p>
        </w:tc>
        <w:tc>
          <w:tcPr>
            <w:tcW w:w="1691"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项目立项</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立项依据充分性</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0" w:type="dxa"/>
            <w:gridSpan w:val="3"/>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合计</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restart"/>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管理（20）</w:t>
            </w:r>
          </w:p>
        </w:tc>
        <w:tc>
          <w:tcPr>
            <w:tcW w:w="1691" w:type="dxa"/>
            <w:vMerge w:val="restart"/>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组织实施</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内控制度健全性</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1691"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制度执行有效性</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1691"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招标采购合规性</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1691"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会计核算合规性</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0" w:type="dxa"/>
            <w:gridSpan w:val="3"/>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合计</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restart"/>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产出(35分)</w:t>
            </w:r>
          </w:p>
        </w:tc>
        <w:tc>
          <w:tcPr>
            <w:tcW w:w="1691" w:type="dxa"/>
            <w:vMerge w:val="restart"/>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数量</w:t>
            </w:r>
            <w:r>
              <w:rPr>
                <w:rFonts w:hint="eastAsia" w:ascii="仿宋" w:hAnsi="仿宋" w:eastAsia="仿宋" w:cs="仿宋"/>
                <w:sz w:val="21"/>
                <w:szCs w:val="21"/>
                <w:vertAlign w:val="baseline"/>
                <w:lang w:val="en-US" w:eastAsia="zh-CN"/>
              </w:rPr>
              <w:t>指标</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新增高标准农田面积</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782"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1691"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新增高效节水灌溉面积</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质量</w:t>
            </w:r>
            <w:r>
              <w:rPr>
                <w:rFonts w:hint="eastAsia" w:ascii="仿宋" w:hAnsi="仿宋" w:eastAsia="仿宋" w:cs="仿宋"/>
                <w:sz w:val="21"/>
                <w:szCs w:val="21"/>
                <w:vertAlign w:val="baseline"/>
                <w:lang w:val="en-US" w:eastAsia="zh-CN"/>
              </w:rPr>
              <w:t>指标</w:t>
            </w:r>
          </w:p>
        </w:tc>
        <w:tc>
          <w:tcPr>
            <w:tcW w:w="323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rPr>
              <w:t>项目验收合格</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时效指标</w:t>
            </w:r>
          </w:p>
        </w:tc>
        <w:tc>
          <w:tcPr>
            <w:tcW w:w="323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资金支付</w:t>
            </w:r>
            <w:r>
              <w:rPr>
                <w:rFonts w:hint="eastAsia" w:ascii="仿宋" w:hAnsi="仿宋" w:eastAsia="仿宋" w:cs="仿宋"/>
                <w:sz w:val="21"/>
                <w:szCs w:val="21"/>
              </w:rPr>
              <w:t>及时性</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成本指标</w:t>
            </w:r>
          </w:p>
        </w:tc>
        <w:tc>
          <w:tcPr>
            <w:tcW w:w="323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rPr>
              <w:t>财政资金亩均补助标准</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0" w:type="dxa"/>
            <w:gridSpan w:val="3"/>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合计</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35</w:t>
            </w:r>
          </w:p>
        </w:tc>
        <w:tc>
          <w:tcPr>
            <w:tcW w:w="782" w:type="dxa"/>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699" w:type="dxa"/>
            <w:vMerge w:val="restart"/>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效益(40分)</w:t>
            </w:r>
          </w:p>
          <w:p>
            <w:pPr>
              <w:numPr>
                <w:ilvl w:val="0"/>
                <w:numId w:val="0"/>
              </w:numPr>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经济效益指标</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综合经济效益显著提高</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699"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1691" w:type="dxa"/>
            <w:vMerge w:val="restart"/>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社会效益</w:t>
            </w:r>
            <w:r>
              <w:rPr>
                <w:rFonts w:hint="eastAsia" w:ascii="仿宋" w:hAnsi="仿宋" w:eastAsia="仿宋" w:cs="仿宋"/>
                <w:sz w:val="21"/>
                <w:szCs w:val="21"/>
                <w:vertAlign w:val="baseline"/>
                <w:lang w:val="en-US" w:eastAsia="zh-CN"/>
              </w:rPr>
              <w:t>指标</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粮食综合生产能力</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699"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1691"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田间道路通达率</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691" w:type="dxa"/>
            <w:vMerge w:val="restart"/>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生态效益指标</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耕地质量</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691"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323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rPr>
              <w:t>水资源利用率</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ind w:firstLine="420" w:firstLineChars="200"/>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满意度指标</w:t>
            </w:r>
          </w:p>
        </w:tc>
        <w:tc>
          <w:tcPr>
            <w:tcW w:w="323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受益群众满意度</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ind w:firstLine="420" w:firstLineChars="200"/>
              <w:rPr>
                <w:rFonts w:hint="eastAsia" w:ascii="仿宋" w:hAnsi="仿宋" w:eastAsia="仿宋" w:cs="仿宋"/>
                <w:sz w:val="21"/>
                <w:szCs w:val="21"/>
                <w:lang w:val="en-US" w:eastAsia="zh-CN"/>
              </w:rPr>
            </w:pPr>
          </w:p>
        </w:tc>
        <w:tc>
          <w:tcPr>
            <w:tcW w:w="1691"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可持续影响指标</w:t>
            </w:r>
          </w:p>
        </w:tc>
        <w:tc>
          <w:tcPr>
            <w:tcW w:w="323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农业种植结构</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99"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预算执行率</w:t>
            </w:r>
          </w:p>
        </w:tc>
        <w:tc>
          <w:tcPr>
            <w:tcW w:w="3230" w:type="dxa"/>
            <w:noWrap w:val="0"/>
            <w:vAlign w:val="top"/>
          </w:tcPr>
          <w:p>
            <w:pPr>
              <w:numPr>
                <w:ilvl w:val="0"/>
                <w:numId w:val="0"/>
              </w:numPr>
              <w:ind w:left="0" w:leftChars="0" w:firstLine="0" w:firstLineChars="0"/>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预算执行率</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0" w:type="dxa"/>
            <w:gridSpan w:val="3"/>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合计</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0" w:type="dxa"/>
            <w:gridSpan w:val="3"/>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总计</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91</w:t>
            </w:r>
          </w:p>
        </w:tc>
      </w:tr>
    </w:tbl>
    <w:p>
      <w:pPr>
        <w:numPr>
          <w:ilvl w:val="0"/>
          <w:numId w:val="0"/>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四、绩效评价指标分析</w:t>
      </w:r>
    </w:p>
    <w:p>
      <w:pPr>
        <w:numPr>
          <w:ilvl w:val="0"/>
          <w:numId w:val="0"/>
        </w:numPr>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（一）决策情况</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决策指标分值5分，实际得分5分。</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1.项目立项</w:t>
      </w:r>
      <w:r>
        <w:rPr>
          <w:rFonts w:hint="eastAsia" w:ascii="仿宋" w:hAnsi="仿宋" w:eastAsia="仿宋" w:cs="仿宋"/>
          <w:sz w:val="28"/>
          <w:szCs w:val="28"/>
          <w:lang w:val="en-US" w:eastAsia="zh-CN"/>
        </w:rPr>
        <w:tab/>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（1）立项依据充分性</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2020年12月17日，河北省财政厅《关于提前下达2021年中央农田建设补助资金的通知》（冀财农【2020】141号文）显示：中央提前下达2021年高阳县农田建设补助资金1580万元。</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2020年12月29日，河北省财政厅《关于提前下达2021年省级农田建设补助资金（地方政府债券）的通知》（冀财农【2020】157号文）显示：提前下达2021年高阳县省级农田建设专项资金736万元。</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2021年5月6日，河北省财政厅《关于下达2021年第二批中央农田建设补助资金的通知》（冀财农【2021】31号文）显示：2021年第二批高阳县中央农田建设补助资金156万元。</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2021年7月2日，保定市农业农村局《关于转发&lt;河北省农业农村厅关于2021年农田建设项目实施计划的批复&gt;的通知》（保农函【2021】279号文）对高阳县农业农村局申报的</w:t>
      </w:r>
      <w:r>
        <w:rPr>
          <w:rFonts w:hint="eastAsia" w:ascii="仿宋" w:hAnsi="仿宋" w:eastAsia="仿宋" w:cs="仿宋"/>
          <w:b w:val="0"/>
          <w:bCs/>
          <w:color w:val="auto"/>
          <w:sz w:val="28"/>
          <w:szCs w:val="28"/>
          <w:lang w:val="en-US" w:eastAsia="zh-CN"/>
        </w:rPr>
        <w:t>“2021年高阳县庞口镇、西演镇高标准农田建设项目”予以批复</w:t>
      </w:r>
      <w:r>
        <w:rPr>
          <w:rFonts w:hint="eastAsia" w:ascii="仿宋" w:hAnsi="仿宋" w:eastAsia="仿宋" w:cs="仿宋"/>
          <w:sz w:val="28"/>
          <w:szCs w:val="28"/>
          <w:lang w:val="en-US" w:eastAsia="zh-CN"/>
        </w:rPr>
        <w:t>。</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“项目立项”二级指标分值5分，实际得分5分。</w:t>
      </w:r>
    </w:p>
    <w:p>
      <w:pPr>
        <w:numPr>
          <w:ilvl w:val="0"/>
          <w:numId w:val="0"/>
        </w:numPr>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（二）管理情况</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管理指标分值20分，得分17分。</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1、组织实施</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（1）内控制度健全性</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查，高阳县农业农村局制定了《财务管理制度》、《财务收支管理制度》、《高标准农田建设管护办法》、《高标准农田建设管理制度》、《政府采购内控管理制度》、《政府采购项目实施流程》、《高标准农田建设项目质量监督制度》等制度，内部控制制度的建立相对比较合理。</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（2）制度执行有效性</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总体上看，高阳县农业农村局能够遵守法律法规、资金收支管理、合同管理、政府采购管理、资产管理等内部管理制度的相关规定。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（3）招标采购合规性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阳县农业农村局能够严格按照《中华人民共和国政府采购法》的有关规定，于2021年8月23日与河北安正工程项目管理有限公司签订《建设工程招标代理合同》，委托其对“2021年高阳县庞口镇、西演镇高标准农田建设项目”进行招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2021年9月24日，经公开招标，共有11家公司中标。2021年10月7日，高阳县农业农村局分别与中标的11家公司签订了《建设工程施工合同》。合同对甲乙双方的权责利划分清晰，体现了公平原则。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（4）会计核算合规性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阳县农业农村局：一是未单独设置“零余额账户用款额度”会计科目进行核算；二是，在后附的《单位填报用款计划审批表》中，预算部门项下审核人与复核人以及负责人均为汤洪远1人，不相容职责未分离，因此扣3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“组织实施”二级指标分值20分，实际得分17分。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（三）产出情况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产出指标分值35分，得分30分。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1.数量指标</w:t>
      </w:r>
      <w:r>
        <w:rPr>
          <w:rFonts w:hint="eastAsia" w:ascii="仿宋" w:hAnsi="仿宋" w:eastAsia="仿宋" w:cs="仿宋"/>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（1）新增高标准农田面积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该项目河北省农业农村厅“2021年农田建设任务安排”高阳县高标准农田22000亩，高阳县农业农村局实际完成高标准农田建设22000亩，任务完成率100%。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（2）新增高效节水灌溉面积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该项目河北省农业农村厅“2021年农田建设任务安排”高阳县同步发展高效节水灌溉10000亩，高阳县农业农村局实际完成高效节水灌溉18409亩，任务超额完成。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“数量指标”二级指标分值14分，实际得分14分。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（1）项目验收合格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截至2022年6月30日，该项目已全部完工。至项目评价日止，该项目尚处于自验阶段，计划今年9月份由市局终验，项目是否验收合格存在不确定性，因此扣1分。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“质量指标”二级指标分值7分，实际得分6分。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3.时效指标</w:t>
      </w:r>
      <w:r>
        <w:rPr>
          <w:rFonts w:hint="eastAsia" w:ascii="仿宋" w:hAnsi="仿宋" w:eastAsia="仿宋" w:cs="仿宋"/>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（1）资金支付及时性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高阳县农业农村局与河北鸿志建筑安装工程有限公司签订的《建设工程施工合同》规定：“计划开工日期：2021年10月9日”；“现场开工7天内发包人向承包人提供预付款”，发包人农业农村局未提供现场开工的有关材料。经查，2021年12月9日，农业农村局向该公司支付了第一笔款项-预付款267,000.00元。另外，通过检查其他标段合同，均存在延期支付预付款的情况。资金支付不及时，因此扣2分。</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“时效指标”二级指标分值7分，实际得分5分。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4.成本指标</w:t>
      </w:r>
      <w:r>
        <w:rPr>
          <w:rFonts w:hint="eastAsia" w:ascii="仿宋" w:hAnsi="仿宋" w:eastAsia="仿宋" w:cs="仿宋"/>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（1）财政资金亩均补助标准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高阳县2021年高标准农田建设项目财政补助资金执行亩均1123.64元标准，按22000亩计算，中央及省级财政补助资金为2472万元。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经高阳县财政局投资评审中心及农业农村局聘请的第三方机构为该项目评审，审核确定的预算最高限价为22,645,316.04元。</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经招投标程序，确定的中标价总额为22,496,646.98元。虽然节约了财政资金，但是降低了亩均补助资金标准。因此扣2分。</w:t>
      </w:r>
    </w:p>
    <w:p>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“成本指标”二级指标分值7分，实际得分5分。</w:t>
      </w:r>
    </w:p>
    <w:p>
      <w:pPr>
        <w:numPr>
          <w:ilvl w:val="0"/>
          <w:numId w:val="0"/>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（四）效益情况</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效益指标分值40分，得分39分。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1.经济效益指标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（1）综合经济效益显著提高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实施后可节地面积即为增加种植面积，与土渠、土垄沟漫灌相比，可提高土地利用率1%，实现节地220亩。农业生产亩均省工1个，按每个工日80元计算，则每亩节省工费80元。项目区年新增总产值645.78万元，年新增净产值793.08万元，年增加农民纯收入总额723.86万元。综合经济效益显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“经济效益”二级指标分值5分，实际得分5分。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2.社会效益指标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（1）粮食综合生产能力</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该项目设定的粮食综合生产能力提高242.47kg。项目实施后小麦产量由355kg/亩提高到410kg/亩，亩增55kg;夏玉米产量由 390kg/亩提高到450kg/亩,亩增60kg。</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（2）田间道路通达率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通过整个项目区道路的整修、翻新、改造，建成高标准的农田道路。设计道路为混凝土路。新建田间道路总长19.314km，其中：3m宽、15cm厚混凝土路8.806km，3.5m宽、15cm厚混凝土路0.504km，4m宽、15cm厚混凝土路6.880km，5m宽、18cm厚混凝土路3.124km。结合项目区实际情况，并根据当地村民要求，西演镇延福村主路两侧设置了排水沟，总长3224m。田间道路四通八达，坚固、平整、宽阔、不积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“社会效益”二级指标分值10分，实际得分10分。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3.生态效益指标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（1）耕地质量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通过推广土壤改良新技术，改善土壤质地，改良土壤结构，提高土壤肥力，改善了项目区内各种理化指标，减少农药、化肥等过量施用带来的农业污染；有效改善了农田小气候，防风固沙，涵养水源，净化空气，增加空气湿度，减少蒸发，减少水土流失，提高了作物产量，耕地质量良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（2）水资源利用率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通过更换水泵及机井首部，铺设地下灌溉管道，减少了水的渗透损失，50%年份节水72.09万m³，75%年份节水93.92万m³，灌溉水利用系数提高20%。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“生态效益”二级指标分值10分，实际得分10分。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4.满意度情况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（1）受益群众满意度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我们围绕高阳县2021年高标准农田建设项目工作设计制作了“满意度调查问卷表”，并发放给局业务人员及庞口镇、西演镇村民，对该项目进行满意度调查。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满意度调查问卷表共计发放15份，收回15份，满意率达100%。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“满意度”二级指标分值5分，实际得分5分。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5.可持续影响指标</w:t>
      </w:r>
      <w:r>
        <w:rPr>
          <w:rFonts w:hint="eastAsia" w:ascii="仿宋" w:hAnsi="仿宋" w:eastAsia="仿宋" w:cs="仿宋"/>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（1）农业种植结构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项目区的建设大大改善</w:t>
      </w:r>
      <w:r>
        <w:rPr>
          <w:rFonts w:hint="eastAsia" w:ascii="仿宋" w:hAnsi="仿宋" w:eastAsia="仿宋" w:cs="仿宋"/>
          <w:sz w:val="28"/>
          <w:szCs w:val="28"/>
          <w:lang w:val="en-US" w:eastAsia="zh-CN"/>
        </w:rPr>
        <w:t>了</w:t>
      </w:r>
      <w:r>
        <w:rPr>
          <w:rFonts w:hint="default" w:ascii="仿宋" w:hAnsi="仿宋" w:eastAsia="仿宋" w:cs="仿宋"/>
          <w:sz w:val="28"/>
          <w:szCs w:val="28"/>
          <w:lang w:val="en-US" w:eastAsia="zh-CN"/>
        </w:rPr>
        <w:t>落后的农业生产条件，提高</w:t>
      </w:r>
      <w:r>
        <w:rPr>
          <w:rFonts w:hint="eastAsia" w:ascii="仿宋" w:hAnsi="仿宋" w:eastAsia="仿宋" w:cs="仿宋"/>
          <w:sz w:val="28"/>
          <w:szCs w:val="28"/>
          <w:lang w:val="en-US" w:eastAsia="zh-CN"/>
        </w:rPr>
        <w:t>了</w:t>
      </w:r>
      <w:r>
        <w:rPr>
          <w:rFonts w:hint="default" w:ascii="仿宋" w:hAnsi="仿宋" w:eastAsia="仿宋" w:cs="仿宋"/>
          <w:sz w:val="28"/>
          <w:szCs w:val="28"/>
          <w:lang w:val="en-US" w:eastAsia="zh-CN"/>
        </w:rPr>
        <w:t>农业综合生产能力，提升</w:t>
      </w:r>
      <w:r>
        <w:rPr>
          <w:rFonts w:hint="eastAsia" w:ascii="仿宋" w:hAnsi="仿宋" w:eastAsia="仿宋" w:cs="仿宋"/>
          <w:sz w:val="28"/>
          <w:szCs w:val="28"/>
          <w:lang w:val="en-US" w:eastAsia="zh-CN"/>
        </w:rPr>
        <w:t>了</w:t>
      </w:r>
      <w:r>
        <w:rPr>
          <w:rFonts w:hint="default" w:ascii="仿宋" w:hAnsi="仿宋" w:eastAsia="仿宋" w:cs="仿宋"/>
          <w:sz w:val="28"/>
          <w:szCs w:val="28"/>
          <w:lang w:val="en-US" w:eastAsia="zh-CN"/>
        </w:rPr>
        <w:t>农业生产对农民增收的作用，有利于进一步优化农业产业结构和农村经济结构，促进农村一、二、三产业协调发展，促进人才、技术、资金、土地、劳动力等生产要素的合理流动，优化配置，推进项目区城乡一体化进程。同时更好的改善</w:t>
      </w:r>
      <w:r>
        <w:rPr>
          <w:rFonts w:hint="eastAsia" w:ascii="仿宋" w:hAnsi="仿宋" w:eastAsia="仿宋" w:cs="仿宋"/>
          <w:sz w:val="28"/>
          <w:szCs w:val="28"/>
          <w:lang w:val="en-US" w:eastAsia="zh-CN"/>
        </w:rPr>
        <w:t>了</w:t>
      </w:r>
      <w:r>
        <w:rPr>
          <w:rFonts w:hint="default" w:ascii="仿宋" w:hAnsi="仿宋" w:eastAsia="仿宋" w:cs="仿宋"/>
          <w:sz w:val="28"/>
          <w:szCs w:val="28"/>
          <w:lang w:val="en-US" w:eastAsia="zh-CN"/>
        </w:rPr>
        <w:t>当地群众的生产生活条件，促进当地经济发展，助力</w:t>
      </w:r>
      <w:r>
        <w:rPr>
          <w:rFonts w:hint="eastAsia" w:ascii="仿宋" w:hAnsi="仿宋" w:eastAsia="仿宋" w:cs="仿宋"/>
          <w:sz w:val="28"/>
          <w:szCs w:val="28"/>
          <w:lang w:val="en-US" w:eastAsia="zh-CN"/>
        </w:rPr>
        <w:t>脱贫攻坚</w:t>
      </w:r>
      <w:r>
        <w:rPr>
          <w:rFonts w:hint="default" w:ascii="仿宋" w:hAnsi="仿宋" w:eastAsia="仿宋" w:cs="仿宋"/>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“可持续性”二级指标分值5分，实际得分5分。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6.预算执行情况</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该项目总投资2472万元，其中：中央资金1736万元，省级资金736万元。高阳县财政局及农业农村局聘请第三方核定的预算最高限价为</w:t>
      </w:r>
      <w:r>
        <w:rPr>
          <w:rFonts w:hint="eastAsia" w:ascii="仿宋" w:hAnsi="仿宋" w:eastAsia="仿宋" w:cs="仿宋"/>
          <w:b w:val="0"/>
          <w:bCs/>
          <w:color w:val="auto"/>
          <w:sz w:val="28"/>
          <w:szCs w:val="28"/>
          <w:lang w:val="en-US" w:eastAsia="zh-CN"/>
        </w:rPr>
        <w:t>22,645,316.04元。通过招投标程序</w:t>
      </w:r>
      <w:r>
        <w:rPr>
          <w:rFonts w:hint="eastAsia" w:ascii="仿宋" w:hAnsi="仿宋" w:eastAsia="仿宋" w:cs="仿宋"/>
          <w:sz w:val="28"/>
          <w:szCs w:val="28"/>
          <w:lang w:val="en-US" w:eastAsia="zh-CN"/>
        </w:rPr>
        <w:t>，确定的中标价总额为22,496,646.98元。按合同进度实际拨付工程款</w:t>
      </w:r>
      <w:r>
        <w:rPr>
          <w:rFonts w:hint="eastAsia" w:ascii="仿宋" w:hAnsi="仿宋" w:eastAsia="仿宋" w:cs="仿宋"/>
          <w:b w:val="0"/>
          <w:bCs/>
          <w:color w:val="auto"/>
          <w:sz w:val="28"/>
          <w:szCs w:val="28"/>
          <w:lang w:val="en-US" w:eastAsia="zh-CN"/>
        </w:rPr>
        <w:t>14,191,285.00</w:t>
      </w:r>
      <w:r>
        <w:rPr>
          <w:rFonts w:hint="eastAsia" w:ascii="仿宋" w:hAnsi="仿宋" w:eastAsia="仿宋" w:cs="仿宋"/>
          <w:sz w:val="28"/>
          <w:szCs w:val="28"/>
          <w:lang w:val="en-US" w:eastAsia="zh-CN"/>
        </w:rPr>
        <w:t>元，说明财政预算资金与实际支出不匹配，因此扣1分。</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“预算执行情况”二级指标分值5分，实际得分4分。</w:t>
      </w:r>
    </w:p>
    <w:p>
      <w:pPr>
        <w:numPr>
          <w:ilvl w:val="0"/>
          <w:numId w:val="0"/>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五、经验做法及存在的问题</w:t>
      </w:r>
    </w:p>
    <w:p>
      <w:pPr>
        <w:numPr>
          <w:ilvl w:val="0"/>
          <w:numId w:val="0"/>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（一）经验做法</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目标明确，效益显著。一是经济效益。高阳县高标准农田建设项目的实施，改善节水灌溉面积18409亩，增加土壤改良地力培肥面积 19086亩，创建高标准农田共计面积 22000亩。年新增生产能力242.47万kg，年新增总产值645.78万元，年新增净产值793.08万元，年增加农民纯收入总额723.86万元。年节约水量93.92万m³，灌溉水利用率可提高20%。二是生态效益。通过实施道路工程与水利措施，项目区内生态环境得到明显改善，有效改善农田小气候，防风固沙，涵养水源，净化空气，增加空气湿度，减少蒸发，减少水土流失，有利于农作物和经济作物的高产、稳产、高效，实现小灾无害、大灾轻害的防护目标。通过推广土壤改良新技术，改善土壤质地，改良土壤结构，提高土壤肥力，改善项目区内各种理化指标，减少农药、化肥等过量施用带来的农业污染，对促进农业现代化具有重要的环境效益。三是社会效益。项目区内通过治理，农业生产条件得到改善，机械化作业水平提高，农民收入增加，使17322人受益，促进了当地群众脱贫致富，地方财力增强，促进了县域经济的发展，提高了人民群众生活水平，保持社会经济的持续发展。</w:t>
      </w:r>
    </w:p>
    <w:p>
      <w:pPr>
        <w:numPr>
          <w:ilvl w:val="0"/>
          <w:numId w:val="0"/>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（二）存在的主要问题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1.项目验收工作有待加强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截至2022年6月底，高阳县2021年高标准农田建设项目已全部完工。8月份正在组织自验工作，计划9月申请市局终验。项目验收工作时间安排较长，不利于项目本身使用效益的发挥，对施工单位也会产生影响。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2.专项资金预算执行率有待提高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高阳县2021年高标准农田建设项目财政补助资金2472万元，其中：中央财政拨付农田建设补助资金1736万元，省级财政拨付农田建设补助资金（地方政府债券）736万元。均已到位。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通过招投标程序，确定的中标价总额为22,496,646.98元。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专项资金预算执行率为91.01%，没有足额执行到位。</w:t>
      </w:r>
    </w:p>
    <w:p>
      <w:pPr>
        <w:numPr>
          <w:ilvl w:val="0"/>
          <w:numId w:val="0"/>
        </w:numPr>
        <w:ind w:firstLine="560" w:firstLineChars="200"/>
        <w:rPr>
          <w:rFonts w:hint="default" w:ascii="仿宋" w:hAnsi="仿宋" w:eastAsia="仿宋" w:cs="仿宋"/>
          <w:sz w:val="28"/>
          <w:szCs w:val="28"/>
          <w:lang w:val="en-US" w:eastAsia="zh-CN"/>
        </w:rPr>
      </w:pP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3.资金支付有待提速</w:t>
      </w:r>
    </w:p>
    <w:p>
      <w:pPr>
        <w:numPr>
          <w:ilvl w:val="0"/>
          <w:numId w:val="0"/>
        </w:numPr>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根据《建设工程施工合同》规定：“现场开工7天内发包人向承包人提供预付款”。经查，2021年度农业农村局签订的合同计划开工日期均在10月份，而支付的第一笔预付款最早日期为11月17日，资金支付不及时。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六、相关建议</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（一）进一步强化项目验收工作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高阳县农业农村局应严格按照《高标准农田建设项目质量监督制度》、《合同管理制度》、《建设工程施工合同》的有关规定，组成验收小组对完工项目及时验收，真正做到有规可依，执规必严。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（二）进一步提高专项资金预算执行率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建议本着充分发挥高标准农田建设项目财政补助资金效益的原则，将因招标节约的资金用于扩大高标准农田建设面积，进一步提高专项资金预算执行率。</w:t>
      </w:r>
    </w:p>
    <w:p>
      <w:pPr>
        <w:pStyle w:val="2"/>
        <w:numPr>
          <w:ilvl w:val="0"/>
          <w:numId w:val="0"/>
        </w:numPr>
        <w:ind w:leftChars="0"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（三）确保资金及时足额发放</w:t>
      </w:r>
    </w:p>
    <w:p>
      <w:pPr>
        <w:pStyle w:val="2"/>
        <w:numPr>
          <w:ilvl w:val="0"/>
          <w:numId w:val="0"/>
        </w:numPr>
        <w:ind w:leftChars="0"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严格执行合同管理制度，严格按照《建设工程施工合同》的规定，及时足额发放工程款，杜绝拖欠企业及农民工资。</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附件1：绩效评价具体得分情况表</w:t>
      </w: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河北满好会计师事务所（普通合伙）</w:t>
      </w: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2022年8月17日</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val="0"/>
          <w:bCs/>
          <w:color w:val="auto"/>
          <w:sz w:val="28"/>
          <w:szCs w:val="28"/>
          <w:lang w:val="en-US" w:eastAsia="zh-CN"/>
        </w:rPr>
        <w:t>绩效评价具体得分情况表：</w:t>
      </w:r>
    </w:p>
    <w:p>
      <w:pPr>
        <w:pStyle w:val="2"/>
        <w:rPr>
          <w:rFonts w:hint="eastAsia"/>
          <w:lang w:val="en-US" w:eastAsia="zh-CN"/>
        </w:rPr>
      </w:pPr>
    </w:p>
    <w:tbl>
      <w:tblPr>
        <w:tblStyle w:val="9"/>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1691"/>
        <w:gridCol w:w="3230"/>
        <w:gridCol w:w="738"/>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一级指标</w:t>
            </w:r>
          </w:p>
        </w:tc>
        <w:tc>
          <w:tcPr>
            <w:tcW w:w="169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二级指标</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三级指标</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分值</w:t>
            </w:r>
          </w:p>
        </w:tc>
        <w:tc>
          <w:tcPr>
            <w:tcW w:w="782"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决策（5分）</w:t>
            </w:r>
          </w:p>
        </w:tc>
        <w:tc>
          <w:tcPr>
            <w:tcW w:w="1691"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项目立项</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立项依据充分性</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0" w:type="dxa"/>
            <w:gridSpan w:val="3"/>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合计</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restart"/>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管理（20）</w:t>
            </w:r>
          </w:p>
        </w:tc>
        <w:tc>
          <w:tcPr>
            <w:tcW w:w="1691" w:type="dxa"/>
            <w:vMerge w:val="restart"/>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组织实施</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内控制度健全性</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1691"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制度执行有效性</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1691"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招标采购合规性</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1691"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会计核算合规性</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0" w:type="dxa"/>
            <w:gridSpan w:val="3"/>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合计</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restart"/>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产出(35分)</w:t>
            </w:r>
          </w:p>
        </w:tc>
        <w:tc>
          <w:tcPr>
            <w:tcW w:w="1691" w:type="dxa"/>
            <w:vMerge w:val="restart"/>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数量</w:t>
            </w:r>
            <w:r>
              <w:rPr>
                <w:rFonts w:hint="eastAsia" w:ascii="仿宋" w:hAnsi="仿宋" w:eastAsia="仿宋" w:cs="仿宋"/>
                <w:sz w:val="21"/>
                <w:szCs w:val="21"/>
                <w:vertAlign w:val="baseline"/>
                <w:lang w:val="en-US" w:eastAsia="zh-CN"/>
              </w:rPr>
              <w:t>指标</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新增高标准农田面积</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782"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1691"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新增高效节水灌溉面积</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质量</w:t>
            </w:r>
            <w:r>
              <w:rPr>
                <w:rFonts w:hint="eastAsia" w:ascii="仿宋" w:hAnsi="仿宋" w:eastAsia="仿宋" w:cs="仿宋"/>
                <w:sz w:val="21"/>
                <w:szCs w:val="21"/>
                <w:vertAlign w:val="baseline"/>
                <w:lang w:val="en-US" w:eastAsia="zh-CN"/>
              </w:rPr>
              <w:t>指标</w:t>
            </w:r>
          </w:p>
        </w:tc>
        <w:tc>
          <w:tcPr>
            <w:tcW w:w="323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rPr>
              <w:t>项目验收合格</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时效指标</w:t>
            </w:r>
          </w:p>
        </w:tc>
        <w:tc>
          <w:tcPr>
            <w:tcW w:w="323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资金支付</w:t>
            </w:r>
            <w:r>
              <w:rPr>
                <w:rFonts w:hint="eastAsia" w:ascii="仿宋" w:hAnsi="仿宋" w:eastAsia="仿宋" w:cs="仿宋"/>
                <w:sz w:val="21"/>
                <w:szCs w:val="21"/>
              </w:rPr>
              <w:t>及时性</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成本指标</w:t>
            </w:r>
          </w:p>
        </w:tc>
        <w:tc>
          <w:tcPr>
            <w:tcW w:w="323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rPr>
              <w:t>财政资金亩均补助标准</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0" w:type="dxa"/>
            <w:gridSpan w:val="3"/>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合计</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35</w:t>
            </w:r>
          </w:p>
        </w:tc>
        <w:tc>
          <w:tcPr>
            <w:tcW w:w="782" w:type="dxa"/>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699" w:type="dxa"/>
            <w:vMerge w:val="restart"/>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效益(40分)</w:t>
            </w:r>
          </w:p>
          <w:p>
            <w:pPr>
              <w:numPr>
                <w:ilvl w:val="0"/>
                <w:numId w:val="0"/>
              </w:numPr>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经济效益指标</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综合经济效益显著提高</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699"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1691" w:type="dxa"/>
            <w:vMerge w:val="restart"/>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社会效益</w:t>
            </w:r>
            <w:r>
              <w:rPr>
                <w:rFonts w:hint="eastAsia" w:ascii="仿宋" w:hAnsi="仿宋" w:eastAsia="仿宋" w:cs="仿宋"/>
                <w:sz w:val="21"/>
                <w:szCs w:val="21"/>
                <w:vertAlign w:val="baseline"/>
                <w:lang w:val="en-US" w:eastAsia="zh-CN"/>
              </w:rPr>
              <w:t>指标</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粮食综合生产能力</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699"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1691"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田间道路通达率</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691" w:type="dxa"/>
            <w:vMerge w:val="restart"/>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生态效益指标</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耕地质量</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691"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323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rPr>
              <w:t>水资源利用率</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ind w:firstLine="420" w:firstLineChars="200"/>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满意度指标</w:t>
            </w:r>
          </w:p>
        </w:tc>
        <w:tc>
          <w:tcPr>
            <w:tcW w:w="323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受益群众满意度</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ind w:firstLine="420" w:firstLineChars="200"/>
              <w:rPr>
                <w:rFonts w:hint="eastAsia" w:ascii="仿宋" w:hAnsi="仿宋" w:eastAsia="仿宋" w:cs="仿宋"/>
                <w:sz w:val="21"/>
                <w:szCs w:val="21"/>
                <w:lang w:val="en-US" w:eastAsia="zh-CN"/>
              </w:rPr>
            </w:pPr>
          </w:p>
        </w:tc>
        <w:tc>
          <w:tcPr>
            <w:tcW w:w="1691"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可持续影响指标</w:t>
            </w:r>
          </w:p>
        </w:tc>
        <w:tc>
          <w:tcPr>
            <w:tcW w:w="323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农业种植结构</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99"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预算执行率</w:t>
            </w:r>
          </w:p>
        </w:tc>
        <w:tc>
          <w:tcPr>
            <w:tcW w:w="3230" w:type="dxa"/>
            <w:noWrap w:val="0"/>
            <w:vAlign w:val="top"/>
          </w:tcPr>
          <w:p>
            <w:pPr>
              <w:numPr>
                <w:ilvl w:val="0"/>
                <w:numId w:val="0"/>
              </w:numPr>
              <w:ind w:left="0" w:leftChars="0" w:firstLine="0" w:firstLineChars="0"/>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预算执行率</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0" w:type="dxa"/>
            <w:gridSpan w:val="3"/>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合计</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0" w:type="dxa"/>
            <w:gridSpan w:val="3"/>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总计</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91</w:t>
            </w:r>
          </w:p>
        </w:tc>
      </w:tr>
    </w:tbl>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4"/>
          <w:szCs w:val="24"/>
          <w:lang w:val="en-US" w:eastAsia="zh-CN"/>
        </w:rPr>
      </w:pPr>
    </w:p>
    <w:p>
      <w:pPr>
        <w:pStyle w:val="2"/>
        <w:rPr>
          <w:rFonts w:hint="eastAsia" w:ascii="仿宋" w:hAnsi="仿宋" w:eastAsia="仿宋" w:cs="仿宋"/>
          <w:b w:val="0"/>
          <w:bCs/>
          <w:color w:val="auto"/>
          <w:sz w:val="24"/>
          <w:szCs w:val="24"/>
          <w:lang w:val="en-US" w:eastAsia="zh-CN"/>
        </w:rPr>
      </w:pPr>
    </w:p>
    <w:p>
      <w:pPr>
        <w:pStyle w:val="2"/>
        <w:rPr>
          <w:rFonts w:hint="eastAsia"/>
          <w:lang w:val="en-US" w:eastAsia="zh-CN"/>
        </w:rPr>
      </w:pPr>
    </w:p>
    <w:p>
      <w:pPr>
        <w:pStyle w:val="2"/>
        <w:rPr>
          <w:rFonts w:hint="default" w:ascii="仿宋" w:hAnsi="仿宋" w:eastAsia="仿宋" w:cs="仿宋"/>
          <w:b w:val="0"/>
          <w:bCs/>
          <w:color w:val="auto"/>
          <w:sz w:val="24"/>
          <w:szCs w:val="24"/>
          <w:lang w:val="en-US" w:eastAsia="zh-CN"/>
        </w:rPr>
      </w:pPr>
    </w:p>
    <w:sectPr>
      <w:footerReference r:id="rId3" w:type="default"/>
      <w:footerReference r:id="rId4" w:type="even"/>
      <w:pgSz w:w="11906" w:h="16838"/>
      <w:pgMar w:top="1304" w:right="1797" w:bottom="1304"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bidi w:val="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22225</wp:posOffset>
              </wp:positionV>
              <wp:extent cx="560070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pt;margin-top:1.75pt;height:0pt;width:441pt;z-index:251660288;mso-width-relative:page;mso-height-relative:page;" filled="f" stroked="t" coordsize="21600,21600" o:gfxdata="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FJN5HWAAAABwEAAA8AAAAAAAAAAQAgAAAAIgAAAGRycy9kb3ducmV2LnhtbFBLAQIUABQA&#10;AAAIAIdO4kDdzKno8gEAAOUDAAAOAAAAAAAAAAEAIAAAACUBAABkcnMvZTJvRG9jLnhtbFBLBQYA&#10;AAAABgAGAFkBAACJBQAAAAA=&#10;">
              <v:fill on="f" focussize="0,0"/>
              <v:stroke weight="1pt" color="#000000" joinstyle="round"/>
              <v:imagedata o:title=""/>
              <o:lock v:ext="edit" aspectratio="f"/>
            </v:line>
          </w:pict>
        </mc:Fallback>
      </mc:AlternateContent>
    </w:r>
  </w:p>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2594610</wp:posOffset>
              </wp:positionH>
              <wp:positionV relativeFrom="paragraph">
                <wp:posOffset>139700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1"/>
                            </w:rPr>
                          </w:pPr>
                          <w:r>
                            <w:fldChar w:fldCharType="begin"/>
                          </w:r>
                          <w:r>
                            <w:rPr>
                              <w:rStyle w:val="11"/>
                            </w:rPr>
                            <w:instrText xml:space="preserve">PAGE  </w:instrText>
                          </w:r>
                          <w:r>
                            <w:fldChar w:fldCharType="separate"/>
                          </w:r>
                          <w:r>
                            <w:rPr>
                              <w:rStyle w:val="11"/>
                            </w:rP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3pt;margin-top:11pt;height:144pt;width:144pt;mso-position-horizontal-relative:margin;mso-wrap-style:none;z-index:251659264;mso-width-relative:page;mso-height-relative:page;" filled="f" stroked="f" coordsize="21600,21600" o:gfxdata="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AL3/8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11</w:t>
                    </w:r>
                    <w:r>
                      <w:fldChar w:fldCharType="end"/>
                    </w:r>
                  </w:p>
                </w:txbxContent>
              </v:textbox>
            </v:shape>
          </w:pict>
        </mc:Fallback>
      </mc:AlternateContent>
    </w:r>
    <w:r>
      <w:rPr>
        <w:rFonts w:hint="eastAsia"/>
      </w:rPr>
      <w:t>地　址：河北省石家庄市裕华路</w:t>
    </w:r>
    <w:r>
      <w:rPr>
        <w:rFonts w:hint="eastAsia"/>
        <w:lang w:val="en-US" w:eastAsia="zh-CN"/>
      </w:rPr>
      <w:t>与时光街东南角世纪公馆170</w:t>
    </w:r>
    <w:r>
      <w:rPr>
        <w:rFonts w:hint="eastAsia"/>
      </w:rPr>
      <w:t>9室　　　　</w:t>
    </w:r>
    <w:r>
      <w:rPr>
        <w:rFonts w:hint="eastAsia"/>
        <w:lang w:val="en-US" w:eastAsia="zh-CN"/>
      </w:rPr>
      <w:t xml:space="preserve">     </w:t>
    </w:r>
    <w:r>
      <w:rPr>
        <w:rFonts w:hint="eastAsia"/>
      </w:rPr>
      <w:t xml:space="preserve"> 邮 编：0500</w:t>
    </w:r>
    <w:r>
      <w:rPr>
        <w:rFonts w:hint="eastAsia"/>
        <w:lang w:val="en-US" w:eastAsia="zh-CN"/>
      </w:rPr>
      <w:t>81</w:t>
    </w:r>
    <w:r>
      <w:rPr>
        <w:rFonts w:hint="eastAsia"/>
      </w:rPr>
      <w:t>电　话：0311－8</w:t>
    </w:r>
    <w:r>
      <w:rPr>
        <w:rFonts w:hint="eastAsia"/>
        <w:lang w:val="en-US" w:eastAsia="zh-CN"/>
      </w:rPr>
      <w:t>77</w:t>
    </w:r>
    <w:r>
      <w:rPr>
        <w:rFonts w:hint="eastAsia"/>
      </w:rPr>
      <w:t>5</w:t>
    </w:r>
    <w:r>
      <w:rPr>
        <w:rFonts w:hint="eastAsia"/>
        <w:lang w:val="en-US" w:eastAsia="zh-CN"/>
      </w:rPr>
      <w:t>030</w:t>
    </w:r>
    <w:r>
      <w:rPr>
        <w:rFonts w:hint="eastAsia"/>
      </w:rPr>
      <w:t xml:space="preserve">8　　　                        </w:t>
    </w:r>
    <w:r>
      <w:rPr>
        <w:rFonts w:hint="eastAsia"/>
        <w:lang w:val="en-US" w:eastAsia="zh-CN"/>
      </w:rPr>
      <w:t xml:space="preserve">         </w:t>
    </w:r>
    <w:r>
      <w:rPr>
        <w:rFonts w:hint="eastAsia"/>
      </w:rPr>
      <w:t xml:space="preserve"> E－mail：</w:t>
    </w:r>
    <w:r>
      <w:rPr>
        <w:rFonts w:hint="eastAsia"/>
        <w:lang w:val="en-US" w:eastAsia="zh-CN"/>
      </w:rPr>
      <w:t>1078595448</w:t>
    </w:r>
    <w:r>
      <w:rPr>
        <w:rFonts w:hint="eastAsia"/>
      </w:rPr>
      <w:t>@</w:t>
    </w:r>
    <w:r>
      <w:rPr>
        <w:rFonts w:hint="eastAsia"/>
        <w:lang w:val="en-US" w:eastAsia="zh-CN"/>
      </w:rPr>
      <w:t>qq</w:t>
    </w:r>
    <w:r>
      <w:rPr>
        <w:rFonts w:hint="eastAsia"/>
      </w:rPr>
      <w:t>.com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25D73"/>
    <w:multiLevelType w:val="singleLevel"/>
    <w:tmpl w:val="DA025D7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00000000"/>
    <w:rsid w:val="02550B00"/>
    <w:rsid w:val="039B3DC0"/>
    <w:rsid w:val="04EA6DAD"/>
    <w:rsid w:val="062A6544"/>
    <w:rsid w:val="08123F24"/>
    <w:rsid w:val="09675A81"/>
    <w:rsid w:val="09795CD6"/>
    <w:rsid w:val="09F066FE"/>
    <w:rsid w:val="0B33653A"/>
    <w:rsid w:val="0B923CFA"/>
    <w:rsid w:val="0BA26D33"/>
    <w:rsid w:val="0BD35CF5"/>
    <w:rsid w:val="0C5D51E2"/>
    <w:rsid w:val="0CA6203B"/>
    <w:rsid w:val="1044741D"/>
    <w:rsid w:val="106519DD"/>
    <w:rsid w:val="10770CCE"/>
    <w:rsid w:val="10C34956"/>
    <w:rsid w:val="114E06C3"/>
    <w:rsid w:val="11E00810"/>
    <w:rsid w:val="12561CD3"/>
    <w:rsid w:val="13B97BD2"/>
    <w:rsid w:val="14200276"/>
    <w:rsid w:val="16447F44"/>
    <w:rsid w:val="17600132"/>
    <w:rsid w:val="17D36DFD"/>
    <w:rsid w:val="191C23DE"/>
    <w:rsid w:val="1A266FAF"/>
    <w:rsid w:val="1A3E7A9C"/>
    <w:rsid w:val="1AF71484"/>
    <w:rsid w:val="1B0B620E"/>
    <w:rsid w:val="1E516DB4"/>
    <w:rsid w:val="1F052485"/>
    <w:rsid w:val="1FE64257"/>
    <w:rsid w:val="21E60A72"/>
    <w:rsid w:val="23634841"/>
    <w:rsid w:val="262E1FE7"/>
    <w:rsid w:val="27CC3D95"/>
    <w:rsid w:val="286757C2"/>
    <w:rsid w:val="29F96B57"/>
    <w:rsid w:val="2BD61589"/>
    <w:rsid w:val="2C412EA7"/>
    <w:rsid w:val="2F1D7476"/>
    <w:rsid w:val="2FA80F21"/>
    <w:rsid w:val="31B84FB9"/>
    <w:rsid w:val="31FB78A9"/>
    <w:rsid w:val="32674F9C"/>
    <w:rsid w:val="32BF157C"/>
    <w:rsid w:val="336139EE"/>
    <w:rsid w:val="352B1B30"/>
    <w:rsid w:val="353709FE"/>
    <w:rsid w:val="358D3E89"/>
    <w:rsid w:val="36783969"/>
    <w:rsid w:val="37070849"/>
    <w:rsid w:val="38A277A2"/>
    <w:rsid w:val="3AAA0DF4"/>
    <w:rsid w:val="3B5A122F"/>
    <w:rsid w:val="3CD852EC"/>
    <w:rsid w:val="3D8E46B0"/>
    <w:rsid w:val="408D67ED"/>
    <w:rsid w:val="413849D4"/>
    <w:rsid w:val="4266392E"/>
    <w:rsid w:val="431B5DA8"/>
    <w:rsid w:val="44052E08"/>
    <w:rsid w:val="44D132C3"/>
    <w:rsid w:val="451334D2"/>
    <w:rsid w:val="45C02C36"/>
    <w:rsid w:val="47541586"/>
    <w:rsid w:val="47602401"/>
    <w:rsid w:val="477E70EA"/>
    <w:rsid w:val="499215B5"/>
    <w:rsid w:val="49960820"/>
    <w:rsid w:val="4A5A318B"/>
    <w:rsid w:val="4ADF3B5F"/>
    <w:rsid w:val="4AF610E5"/>
    <w:rsid w:val="4B7778F3"/>
    <w:rsid w:val="4C016FA7"/>
    <w:rsid w:val="4D205230"/>
    <w:rsid w:val="4E2C66A1"/>
    <w:rsid w:val="4ECF1425"/>
    <w:rsid w:val="519B2EB6"/>
    <w:rsid w:val="51BC2D2C"/>
    <w:rsid w:val="521F6F37"/>
    <w:rsid w:val="527B204F"/>
    <w:rsid w:val="54A53632"/>
    <w:rsid w:val="55017FFD"/>
    <w:rsid w:val="559472F3"/>
    <w:rsid w:val="564927D4"/>
    <w:rsid w:val="56DF0075"/>
    <w:rsid w:val="582A4450"/>
    <w:rsid w:val="584903DD"/>
    <w:rsid w:val="58D90DFB"/>
    <w:rsid w:val="597B383E"/>
    <w:rsid w:val="59B658B2"/>
    <w:rsid w:val="5BB808C0"/>
    <w:rsid w:val="5BF62EC5"/>
    <w:rsid w:val="5C095213"/>
    <w:rsid w:val="5C48392F"/>
    <w:rsid w:val="5D0B3370"/>
    <w:rsid w:val="5D6B7377"/>
    <w:rsid w:val="5D885E93"/>
    <w:rsid w:val="5F0929D1"/>
    <w:rsid w:val="5F2B46B4"/>
    <w:rsid w:val="6010114B"/>
    <w:rsid w:val="604C77EF"/>
    <w:rsid w:val="616C031B"/>
    <w:rsid w:val="61750921"/>
    <w:rsid w:val="617A4F02"/>
    <w:rsid w:val="62355309"/>
    <w:rsid w:val="625A57A9"/>
    <w:rsid w:val="62D022B3"/>
    <w:rsid w:val="639838BD"/>
    <w:rsid w:val="6C204E0B"/>
    <w:rsid w:val="6C38036A"/>
    <w:rsid w:val="6D9F6B14"/>
    <w:rsid w:val="6EE956BC"/>
    <w:rsid w:val="708B2F97"/>
    <w:rsid w:val="711E68DF"/>
    <w:rsid w:val="741B2C62"/>
    <w:rsid w:val="75B5492C"/>
    <w:rsid w:val="76734E71"/>
    <w:rsid w:val="77955421"/>
    <w:rsid w:val="782F4457"/>
    <w:rsid w:val="785141DE"/>
    <w:rsid w:val="79120FBB"/>
    <w:rsid w:val="7A92512F"/>
    <w:rsid w:val="7CE16C75"/>
    <w:rsid w:val="7DB5470D"/>
    <w:rsid w:val="7DE464AD"/>
    <w:rsid w:val="7FBC0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tLeast"/>
      <w:outlineLvl w:val="1"/>
    </w:pPr>
    <w:rPr>
      <w:rFonts w:ascii="Cambria" w:hAnsi="Cambria" w:eastAsia="宋体"/>
      <w:b/>
      <w:bCs/>
      <w:kern w:val="0"/>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50" w:after="50"/>
      <w:ind w:firstLine="200" w:firstLineChars="200"/>
    </w:pPr>
    <w:rPr>
      <w:rFonts w:ascii="Calibri" w:hAnsi="Calibri" w:eastAsia="宋体" w:cs="Times New Roman"/>
    </w:rPr>
  </w:style>
  <w:style w:type="paragraph" w:styleId="4">
    <w:name w:val="annotation text"/>
    <w:basedOn w:val="1"/>
    <w:qFormat/>
    <w:uiPriority w:val="0"/>
    <w:pPr>
      <w:jc w:val="left"/>
    </w:pPr>
  </w:style>
  <w:style w:type="paragraph" w:styleId="5">
    <w:name w:val="Body Text"/>
    <w:basedOn w:val="1"/>
    <w:qFormat/>
    <w:uiPriority w:val="1"/>
    <w:rPr>
      <w:rFonts w:ascii="宋体" w:hAnsi="宋体" w:eastAsia="宋体" w:cs="宋体"/>
      <w:sz w:val="28"/>
      <w:szCs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NormalCharacter"/>
    <w:semiHidden/>
    <w:qFormat/>
    <w:uiPriority w:val="0"/>
  </w:style>
  <w:style w:type="paragraph" w:customStyle="1" w:styleId="13">
    <w:name w:val="Table Paragraph"/>
    <w:basedOn w:val="1"/>
    <w:qFormat/>
    <w:uiPriority w:val="1"/>
    <w:pPr>
      <w:spacing w:line="230" w:lineRule="exact"/>
      <w:jc w:val="right"/>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9005</Words>
  <Characters>10534</Characters>
  <Lines>0</Lines>
  <Paragraphs>0</Paragraphs>
  <TotalTime>4</TotalTime>
  <ScaleCrop>false</ScaleCrop>
  <LinksUpToDate>false</LinksUpToDate>
  <CharactersWithSpaces>10679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2021-12-14T05:10:00Z</dcterms:created>
  <dc:creator>86155</dc:creator>
  <cp:lastModifiedBy>Desdemo</cp:lastModifiedBy>
  <cp:lastPrinted>2022-10-10T01:57:00Z</cp:lastPrinted>
  <dcterms:modified xsi:type="dcterms:W3CDTF">2023-11-08T06:30:38Z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12BC179F9CE449D9B112ACBD8184FB60</vt:lpwstr>
  </property>
</Properties>
</file>