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sz w:val="44"/>
          <w:szCs w:val="44"/>
        </w:rPr>
      </w:pPr>
      <w:bookmarkStart w:id="0" w:name="_GoBack"/>
      <w:bookmarkEnd w:id="0"/>
      <w:r>
        <w:rPr>
          <w:rFonts w:hint="eastAsia" w:ascii="黑体" w:hAnsi="黑体" w:eastAsia="黑体"/>
          <w:sz w:val="44"/>
          <w:szCs w:val="44"/>
        </w:rPr>
        <w:t>高阳县市场监督管理局</w:t>
      </w:r>
    </w:p>
    <w:p>
      <w:pPr>
        <w:jc w:val="center"/>
        <w:rPr>
          <w:rFonts w:ascii="黑体" w:hAnsi="黑体" w:eastAsia="黑体"/>
          <w:sz w:val="44"/>
          <w:szCs w:val="44"/>
        </w:rPr>
      </w:pPr>
      <w:r>
        <w:rPr>
          <w:rFonts w:hint="eastAsia" w:ascii="黑体" w:hAnsi="黑体" w:eastAsia="黑体"/>
          <w:sz w:val="44"/>
          <w:szCs w:val="44"/>
        </w:rPr>
        <w:t>部门绩效自评工作报告</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财政局：</w:t>
      </w:r>
    </w:p>
    <w:p>
      <w:pPr>
        <w:ind w:firstLine="640" w:firstLineChars="200"/>
        <w:rPr>
          <w:rFonts w:ascii="仿宋" w:hAnsi="仿宋" w:eastAsia="仿宋"/>
          <w:sz w:val="32"/>
          <w:szCs w:val="32"/>
        </w:rPr>
      </w:pPr>
      <w:r>
        <w:rPr>
          <w:rFonts w:hint="eastAsia" w:ascii="仿宋" w:hAnsi="仿宋" w:eastAsia="仿宋"/>
          <w:sz w:val="32"/>
          <w:szCs w:val="32"/>
        </w:rPr>
        <w:t>按照财政局《关于做好</w:t>
      </w:r>
      <w:r>
        <w:rPr>
          <w:rFonts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年度县级预算项目绩效自评工作的通知》（高财</w:t>
      </w:r>
      <w:r>
        <w:rPr>
          <w:rFonts w:hint="eastAsia" w:ascii="仿宋" w:hAnsi="仿宋" w:eastAsia="仿宋"/>
          <w:sz w:val="32"/>
          <w:szCs w:val="32"/>
          <w:lang w:val="en-US" w:eastAsia="zh-CN"/>
        </w:rPr>
        <w:t>稽查[</w:t>
      </w:r>
      <w:r>
        <w:rPr>
          <w:rFonts w:ascii="仿宋" w:hAnsi="仿宋" w:eastAsia="仿宋"/>
          <w:sz w:val="32"/>
          <w:szCs w:val="32"/>
        </w:rPr>
        <w:t>202</w:t>
      </w:r>
      <w:r>
        <w:rPr>
          <w:rFonts w:hint="eastAsia" w:ascii="仿宋" w:hAnsi="仿宋" w:eastAsia="仿宋"/>
          <w:sz w:val="32"/>
          <w:szCs w:val="32"/>
          <w:lang w:val="en-US" w:eastAsia="zh-CN"/>
        </w:rPr>
        <w:t>2]1</w:t>
      </w:r>
      <w:r>
        <w:rPr>
          <w:rFonts w:hint="eastAsia" w:ascii="仿宋" w:hAnsi="仿宋" w:eastAsia="仿宋"/>
          <w:sz w:val="32"/>
          <w:szCs w:val="32"/>
        </w:rPr>
        <w:t>号）要求，我局对</w:t>
      </w: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年以来所有预算项目资金进行了认真梳理，对所有专项资金绩效运行进行了核查评估，情况如下：</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一、绩效自评工作组织开展情况</w:t>
      </w:r>
    </w:p>
    <w:p>
      <w:pPr>
        <w:pStyle w:val="4"/>
        <w:shd w:val="clear" w:color="auto" w:fill="FFFFFF"/>
        <w:snapToGrid w:val="0"/>
        <w:spacing w:before="0" w:beforeAutospacing="0" w:after="0" w:afterAutospacing="0" w:line="560" w:lineRule="exact"/>
        <w:ind w:firstLine="640" w:firstLineChars="200"/>
        <w:contextualSpacing/>
        <w:jc w:val="both"/>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我局在县委、县政府的正确领导下，以贯彻落实党的十九大精神为指导，继续加强事中事后监管，提高服务质量，加强各类市场专项整治，有效的净化市场环境，规范经营行为，为我县经济持续健康发展保驾护航。依照市局《财务管理办法》和《专项资金管理办法》成立以主管局长为组长，财务股股长为副组长，其他职员为成员的绩效自评领导小组对每一项项目工作进行认真细致的评价</w:t>
      </w:r>
      <w:r>
        <w:rPr>
          <w:rFonts w:hint="eastAsia" w:ascii="仿宋" w:hAnsi="仿宋" w:eastAsia="仿宋" w:cs="仿宋"/>
          <w:sz w:val="32"/>
          <w:szCs w:val="32"/>
          <w:lang w:eastAsia="zh-CN"/>
        </w:rPr>
        <w:t>。</w:t>
      </w:r>
    </w:p>
    <w:p>
      <w:pPr>
        <w:pStyle w:val="4"/>
        <w:shd w:val="clear" w:color="auto" w:fill="FFFFFF"/>
        <w:snapToGrid w:val="0"/>
        <w:spacing w:before="0" w:beforeAutospacing="0" w:after="0" w:afterAutospacing="0" w:line="560" w:lineRule="exact"/>
        <w:ind w:firstLine="640" w:firstLineChars="200"/>
        <w:contextualSpacing/>
        <w:jc w:val="both"/>
        <w:rPr>
          <w:rFonts w:hint="eastAsia" w:ascii="仿宋" w:hAnsi="仿宋" w:eastAsia="仿宋" w:cs="仿宋"/>
          <w:color w:val="333333"/>
          <w:spacing w:val="8"/>
          <w:sz w:val="32"/>
          <w:szCs w:val="32"/>
          <w:highlight w:val="none"/>
          <w:lang w:val="en-US" w:eastAsia="zh-CN"/>
        </w:rPr>
      </w:pPr>
      <w:r>
        <w:rPr>
          <w:rFonts w:hint="eastAsia" w:ascii="仿宋" w:hAnsi="仿宋" w:eastAsia="仿宋" w:cs="仿宋"/>
          <w:b w:val="0"/>
          <w:bCs w:val="0"/>
          <w:kern w:val="2"/>
          <w:sz w:val="32"/>
          <w:szCs w:val="32"/>
          <w:lang w:val="en-US" w:eastAsia="zh-CN" w:bidi="ar-SA"/>
        </w:rPr>
        <w:t>根据预算绩效管理要求，本部门组织对2021年度一般公共预算项目支出全面开展绩效自评，本</w:t>
      </w:r>
      <w:r>
        <w:rPr>
          <w:rFonts w:hint="eastAsia" w:ascii="仿宋" w:hAnsi="仿宋" w:eastAsia="仿宋" w:cs="仿宋"/>
          <w:color w:val="333333"/>
          <w:spacing w:val="8"/>
          <w:sz w:val="32"/>
          <w:szCs w:val="32"/>
          <w:highlight w:val="none"/>
          <w:lang w:val="en-US" w:eastAsia="zh-CN"/>
        </w:rPr>
        <w:t>年度我部门开展项目7个，共涉及资金203.03万元，</w:t>
      </w:r>
      <w:r>
        <w:rPr>
          <w:rFonts w:hint="eastAsia" w:ascii="仿宋" w:hAnsi="仿宋" w:eastAsia="仿宋" w:cs="仿宋"/>
          <w:b w:val="0"/>
          <w:bCs w:val="0"/>
          <w:kern w:val="2"/>
          <w:sz w:val="32"/>
          <w:szCs w:val="32"/>
          <w:lang w:val="en-US" w:eastAsia="zh-CN" w:bidi="ar-SA"/>
        </w:rPr>
        <w:t>占一般公共预算项目支出总额的100%。从评价情况来看，</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年度，我局各项绩效目标设定清晰准确，绩效指标基本完整合理。适用法律法规和专业知识准确，绩效标准适宜，易于评价。</w:t>
      </w:r>
    </w:p>
    <w:p>
      <w:pPr>
        <w:numPr>
          <w:ilvl w:val="0"/>
          <w:numId w:val="1"/>
        </w:num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绩效目标实现情况</w:t>
      </w:r>
    </w:p>
    <w:p>
      <w:pPr>
        <w:widowControl w:val="0"/>
        <w:wordWrap/>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）开展质量强县战略，积极推进质量提升行动</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1.以“深入实施质量提升行动 大力推进质量强市建设”为主题的2021年保定市“质量月”活动启动仪式在高阳县举行。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产品质量监督抽查是加强产品质量监管的重要手段，是监管部门履行职责的重要抓手，今年以来，完成省、市生产领域毛巾抽检28批次、校服抽检2批次，流通领域农资化肥7批次、清洁用品5批次、电动车充电器3批次、消防器材7批次、润滑油3批次。县级共抽检电动助力车蓄电池10个批次、家用燃气灶5个批次、化肥3个批次、眼镜4个批次、电线电缆4个批次。处置完成国抽不合格报告7份省抽不合格报告17份，县抽不合格报告14份。</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3.组织纺织生产企业进行专项质量培训或约谈，共计开展培训10场，培训企业人员400人次，约谈企业12家。</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为推广先进的质量管理方法，提高企业质量意识，提升企业管理水平，激发企业追求卓越的自觉意识和品牌竞争力，我局开展“百名专家进百企”活动，组织市质量专家-河北瑞春纺织有限公司张瑞春董事长深入结对帮扶企业（建强制动软管有限公司）进行帮扶指导。</w:t>
      </w:r>
    </w:p>
    <w:p>
      <w:pPr>
        <w:widowControl w:val="0"/>
        <w:wordWrap/>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（二）强化知识产权工作，助力企业健康发展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政府引导、企业自愿原则，开展中小微企业知识产权托管工作，托管期内，重点为中小微企业提供知识产权申请、知识产权管理体系建设、知识产权信息利用、知识产权运营、知识产权战略规划、知识产权纠纷诉讼和知识产权人才培养等托管服务。目前已经有1家企业有意向与保定市磅礴知识产权服务有限公司签订托管服务。</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3.对假冒伪劣及侵权行为进行严厉打击，切实保护企业创新成果和利益，有效激发全民创新动力，实时防范侵权仿冒行为。共检查各类经营户1000余户，已查处侵犯知识产权案件4起。</w:t>
      </w:r>
    </w:p>
    <w:p>
      <w:pPr>
        <w:widowControl w:val="0"/>
        <w:wordWrap/>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（三）强化整治力度，食品安全得到有效保障</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1.充分发挥食安办在食品安全监管工作中的组织协调、信息报送、联合执法、督查考评作用，组织召开专题会议和风险研判会议2次，分析食品安全形势。</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食品安全大排查大整治专项行动，制定风险清单、责任清单和整改事项清单，共排查食品冷藏冷冻库262户次，食用农产品销售159户，食品生产3户，食品销售806户，食品餐饮427户，特殊食品23户。开展集中承诺和企业自查活动，加大对重点食品、冷冻食品以及食用农产品追溯体系建设，运用自查与检查相结合，进一步落实监管责任和目标。</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放心超市食品销售公开承诺活动。指导企业根据《中华人民共和国食品安全法》及其实施条例规定的食品销售者承担的法定责任和义务，结合自身实际制定公开承诺内容，签订《放心超市食品销售公开承诺书》。以店内展示为必选，网站、媒体公示相结合的方式面向社会公示，接受社会各界监督。全县共52家食品超市参与了公开承诺活动，全部在店内展示公开承诺书。</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食品安全隐患专项排查。针对网曝某省大润发超市售卖隔夜肉的情况，把生鲜、冷冻猪肉、牛肉、羊肉、鸡鸭肉等畜禽肉类、水产品及其制品作为重点品种，严查畜禽肉类销售中经营过期肉、变质肉、病死肉、兽药残留超标肉、来源不明肉及掺杂掺假行为和水产品销售中重点加大对药物残留超标及鲜活水产品暂养过程添加使用违禁物质或滥用食品添加剂等行为。共检查食品集中交易市场（含附设冷库）、超市、便利店、食杂店及餐饮服务单位等各类肉制品销售主体219个，未发现违法违规行为。</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展校园及周边食品销售安全守护专项整治行动。共排查食堂及各类食品经营主体181户次，发现隐患11个，责令整改6家，对发现的问题建立台账，逐户开展监督检查，整改到位一家，销账一家，目前所有问题整改到位。</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6.召开食品生产企业约谈调度会，全县食品生产企业负责人和食品生产监管人员等20余人参会，会上详细解读了《中华人民共和国食品安全法》、食品安全管理制度等法律法规。</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开展食品安全抽检监测工作，全年计划完成食品流通环节安全抽检监测1402批次，目前已完成1136批次，完成率81.03%，已公示1092批次，公示率96.13%。餐饮环节共计抽检147个批次，抽检范围涵盖学校食堂50个、社会餐饮90个、保健食品7个。</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开展食用农产品质量安全大排查大整治行动。对集中交易市场开办者、销售者、贮存服务提供者加强监督检查，督促严格落实食品安全主体责任，开展自查自纠。共排查食品生产企业1家次、农贸市场10家次、食用农产品超市682家次、冷库2家次、餐饮单位325家次。</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举办食品安全宣传周活动。协调组织县教体局、卫健局、农业农村局等相关单位参加宣传活动，共出动人员50人次，发放宣传材料1000余份。组织开展建党百周年隐患排查行动，并开展农村协管员培训，确保了我县未出现食品安全事故。</w:t>
      </w:r>
    </w:p>
    <w:p>
      <w:pPr>
        <w:widowControl w:val="0"/>
        <w:wordWrap/>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val="en-US" w:eastAsia="zh-CN"/>
        </w:rPr>
        <w:t>）强化药品执法检查，群众用药安全得到有效保障</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药品零售企业日常监督检查，着力保证药械质量，保障百姓用药用械安全。截至目前，我局出动执法人员690余人次，对我县141家药品经营企业及380余名相关从业人员，开展监督检查工作。重点检查企业购进渠道、验收记录、处方药销售、药师在岗、药品挂靠经营、超范围经营等重点和高风险环节。检查总体情况良好，多数药店能按照要求做好各项工作，但是仍存在部分药店管理不规范，期间排查存在风险隐患药店23家，并当场整改。</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力做好新冠疫苗监管工作，重点从制度建设、人员配备、疫苗储存、运输中温度异、不合格疫苗处理等方面落实工作，实现对疫苗接种、配送16家单位全覆盖检查，现场整改安全隐患5处，健全完善疫苗质量管理体系，切实保障新冠病毒疫苗质量安全。</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高药品流通领域药品追溯系统建设，推动药品零售企业加入追溯系统，发挥追溯系统效能，对未按要求上传药品追溯数据的企业加大监督检查力度，督促企业及时完成入网工作。全县连锁门店及单体药店入网率达100%，连锁门店和单体药店数据上传率为100%。</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大力推进药品不良反应监测工作，强化不良反应上报专职人员素质，切实解决药品不良反应上报工作目前存在的困难和问题，保障药品不良反应上报数量和上报质量。全年上报药品不良反554例，完成年度任务100%，医疗器械不良事件220例，完成年度任务100%。</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开展非法渠道购销药品专项整治行动，重点检查挂靠走票、计算机系统数据录入、药品追溯数据上传、违规销售处方药、执业药师挂证等行为。全年共出动执法人员370余人次，检查药品经营单位、县直医疗机构共计120余家次，未发现非法渠道购销药品情况。</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开展中药饮片经营专项整治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点检查药品经营企业非法分装、非法渠道购进、虚开票据以及设立“库外库”等违法违规行为，共检查药品经营企业、使用单位62家次，出动执法车辆73车次，执法人员188人次。通过对中药饮片市场专项整治，进一步规范中药材中药饮片经营秩序，中药饮片质量进一步提高。</w:t>
      </w:r>
    </w:p>
    <w:p>
      <w:pPr>
        <w:widowControl w:val="0"/>
        <w:wordWrap/>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五</w:t>
      </w:r>
      <w:r>
        <w:rPr>
          <w:rFonts w:hint="default" w:ascii="楷体_GB2312" w:hAnsi="楷体_GB2312" w:eastAsia="楷体_GB2312" w:cs="楷体_GB2312"/>
          <w:sz w:val="32"/>
          <w:szCs w:val="32"/>
          <w:lang w:val="en-US" w:eastAsia="zh-CN"/>
        </w:rPr>
        <w:t>）加强特种设备安全监察，保障特种设备无事故</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严格按照“三落实、两有证、一检验、一预案”的要求通过开展日常监督检查，要求使用单位加强特种设备安全监督管理和维护保养，切实做好特种设备应急救援预案的演练工作，确保特种设备安全平稳运行。</w:t>
      </w:r>
      <w:r>
        <w:rPr>
          <w:rFonts w:hint="eastAsia" w:ascii="仿宋_GB2312" w:hAnsi="仿宋_GB2312" w:eastAsia="仿宋_GB2312" w:cs="仿宋_GB2312"/>
          <w:sz w:val="32"/>
          <w:szCs w:val="32"/>
          <w:lang w:val="en-US" w:eastAsia="zh-CN"/>
        </w:rPr>
        <w:t>截至目前</w:t>
      </w:r>
      <w:r>
        <w:rPr>
          <w:rFonts w:hint="default" w:ascii="仿宋_GB2312" w:hAnsi="仿宋_GB2312" w:eastAsia="仿宋_GB2312" w:cs="仿宋_GB2312"/>
          <w:sz w:val="32"/>
          <w:szCs w:val="32"/>
          <w:lang w:val="en-US" w:eastAsia="zh-CN"/>
        </w:rPr>
        <w:t>，共出动执法人员1243人次，对我县325家（次）特种设备使用单位的1964台（套）特种设备进行了检查，对存在安全隐患的特种设备使用单位下达《特种设备安全监察指令书》共19份，现已全部整改完毕。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特种设备安全风险隐患大排查大整治行动，坚决治理一批特种设备安全隐患，严惩一批违法违规行为，问责曝光一批责任不落实、措施不力的单位和个人。对我县46家特种设备重点使用单位进行检查，根据企业上报的自查表逐一核实，检查发现一般隐患7处，已整改完毕。</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我县3家液化石油气瓶充装单位安全检查。重点检查充装单位信息化管理和气瓶档案建立情况，是否有无证充装、超许可范围充装情况，充装前后对气瓶逐只进行安全检查、记录制度是否落实，是否充装非自有产权气瓶、报废气瓶和翻新改造气瓶的情况，气瓶警示标签粘贴、气瓶流向登记台账等落实情况。</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扎实推进特种设备产品质量提升和信用监管力度。严把特种设备准入质量关，对国家明令淘汰的特种设备、禁止新建的锅炉以及大气污染物排放不符合要求的锅炉，不予办理使用登记。积极推进特种设备节能减排不断深入，监督检查锅炉节能环保标准执行情况，继续清查35吨/小时及以下燃煤锅炉。</w:t>
      </w:r>
    </w:p>
    <w:p>
      <w:pPr>
        <w:widowControl w:val="0"/>
        <w:wordWrap/>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六</w:t>
      </w:r>
      <w:r>
        <w:rPr>
          <w:rFonts w:hint="default" w:ascii="楷体_GB2312" w:hAnsi="楷体_GB2312" w:eastAsia="楷体_GB2312" w:cs="楷体_GB2312"/>
          <w:sz w:val="32"/>
          <w:szCs w:val="32"/>
          <w:lang w:val="en-US" w:eastAsia="zh-CN"/>
        </w:rPr>
        <w:t>）优化营商环境，</w:t>
      </w:r>
      <w:r>
        <w:rPr>
          <w:rFonts w:hint="eastAsia" w:ascii="楷体_GB2312" w:hAnsi="楷体_GB2312" w:eastAsia="楷体_GB2312" w:cs="楷体_GB2312"/>
          <w:sz w:val="32"/>
          <w:szCs w:val="32"/>
          <w:lang w:val="en-US" w:eastAsia="zh-CN"/>
        </w:rPr>
        <w:t>严格依法行政</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挥县“双随机、一公开”办公室牵头作用，依托“河北省双随机监管工作平台”运用企业信用分级分类开展了双随机内部联合抽查检查65次，检查市场主体2526户，发现问题的检查主体数量866户。随机抽查问题发现率34%。检查结果全部按照要求录入了系统，并通过国家企业信用信息公示系统对外进行了公示。运用企业信用分级分类开展了跨部门联合抽查检查7次。检查市场主体22户，发现问题的检查主体数量4户。检查结果全部按照要求录入了系统，并通过国家企业信用信息公示系统对外进行了公示。同时，开展内部联合检查，依托平台开展双随机抽查检查5次，检查市场主体273户，发现问题的检查主体数量55户。检查结果全部进行了公示。</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全县涉企行政事业性收费和经营服务性收费执收单位的收费行为开展检查。共检查行政事业性收费单位9家，经营服务性收费单位2家，对以上单位行政事业性收费、经营服务性收费以及相关取消、停收、免征的行政事业性收费政策性文件执行情况进行了检查，未发现违反政策的乱收费行为。</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3.召集我县8家商业银行召开金融服务收费行为提醒告诫会，并对全县各商业银行收费情况进行巡查，要求各银行严格执行相关金融服务收费政策，切实把政府降费政策落实到企业。</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4.组织召开公平竞争审查联席会议，就我县清理工作的范围、原则、步骤和要求等进行周密安排部署，解决清理审查工作中的疑难和问题，保证了清理审查工作的顺利开展。</w:t>
      </w:r>
    </w:p>
    <w:p>
      <w:pPr>
        <w:widowControl w:val="0"/>
        <w:wordWrap/>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七</w:t>
      </w:r>
      <w:r>
        <w:rPr>
          <w:rFonts w:hint="default" w:ascii="楷体_GB2312" w:hAnsi="楷体_GB2312" w:eastAsia="楷体_GB2312" w:cs="楷体_GB2312"/>
          <w:sz w:val="32"/>
          <w:szCs w:val="32"/>
          <w:lang w:val="en-US" w:eastAsia="zh-CN"/>
        </w:rPr>
        <w:t>）营造良好消费环境，保护消费者合法权益</w:t>
      </w:r>
    </w:p>
    <w:p>
      <w:pPr>
        <w:widowControl w:val="0"/>
        <w:wordWrap/>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突出以抓好消费教育引导、消费调查评议、消费指导、投诉调解为主要任务的重点工作，力求取得新成效。共接到群众电话举报 487件；网上投诉举报 756 件；政府转办单269 件。接听各类咨询电话 1211个，牢固树立为消费者服务意识，认真做好投诉调解工作，努力解决消费者诉求。</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2.积极推进2021年度放心创建工作，宣传引导全民主动参与创建。在原创建工作开展基础上摸排现存放心消费示范单位，按照严标准、择优纳的原则向市局推荐县级示范单位42 家（商超 22家、网店6 家、餐饮10家、加油站3家、放心药店1家）。</w:t>
      </w:r>
    </w:p>
    <w:p>
      <w:pPr>
        <w:widowControl w:val="0"/>
        <w:wordWrap/>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（八）加大工作力度，提升大气污染整治水平</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1.发挥劣质散煤管控指挥部办公室组织协调作用，召开劣质散煤管控暨加强散煤排查清缴工作推进会，督促各镇（街道）和各成员单位加快推进劣质散煤排查清缴工作进度。</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成立散煤治理联合执法队，抽调市场监管局、公安局、发改局、生态环境局、交通局共14人，24小时上岗，分组对县域内易发生分销、运销散煤行为的村庄、公路两侧等地点进行巡查，并公布举报电话，对群众举报的违法行为第一时间进行打击。截至目前，共查扣散煤0.89吨，已交由发改部门进行归口处置。</w:t>
      </w:r>
    </w:p>
    <w:p>
      <w:pPr>
        <w:widowControl w:val="0"/>
        <w:wordWrap/>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照成品油抽检计划，充分利用快检设备与常规监督抽检有效互补进行高频次、不定期的抽检。截至目前，共对全县38家加油站（点）进行成品油第三方质量抽检167批次（其中汽油68批次，柴油99批次）；抽检车用尿素7个批次，抽检结果全部合格。进行成品油硫含量快检547个批次，抽检结果全部合格，有效防止不合格油品流入市场。</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三、绩效目标设定质量情况</w:t>
      </w:r>
    </w:p>
    <w:p>
      <w:pPr>
        <w:ind w:firstLine="640" w:firstLineChars="200"/>
        <w:jc w:val="left"/>
        <w:rPr>
          <w:rFonts w:ascii="仿宋" w:hAnsi="仿宋" w:eastAsia="仿宋"/>
          <w:sz w:val="32"/>
          <w:szCs w:val="32"/>
        </w:rPr>
      </w:pPr>
      <w:r>
        <w:rPr>
          <w:rFonts w:hint="eastAsia" w:ascii="仿宋" w:hAnsi="仿宋" w:eastAsia="仿宋"/>
          <w:sz w:val="32"/>
          <w:szCs w:val="32"/>
        </w:rPr>
        <w:t>根据绩效自评结果，我局认真与年初绩效目标进行了核对倒查。</w:t>
      </w: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年度，我局各项绩效目标设定清晰准确，绩效指标基本完整合理。适用法律法规和专业知识准确，绩效标准适宜，易于评价。</w:t>
      </w:r>
    </w:p>
    <w:p>
      <w:pPr>
        <w:ind w:firstLine="640" w:firstLineChars="200"/>
        <w:jc w:val="left"/>
        <w:rPr>
          <w:rFonts w:ascii="仿宋" w:hAnsi="仿宋" w:eastAsia="仿宋"/>
          <w:sz w:val="32"/>
          <w:szCs w:val="32"/>
        </w:rPr>
      </w:pPr>
      <w:r>
        <w:rPr>
          <w:rFonts w:hint="eastAsia" w:ascii="仿宋" w:hAnsi="仿宋" w:eastAsia="仿宋"/>
          <w:sz w:val="32"/>
          <w:szCs w:val="32"/>
        </w:rPr>
        <w:t>一是运用行政与法律手段，对市场经营主体及市场行为进行行政指导、监督管理。建立和维护市场秩序，服务地方经济发展。</w:t>
      </w:r>
    </w:p>
    <w:p>
      <w:pPr>
        <w:ind w:firstLine="640" w:firstLineChars="200"/>
        <w:jc w:val="left"/>
        <w:rPr>
          <w:rFonts w:ascii="仿宋" w:hAnsi="仿宋" w:eastAsia="仿宋"/>
          <w:sz w:val="32"/>
          <w:szCs w:val="32"/>
        </w:rPr>
      </w:pPr>
      <w:r>
        <w:rPr>
          <w:rFonts w:hint="eastAsia" w:ascii="仿宋" w:hAnsi="仿宋" w:eastAsia="仿宋"/>
          <w:sz w:val="32"/>
          <w:szCs w:val="32"/>
        </w:rPr>
        <w:t>二是依法规范和维护全县各类市场经营秩序，监督管理市场交易行为和网络商品交易及有关服务的行为。</w:t>
      </w:r>
    </w:p>
    <w:p>
      <w:pPr>
        <w:ind w:firstLine="640" w:firstLineChars="200"/>
        <w:jc w:val="left"/>
        <w:rPr>
          <w:rFonts w:ascii="仿宋" w:hAnsi="仿宋" w:eastAsia="仿宋"/>
          <w:sz w:val="32"/>
          <w:szCs w:val="32"/>
        </w:rPr>
      </w:pPr>
      <w:r>
        <w:rPr>
          <w:rFonts w:hint="eastAsia" w:ascii="仿宋" w:hAnsi="仿宋" w:eastAsia="仿宋"/>
          <w:sz w:val="32"/>
          <w:szCs w:val="32"/>
        </w:rPr>
        <w:t>三是依法查处取缔无照经营，组织指导全县企业、个体工商户、商品交易市场信用分类管理。</w:t>
      </w:r>
    </w:p>
    <w:p>
      <w:pPr>
        <w:ind w:firstLine="640" w:firstLineChars="200"/>
        <w:jc w:val="left"/>
        <w:rPr>
          <w:rFonts w:ascii="仿宋" w:hAnsi="仿宋" w:eastAsia="仿宋"/>
          <w:sz w:val="32"/>
          <w:szCs w:val="32"/>
        </w:rPr>
      </w:pPr>
      <w:r>
        <w:rPr>
          <w:rFonts w:hint="eastAsia" w:ascii="仿宋" w:hAnsi="仿宋" w:eastAsia="仿宋"/>
          <w:sz w:val="32"/>
          <w:szCs w:val="32"/>
        </w:rPr>
        <w:t>四是依法对流通领域商品质量（不含食品、农资、成品油）进行抽查检验，开展对生产资料、农资、化肥、成品油等进行分批次抽检。通过开展抽检工作，不断提升我县流通领域商品质量水平。保护农民利益，更好的维护正常的市场经济秩序。</w:t>
      </w:r>
    </w:p>
    <w:p>
      <w:pPr>
        <w:ind w:firstLine="640" w:firstLineChars="200"/>
        <w:jc w:val="left"/>
        <w:rPr>
          <w:rFonts w:ascii="仿宋" w:hAnsi="仿宋" w:eastAsia="仿宋"/>
          <w:sz w:val="32"/>
          <w:szCs w:val="32"/>
        </w:rPr>
      </w:pPr>
      <w:r>
        <w:rPr>
          <w:rFonts w:hint="eastAsia" w:ascii="仿宋" w:hAnsi="仿宋" w:eastAsia="仿宋"/>
          <w:sz w:val="32"/>
          <w:szCs w:val="32"/>
        </w:rPr>
        <w:t>五是依法保护商标专用权和查处商标侵权行为。</w:t>
      </w:r>
    </w:p>
    <w:p>
      <w:pPr>
        <w:ind w:firstLine="640" w:firstLineChars="200"/>
        <w:jc w:val="left"/>
        <w:rPr>
          <w:rFonts w:ascii="仿宋" w:hAnsi="仿宋" w:eastAsia="仿宋"/>
          <w:sz w:val="32"/>
          <w:szCs w:val="32"/>
        </w:rPr>
      </w:pPr>
      <w:r>
        <w:rPr>
          <w:rFonts w:hint="eastAsia" w:ascii="仿宋" w:hAnsi="仿宋" w:eastAsia="仿宋"/>
          <w:sz w:val="32"/>
          <w:szCs w:val="32"/>
        </w:rPr>
        <w:t>六是依法查处违法直销和传销行为，依法监督管理直销企业和直销员及其直销活动。</w:t>
      </w:r>
    </w:p>
    <w:p>
      <w:pPr>
        <w:ind w:firstLine="640" w:firstLineChars="200"/>
        <w:jc w:val="left"/>
        <w:rPr>
          <w:rFonts w:ascii="仿宋" w:hAnsi="仿宋" w:eastAsia="仿宋"/>
          <w:sz w:val="32"/>
          <w:szCs w:val="32"/>
        </w:rPr>
      </w:pPr>
      <w:r>
        <w:rPr>
          <w:rFonts w:hint="eastAsia" w:ascii="仿宋" w:hAnsi="仿宋" w:eastAsia="仿宋"/>
          <w:sz w:val="32"/>
          <w:szCs w:val="32"/>
        </w:rPr>
        <w:t>七是依法查处各类违法行为。</w:t>
      </w:r>
    </w:p>
    <w:p>
      <w:pPr>
        <w:ind w:firstLine="640" w:firstLineChars="200"/>
        <w:jc w:val="left"/>
        <w:rPr>
          <w:rFonts w:ascii="仿宋" w:hAnsi="仿宋" w:eastAsia="仿宋"/>
          <w:sz w:val="32"/>
          <w:szCs w:val="32"/>
        </w:rPr>
      </w:pPr>
      <w:r>
        <w:rPr>
          <w:rFonts w:hint="eastAsia" w:ascii="仿宋" w:hAnsi="仿宋" w:eastAsia="仿宋"/>
          <w:sz w:val="32"/>
          <w:szCs w:val="32"/>
        </w:rPr>
        <w:t>八是组织全县消费者权益保护工作。</w:t>
      </w:r>
    </w:p>
    <w:p>
      <w:pPr>
        <w:ind w:firstLine="640" w:firstLineChars="200"/>
        <w:jc w:val="left"/>
        <w:rPr>
          <w:rFonts w:ascii="仿宋" w:hAnsi="仿宋" w:eastAsia="仿宋"/>
          <w:sz w:val="32"/>
          <w:szCs w:val="32"/>
        </w:rPr>
      </w:pPr>
      <w:r>
        <w:rPr>
          <w:rFonts w:hint="eastAsia" w:ascii="仿宋" w:hAnsi="仿宋" w:eastAsia="仿宋"/>
          <w:sz w:val="32"/>
          <w:szCs w:val="32"/>
        </w:rPr>
        <w:t>九是深入开展食品药品日常监督检查及专项工作。</w:t>
      </w:r>
    </w:p>
    <w:p>
      <w:pPr>
        <w:ind w:firstLine="640" w:firstLineChars="200"/>
        <w:jc w:val="left"/>
        <w:rPr>
          <w:rFonts w:ascii="仿宋" w:hAnsi="仿宋" w:eastAsia="仿宋"/>
          <w:sz w:val="32"/>
          <w:szCs w:val="32"/>
        </w:rPr>
      </w:pPr>
      <w:r>
        <w:rPr>
          <w:rFonts w:hint="eastAsia" w:ascii="仿宋" w:hAnsi="仿宋" w:eastAsia="仿宋"/>
          <w:sz w:val="32"/>
          <w:szCs w:val="32"/>
        </w:rPr>
        <w:t>十是规范和监督商品计量和市场计量行为。</w:t>
      </w:r>
    </w:p>
    <w:p>
      <w:pPr>
        <w:ind w:firstLine="640" w:firstLineChars="200"/>
        <w:jc w:val="left"/>
        <w:rPr>
          <w:rFonts w:hint="eastAsia" w:ascii="仿宋" w:hAnsi="仿宋" w:eastAsia="仿宋"/>
          <w:sz w:val="32"/>
          <w:szCs w:val="32"/>
        </w:rPr>
      </w:pPr>
      <w:r>
        <w:rPr>
          <w:rFonts w:hint="eastAsia" w:ascii="仿宋" w:hAnsi="仿宋" w:eastAsia="仿宋"/>
          <w:sz w:val="32"/>
          <w:szCs w:val="32"/>
        </w:rPr>
        <w:t>十一是管理全县产品质量安全强制检验、监督抽查等工作，承担纤维、棉花、工业产品、计量器具及设备、食品相关产品、特种设备检验检测，环境质量、环保产品质量检测。</w:t>
      </w:r>
    </w:p>
    <w:p>
      <w:pPr>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十二是</w:t>
      </w:r>
      <w:r>
        <w:rPr>
          <w:rFonts w:hint="eastAsia" w:ascii="仿宋_GB2312" w:hAnsi="微软雅黑" w:eastAsia="仿宋_GB2312" w:cs="宋体"/>
          <w:color w:val="333333"/>
          <w:spacing w:val="8"/>
          <w:kern w:val="0"/>
          <w:sz w:val="32"/>
          <w:szCs w:val="32"/>
          <w:highlight w:val="none"/>
          <w:lang w:val="en-US" w:eastAsia="zh-CN" w:bidi="ar-SA"/>
        </w:rPr>
        <w:t>严格督促商超、饭店、药店落实通风、消毒、测温、验码、登记、戴口罩防控措施，配合相关部门做好疫情防控工作。</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四、整改措施及结果应用</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逐户指导经营者落实进销货台账索证索票制度，进一步加强《中华人民共和国食品安全法》的宣传和培训，开展针对食品经营者的法律法规培训工作，切实提高我县食品经营单位的守法经营理念，提升经营者的综合素质。成立食品安全创建工作领导小组，对创建工作进行不定期的督导和暗访，确保创建工作达标。</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一是进一步做好“双告知”工作，对企业和相关审批部门实行告知制度，防止监管真空，防范监管风险。二是做好“双随机”抽查工作。推行在事中事后监管执法工作中，随机抽取检查对象、随机选派执法检查人员的“双随机”抽查机制，不断完善制度，切实规范流程。三是做好信息归集共享工作。逐步完整归集企业申报的年度报告和即时信息、政府部门形成的对企业的行政许可和行政处罚信息以及严重违法违规失信的“黑名单”信息，并将其归于企业名下，并逐步实现政府部门间企业信用信息的互联共享以及企业信用信息对全社会的开放。四是做好社会共治工作，积极构建“企业自治、行业自律、社会监督、政府监管”的社会共治格局。</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进一步深入贯彻落实县政府大气污染防治工作的要求，按照我局职责分工，加强组织领导，确保落实到位加强宣传培训，确保履职到位建立健全台账，确保监管到位加强抽样检测，确保商品质量严惩违法行为，确保管控到位做好“气代煤”工作，确保服务到位。</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4、发挥职能作用，积极搭建银企对接平台，为企业解决融资难题；加强商标、广告监管工作；加强抽检力度，确保流通领域商品质量；加强网络市场监管、开展专项整治；净化经营环境认真开展“善美保定 诚信商家”放心消费创建示范活动；开展防范和处置非法集资工作，做好经济领域风险；防范加大扫黑除恶线索排查力度，共创安全市场环境。</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5、大巡防大督查，促市场监管、队伍建设双提升。进一步提高市场监管的针对性、有效性，有力推进重点工作落实，全面提升队伍素质用“巡防”和“督查”两种手段，发现问题，解决问题，防范风险，推动工作。</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6、进一步开展食品（含保健食品、酒类）、药品、医疗器材及化妆品安全违法案件的稽查工作，并对违法生产、经营、使用药品、医疗器械案件以及违法生产、经营食品的案件进行查处，保障人民群众用药饮食和器械安全，维持正常市场经济秩序。</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通过对药品的全覆盖抽验，全面加强对药物的质量监管；对参加集中采购的药品生产经营企业及其申报的资质及有关证明文件进行审核把关；协助建立完善流通环节药品安全隐患排查治理机制。指导和监督药品生产企业严格按照药品标准进行生产，对GSP、GMP认证检查员培训。对化妆品经营企业的经常性监督检查等工作。</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综上所述，2021年高阳县市场监督管理局较好的完成了我局各项工作任务，实现了年初既定的绩效目标。</w:t>
      </w: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4800" w:firstLineChars="15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高阳县市场监督管理局</w:t>
      </w:r>
    </w:p>
    <w:p>
      <w:pPr>
        <w:ind w:firstLine="4800" w:firstLineChars="150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2022年3月16日</w:t>
      </w:r>
    </w:p>
    <w:sectPr>
      <w:pgSz w:w="11906" w:h="16838"/>
      <w:pgMar w:top="1701" w:right="1304" w:bottom="1701" w:left="1304"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80701518">
    <w:nsid w:val="9FC8424E"/>
    <w:multiLevelType w:val="singleLevel"/>
    <w:tmpl w:val="9FC8424E"/>
    <w:lvl w:ilvl="0" w:tentative="1">
      <w:start w:val="2"/>
      <w:numFmt w:val="chineseCounting"/>
      <w:suff w:val="nothing"/>
      <w:lvlText w:val="%1、"/>
      <w:lvlJc w:val="left"/>
      <w:rPr>
        <w:rFonts w:hint="eastAsia"/>
      </w:rPr>
    </w:lvl>
  </w:abstractNum>
  <w:num w:numId="1">
    <w:abstractNumId w:val="26807015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页眉 Char Char"/>
    <w:basedOn w:val="5"/>
    <w:link w:val="3"/>
    <w:uiPriority w:val="99"/>
    <w:rPr>
      <w:sz w:val="18"/>
      <w:szCs w:val="18"/>
    </w:rPr>
  </w:style>
  <w:style w:type="character" w:customStyle="1" w:styleId="7">
    <w:name w:val="页脚 Char Char"/>
    <w:basedOn w:val="5"/>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6596</Words>
  <Characters>6818</Characters>
  <Lines>2</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Lenovo</cp:lastModifiedBy>
  <cp:lastPrinted>2020-03-11T01:04:00Z</cp:lastPrinted>
  <dcterms:modified xsi:type="dcterms:W3CDTF">2025-01-26T03:37:00Z</dcterms:modified>
  <dc:title>高阳县市场监督管理局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7D524A88BE8542EF9BF66BA62FC102B1</vt:lpwstr>
  </property>
</Properties>
</file>