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44"/>
          <w:szCs w:val="44"/>
        </w:rPr>
      </w:pPr>
      <w:bookmarkStart w:id="2" w:name="_GoBack"/>
      <w:bookmarkEnd w:id="2"/>
      <w:r>
        <w:rPr>
          <w:rFonts w:hint="eastAsia" w:ascii="仿宋" w:hAnsi="仿宋" w:eastAsia="仿宋" w:cs="仿宋"/>
          <w:b/>
          <w:sz w:val="44"/>
          <w:szCs w:val="44"/>
        </w:rPr>
        <w:t>高阳县统计局</w:t>
      </w:r>
    </w:p>
    <w:p>
      <w:pPr>
        <w:jc w:val="center"/>
        <w:rPr>
          <w:rFonts w:ascii="仿宋" w:hAnsi="仿宋" w:eastAsia="仿宋" w:cs="仿宋"/>
          <w:b/>
          <w:sz w:val="44"/>
          <w:szCs w:val="44"/>
        </w:rPr>
      </w:pPr>
      <w:r>
        <w:rPr>
          <w:rFonts w:hint="eastAsia" w:ascii="仿宋" w:hAnsi="仿宋" w:eastAsia="仿宋" w:cs="仿宋"/>
          <w:b/>
          <w:sz w:val="44"/>
          <w:szCs w:val="44"/>
        </w:rPr>
        <w:t>201</w:t>
      </w:r>
      <w:r>
        <w:rPr>
          <w:rFonts w:hint="eastAsia" w:ascii="仿宋" w:hAnsi="仿宋" w:eastAsia="仿宋" w:cs="仿宋"/>
          <w:b/>
          <w:sz w:val="44"/>
          <w:szCs w:val="44"/>
          <w:lang w:val="en-US" w:eastAsia="zh-CN"/>
        </w:rPr>
        <w:t>8</w:t>
      </w:r>
      <w:r>
        <w:rPr>
          <w:rFonts w:hint="eastAsia" w:ascii="仿宋" w:hAnsi="仿宋" w:eastAsia="仿宋" w:cs="仿宋"/>
          <w:b/>
          <w:sz w:val="44"/>
          <w:szCs w:val="44"/>
        </w:rPr>
        <w:t>年部门预算信息公开</w:t>
      </w:r>
    </w:p>
    <w:p>
      <w:pPr>
        <w:jc w:val="center"/>
        <w:rPr>
          <w:rFonts w:ascii="仿宋" w:hAnsi="仿宋" w:eastAsia="仿宋" w:cs="仿宋"/>
          <w:b/>
          <w:sz w:val="44"/>
          <w:szCs w:val="44"/>
        </w:rPr>
      </w:pP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《中华人民共和国预算法》</w:t>
      </w:r>
      <w:r>
        <w:rPr>
          <w:rFonts w:hint="eastAsia" w:ascii="仿宋" w:hAnsi="仿宋" w:eastAsia="仿宋"/>
          <w:sz w:val="32"/>
          <w:szCs w:val="32"/>
        </w:rPr>
        <w:t>、《地方预决算公开操作规程》和《河北省省级预算公开办法》规定，现将高阳县统计局201</w:t>
      </w:r>
      <w:r>
        <w:rPr>
          <w:rFonts w:hint="eastAsia" w:ascii="仿宋" w:hAnsi="仿宋" w:eastAsia="仿宋"/>
          <w:sz w:val="32"/>
          <w:szCs w:val="32"/>
          <w:lang w:val="en-US" w:eastAsia="zh-CN"/>
        </w:rPr>
        <w:t>8</w:t>
      </w:r>
      <w:r>
        <w:rPr>
          <w:rFonts w:hint="eastAsia" w:ascii="仿宋" w:hAnsi="仿宋" w:eastAsia="仿宋"/>
          <w:sz w:val="32"/>
          <w:szCs w:val="32"/>
        </w:rPr>
        <w:t>年部门预算公开如下：</w:t>
      </w:r>
    </w:p>
    <w:p>
      <w:pPr>
        <w:spacing w:line="360" w:lineRule="auto"/>
        <w:ind w:firstLine="643" w:firstLineChars="200"/>
        <w:jc w:val="center"/>
        <w:rPr>
          <w:rFonts w:ascii="仿宋" w:hAnsi="仿宋" w:eastAsia="仿宋" w:cs="Times New Roman"/>
          <w:b/>
          <w:sz w:val="32"/>
          <w:szCs w:val="32"/>
        </w:rPr>
      </w:pPr>
      <w:r>
        <w:rPr>
          <w:rFonts w:hint="eastAsia" w:ascii="仿宋" w:hAnsi="仿宋" w:eastAsia="仿宋" w:cs="Times New Roman"/>
          <w:b/>
          <w:sz w:val="32"/>
          <w:szCs w:val="32"/>
        </w:rPr>
        <w:t>第一部分:部门职责及机构设置情况</w:t>
      </w:r>
    </w:p>
    <w:p>
      <w:pPr>
        <w:spacing w:line="360" w:lineRule="auto"/>
        <w:rPr>
          <w:rFonts w:ascii="仿宋" w:hAnsi="仿宋" w:eastAsia="仿宋" w:cs="Times New Roman"/>
          <w:b/>
          <w:sz w:val="32"/>
          <w:szCs w:val="32"/>
        </w:rPr>
      </w:pPr>
      <w:r>
        <w:rPr>
          <w:rFonts w:hint="eastAsia" w:ascii="仿宋" w:hAnsi="仿宋" w:eastAsia="仿宋" w:cs="Times New Roman"/>
          <w:b/>
          <w:sz w:val="32"/>
          <w:szCs w:val="32"/>
        </w:rPr>
        <w:t>一、部门职责</w:t>
      </w:r>
    </w:p>
    <w:p>
      <w:pPr>
        <w:spacing w:line="360" w:lineRule="auto"/>
        <w:ind w:firstLine="560"/>
        <w:rPr>
          <w:rFonts w:ascii="仿宋" w:hAnsi="仿宋" w:eastAsia="仿宋" w:cs="仿宋"/>
          <w:sz w:val="32"/>
          <w:szCs w:val="32"/>
        </w:rPr>
      </w:pPr>
      <w:r>
        <w:rPr>
          <w:rFonts w:ascii="仿宋" w:hAnsi="仿宋" w:eastAsia="仿宋"/>
          <w:sz w:val="32"/>
          <w:szCs w:val="32"/>
        </w:rPr>
        <w:t>根据中共保定市委、保定市人民政府《关于印发&lt;高阳县人民政府机构改革方案&gt;的通知》 (保定[2009]61号)和高阳县人民政府《关于高阳县政府机构设置的通知》(高政字[2010]53号),</w:t>
      </w:r>
      <w:r>
        <w:rPr>
          <w:rFonts w:hint="eastAsia" w:ascii="仿宋_GB2312" w:hAnsi="仿宋" w:eastAsia="仿宋_GB2312" w:cs="仿宋_GB2312"/>
          <w:sz w:val="32"/>
          <w:szCs w:val="32"/>
        </w:rPr>
        <w:t>现将我局部门概况说明如下：</w:t>
      </w:r>
    </w:p>
    <w:p>
      <w:pPr>
        <w:rPr>
          <w:rFonts w:ascii="仿宋" w:hAnsi="仿宋" w:eastAsia="仿宋"/>
          <w:sz w:val="32"/>
          <w:szCs w:val="32"/>
        </w:rPr>
      </w:pPr>
      <w:r>
        <w:rPr>
          <w:rFonts w:hint="eastAsia" w:ascii="仿宋" w:hAnsi="仿宋" w:eastAsia="仿宋"/>
          <w:sz w:val="32"/>
          <w:szCs w:val="32"/>
        </w:rPr>
        <w:t xml:space="preserve">    （一）依照中华人民共和国统计法，贯彻国家统计局、省统计局和市统计局所确定的统计工作方针，监督、检查统计法律、法规的实施情况。</w:t>
      </w:r>
    </w:p>
    <w:p>
      <w:pPr>
        <w:ind w:firstLine="640" w:firstLineChars="200"/>
        <w:rPr>
          <w:rFonts w:ascii="仿宋" w:hAnsi="仿宋" w:eastAsia="仿宋"/>
          <w:sz w:val="32"/>
          <w:szCs w:val="32"/>
        </w:rPr>
      </w:pPr>
      <w:r>
        <w:rPr>
          <w:rFonts w:hint="eastAsia" w:ascii="仿宋" w:hAnsi="仿宋" w:eastAsia="仿宋"/>
          <w:sz w:val="32"/>
          <w:szCs w:val="32"/>
        </w:rPr>
        <w:t>（二）贯彻执行国家、省、市国民经济核算体系、统计指标体系和基本统计制度；管理和完善全县各项核算制度；组织领导协调各部门、各乡镇统计工作和有关核算工作；组织管理全县国民经济和社会发展统计报表工作。</w:t>
      </w:r>
    </w:p>
    <w:p>
      <w:pPr>
        <w:ind w:firstLine="640" w:firstLineChars="200"/>
        <w:rPr>
          <w:rFonts w:ascii="仿宋" w:hAnsi="仿宋" w:eastAsia="仿宋"/>
          <w:sz w:val="32"/>
          <w:szCs w:val="32"/>
        </w:rPr>
      </w:pPr>
      <w:r>
        <w:rPr>
          <w:rFonts w:hint="eastAsia" w:ascii="仿宋" w:hAnsi="仿宋" w:eastAsia="仿宋"/>
          <w:sz w:val="32"/>
          <w:szCs w:val="32"/>
        </w:rPr>
        <w:t>（三）组织实施农林牧渔业、农业产值、农产品产量、农业产业化、工业、能源。社会、人口、工资、科技、消费、价格、城镇劳动力、城镇就业、建筑业、固定资产投资、房地产开发、高新技术产业、批发和零售业、住宿和餐饮业、运输邮电业其他服务业、服务业个体户、对外经济和旅游、民营经济、成品油流通、城市社会经济基本情况、县乡社会经济基本情况、资源环境、服务业财务、规模以下工业抽样、企业（集团）、城镇和农村住户、经济社会重点问题等统计调查，收集、汇总、整理和提供统计数据。</w:t>
      </w:r>
    </w:p>
    <w:p>
      <w:pPr>
        <w:ind w:firstLine="640" w:firstLineChars="200"/>
        <w:rPr>
          <w:rFonts w:ascii="仿宋" w:hAnsi="仿宋" w:eastAsia="仿宋"/>
          <w:sz w:val="32"/>
          <w:szCs w:val="32"/>
        </w:rPr>
      </w:pPr>
      <w:r>
        <w:rPr>
          <w:rFonts w:hint="eastAsia" w:ascii="仿宋" w:hAnsi="仿宋" w:eastAsia="仿宋"/>
          <w:sz w:val="32"/>
          <w:szCs w:val="32"/>
        </w:rPr>
        <w:t>（四）组织实施社会发展水平、县域经济发展、节能降耗、城镇化发展、全面小康及农村小康建设进程、妇女儿童、企业景气等统计监测，收集、整理和提供统计数据。</w:t>
      </w:r>
    </w:p>
    <w:p>
      <w:pPr>
        <w:ind w:firstLine="640" w:firstLineChars="200"/>
        <w:rPr>
          <w:rFonts w:ascii="仿宋" w:hAnsi="仿宋" w:eastAsia="仿宋"/>
          <w:sz w:val="32"/>
          <w:szCs w:val="32"/>
        </w:rPr>
      </w:pPr>
      <w:r>
        <w:rPr>
          <w:rFonts w:hint="eastAsia" w:ascii="仿宋" w:hAnsi="仿宋" w:eastAsia="仿宋"/>
          <w:sz w:val="32"/>
          <w:szCs w:val="32"/>
        </w:rPr>
        <w:t>（五）综合整理和提供财政、金融、个体、私营以及混合经济税收、出口、文化教育、卫生、社会保障、公用事业、房屋、对外贸易、对内经济技术合作及引进内资等基本统计数据。</w:t>
      </w:r>
    </w:p>
    <w:p>
      <w:pPr>
        <w:ind w:firstLine="640" w:firstLineChars="200"/>
        <w:rPr>
          <w:rFonts w:ascii="仿宋" w:hAnsi="仿宋" w:eastAsia="仿宋"/>
          <w:sz w:val="32"/>
          <w:szCs w:val="32"/>
        </w:rPr>
      </w:pPr>
      <w:r>
        <w:rPr>
          <w:rFonts w:hint="eastAsia" w:ascii="仿宋" w:hAnsi="仿宋" w:eastAsia="仿宋"/>
          <w:sz w:val="32"/>
          <w:szCs w:val="32"/>
        </w:rPr>
        <w:t>（六）组织完成国家、省、市部署的普查及调查任务，统一领导协调全县各部门的社会经济调查及行业调查，汇总整理全县的基本统计资料，并对全县国民经济社会发展情况进行分析、预测、监督，向县委、县政府及有关部门提供统计信息和咨询服务。</w:t>
      </w:r>
    </w:p>
    <w:p>
      <w:pPr>
        <w:ind w:firstLine="640" w:firstLineChars="200"/>
        <w:rPr>
          <w:rFonts w:ascii="仿宋" w:hAnsi="仿宋" w:eastAsia="仿宋"/>
          <w:sz w:val="32"/>
          <w:szCs w:val="32"/>
        </w:rPr>
      </w:pPr>
      <w:r>
        <w:rPr>
          <w:rFonts w:hint="eastAsia" w:ascii="仿宋" w:hAnsi="仿宋" w:eastAsia="仿宋"/>
          <w:sz w:val="32"/>
          <w:szCs w:val="32"/>
        </w:rPr>
        <w:t>（七）统一核定、管理、公布、出版全县基本统计资料及全县国民经济和社会发展情况统计信息。</w:t>
      </w:r>
    </w:p>
    <w:p>
      <w:pPr>
        <w:ind w:firstLine="640" w:firstLineChars="200"/>
        <w:rPr>
          <w:rFonts w:ascii="仿宋" w:hAnsi="仿宋" w:eastAsia="仿宋"/>
          <w:sz w:val="32"/>
          <w:szCs w:val="32"/>
        </w:rPr>
      </w:pPr>
      <w:r>
        <w:rPr>
          <w:rFonts w:hint="eastAsia" w:ascii="仿宋" w:hAnsi="仿宋" w:eastAsia="仿宋"/>
          <w:sz w:val="32"/>
          <w:szCs w:val="32"/>
        </w:rPr>
        <w:t>（八）组织管理、审批（备案）各乡镇统计调查项目、调查计划、调查方案；指导专业统计基础工作、统计基层业务和规范化建设；组织建立统计信息管理制度，建立健全统计数据质量审核、监控和评估制度，开展对重要统计数据的审核、监控和评估；依法监督管理涉外调查活动。</w:t>
      </w:r>
    </w:p>
    <w:p>
      <w:pPr>
        <w:ind w:firstLine="640" w:firstLineChars="200"/>
        <w:rPr>
          <w:rFonts w:ascii="仿宋" w:hAnsi="仿宋" w:eastAsia="仿宋"/>
          <w:sz w:val="32"/>
          <w:szCs w:val="32"/>
        </w:rPr>
      </w:pPr>
      <w:r>
        <w:rPr>
          <w:rFonts w:hint="eastAsia" w:ascii="仿宋" w:hAnsi="仿宋" w:eastAsia="仿宋"/>
          <w:sz w:val="32"/>
          <w:szCs w:val="32"/>
        </w:rPr>
        <w:t>（九）建立健全和管理统计信息自动化系统和统计数据库体系，管理全县统计数据库网络。</w:t>
      </w:r>
    </w:p>
    <w:p>
      <w:pPr>
        <w:jc w:val="left"/>
        <w:rPr>
          <w:rFonts w:ascii="仿宋" w:hAnsi="仿宋" w:eastAsia="仿宋"/>
          <w:sz w:val="32"/>
          <w:szCs w:val="32"/>
        </w:rPr>
      </w:pPr>
      <w:r>
        <w:rPr>
          <w:rFonts w:hint="eastAsia" w:ascii="仿宋" w:hAnsi="仿宋" w:eastAsia="仿宋"/>
          <w:sz w:val="32"/>
          <w:szCs w:val="32"/>
        </w:rPr>
        <w:t xml:space="preserve">  （十）组织、管理统计人员持证上岗，协助组织管理统计专业技术资格考试和专业技术职务评聘工作。</w:t>
      </w:r>
    </w:p>
    <w:p>
      <w:pPr>
        <w:ind w:firstLine="643" w:firstLineChars="200"/>
        <w:jc w:val="left"/>
        <w:rPr>
          <w:rFonts w:ascii="仿宋" w:hAnsi="仿宋" w:eastAsia="仿宋"/>
          <w:b/>
          <w:sz w:val="32"/>
          <w:szCs w:val="32"/>
        </w:rPr>
      </w:pPr>
      <w:r>
        <w:rPr>
          <w:rFonts w:hint="eastAsia" w:ascii="仿宋" w:hAnsi="仿宋" w:eastAsia="仿宋"/>
          <w:b/>
          <w:sz w:val="32"/>
          <w:szCs w:val="32"/>
        </w:rPr>
        <w:t>二</w:t>
      </w:r>
      <w:r>
        <w:rPr>
          <w:rFonts w:hint="eastAsia" w:ascii="仿宋" w:hAnsi="仿宋" w:eastAsia="仿宋" w:cs="Times New Roman"/>
          <w:b/>
          <w:sz w:val="32"/>
          <w:szCs w:val="32"/>
        </w:rPr>
        <w:t>、</w:t>
      </w:r>
      <w:r>
        <w:rPr>
          <w:rFonts w:hint="eastAsia" w:ascii="仿宋" w:hAnsi="仿宋" w:eastAsia="仿宋"/>
          <w:b/>
          <w:sz w:val="32"/>
          <w:szCs w:val="32"/>
        </w:rPr>
        <w:t>机构设置</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529"/>
        <w:gridCol w:w="1902"/>
        <w:gridCol w:w="189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gridSpan w:val="5"/>
            <w:tcBorders>
              <w:top w:val="nil"/>
              <w:left w:val="nil"/>
              <w:bottom w:val="single" w:color="auto" w:sz="4" w:space="0"/>
              <w:right w:val="nil"/>
            </w:tcBorders>
            <w:shd w:val="clear" w:color="auto" w:fill="auto"/>
            <w:vAlign w:val="center"/>
          </w:tcPr>
          <w:p>
            <w:pPr>
              <w:widowControl/>
              <w:ind w:firstLine="3520" w:firstLineChars="1100"/>
              <w:rPr>
                <w:rFonts w:ascii="仿宋" w:hAnsi="仿宋" w:eastAsia="仿宋"/>
                <w:sz w:val="32"/>
                <w:szCs w:val="32"/>
              </w:rPr>
            </w:pPr>
            <w:r>
              <w:rPr>
                <w:rFonts w:hint="eastAsia" w:ascii="仿宋" w:hAnsi="仿宋" w:eastAsia="仿宋" w:cs="宋体"/>
                <w:color w:val="000000"/>
                <w:kern w:val="0"/>
                <w:sz w:val="32"/>
                <w:szCs w:val="32"/>
              </w:rPr>
              <w:t>部门机构设置情况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tcBorders>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序号</w:t>
            </w:r>
          </w:p>
        </w:tc>
        <w:tc>
          <w:tcPr>
            <w:tcW w:w="2529" w:type="dxa"/>
            <w:tcBorders>
              <w:top w:val="single" w:color="auto" w:sz="4" w:space="0"/>
            </w:tcBorders>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单位名称</w:t>
            </w:r>
          </w:p>
        </w:tc>
        <w:tc>
          <w:tcPr>
            <w:tcW w:w="1902" w:type="dxa"/>
            <w:tcBorders>
              <w:top w:val="single" w:color="auto" w:sz="4" w:space="0"/>
            </w:tcBorders>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单位性质</w:t>
            </w:r>
          </w:p>
        </w:tc>
        <w:tc>
          <w:tcPr>
            <w:tcW w:w="1896" w:type="dxa"/>
            <w:tcBorders>
              <w:top w:val="single" w:color="auto" w:sz="4" w:space="0"/>
            </w:tcBorders>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单位规格</w:t>
            </w:r>
          </w:p>
        </w:tc>
        <w:tc>
          <w:tcPr>
            <w:tcW w:w="2372" w:type="dxa"/>
            <w:tcBorders>
              <w:top w:val="single" w:color="auto" w:sz="4" w:space="0"/>
            </w:tcBorders>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1</w:t>
            </w:r>
          </w:p>
        </w:tc>
        <w:tc>
          <w:tcPr>
            <w:tcW w:w="2529" w:type="dxa"/>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高阳县统计局</w:t>
            </w:r>
          </w:p>
        </w:tc>
        <w:tc>
          <w:tcPr>
            <w:tcW w:w="1902" w:type="dxa"/>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行政</w:t>
            </w:r>
          </w:p>
        </w:tc>
        <w:tc>
          <w:tcPr>
            <w:tcW w:w="1896" w:type="dxa"/>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正科级</w:t>
            </w:r>
          </w:p>
        </w:tc>
        <w:tc>
          <w:tcPr>
            <w:tcW w:w="2372" w:type="dxa"/>
            <w:shd w:val="clear" w:color="auto" w:fill="auto"/>
            <w:vAlign w:val="center"/>
          </w:tcPr>
          <w:p>
            <w:pPr>
              <w:widowControl/>
              <w:jc w:val="center"/>
              <w:rPr>
                <w:rFonts w:ascii="仿宋" w:hAnsi="仿宋" w:eastAsia="仿宋"/>
                <w:sz w:val="32"/>
                <w:szCs w:val="32"/>
              </w:rPr>
            </w:pPr>
            <w:r>
              <w:rPr>
                <w:rFonts w:hint="eastAsia" w:ascii="仿宋" w:hAnsi="仿宋" w:eastAsia="仿宋" w:cs="宋体"/>
                <w:color w:val="000000"/>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2529"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高阳县普查中心</w:t>
            </w:r>
          </w:p>
        </w:tc>
        <w:tc>
          <w:tcPr>
            <w:tcW w:w="190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参照公务员管理</w:t>
            </w:r>
          </w:p>
        </w:tc>
        <w:tc>
          <w:tcPr>
            <w:tcW w:w="1896"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副科级</w:t>
            </w:r>
          </w:p>
        </w:tc>
        <w:tc>
          <w:tcPr>
            <w:tcW w:w="237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p>
        </w:tc>
        <w:tc>
          <w:tcPr>
            <w:tcW w:w="2529"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高阳县农村社会经济调查队</w:t>
            </w:r>
          </w:p>
        </w:tc>
        <w:tc>
          <w:tcPr>
            <w:tcW w:w="190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参照公务员管理</w:t>
            </w:r>
          </w:p>
        </w:tc>
        <w:tc>
          <w:tcPr>
            <w:tcW w:w="1896"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股级</w:t>
            </w:r>
          </w:p>
        </w:tc>
        <w:tc>
          <w:tcPr>
            <w:tcW w:w="237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p>
        </w:tc>
        <w:tc>
          <w:tcPr>
            <w:tcW w:w="2529"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高阳县城市社会经济调查队</w:t>
            </w:r>
          </w:p>
        </w:tc>
        <w:tc>
          <w:tcPr>
            <w:tcW w:w="190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参照公务员管理</w:t>
            </w:r>
          </w:p>
        </w:tc>
        <w:tc>
          <w:tcPr>
            <w:tcW w:w="1896"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股级</w:t>
            </w:r>
          </w:p>
        </w:tc>
        <w:tc>
          <w:tcPr>
            <w:tcW w:w="2372" w:type="dxa"/>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财政拨款</w:t>
            </w:r>
          </w:p>
        </w:tc>
      </w:tr>
    </w:tbl>
    <w:p>
      <w:pPr>
        <w:rPr>
          <w:rFonts w:ascii="仿宋" w:hAnsi="仿宋" w:eastAsia="仿宋"/>
          <w:sz w:val="32"/>
          <w:szCs w:val="32"/>
        </w:rPr>
      </w:pPr>
    </w:p>
    <w:p>
      <w:pPr>
        <w:adjustRightInd w:val="0"/>
        <w:snapToGrid w:val="0"/>
        <w:spacing w:line="360" w:lineRule="auto"/>
        <w:ind w:left="1713" w:firstLine="321" w:firstLineChars="100"/>
        <w:rPr>
          <w:rFonts w:ascii="仿宋" w:hAnsi="仿宋" w:eastAsia="仿宋" w:cs="Times New Roman"/>
          <w:b/>
          <w:sz w:val="32"/>
          <w:szCs w:val="32"/>
        </w:rPr>
      </w:pPr>
      <w:r>
        <w:rPr>
          <w:rFonts w:hint="eastAsia" w:ascii="仿宋" w:hAnsi="仿宋" w:eastAsia="仿宋"/>
          <w:b/>
          <w:sz w:val="32"/>
          <w:szCs w:val="32"/>
        </w:rPr>
        <w:t>第二部分：部门预算安排的总体情况</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1、收入说明</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年高阳县统计局年初部门收入预算总额为2</w:t>
      </w:r>
      <w:r>
        <w:rPr>
          <w:rFonts w:hint="eastAsia" w:ascii="仿宋" w:hAnsi="仿宋" w:eastAsia="仿宋"/>
          <w:sz w:val="32"/>
          <w:szCs w:val="32"/>
          <w:lang w:val="en-US" w:eastAsia="zh-CN"/>
        </w:rPr>
        <w:t>32.95</w:t>
      </w:r>
      <w:r>
        <w:rPr>
          <w:rFonts w:hint="eastAsia" w:ascii="仿宋" w:hAnsi="仿宋" w:eastAsia="仿宋"/>
          <w:sz w:val="32"/>
          <w:szCs w:val="32"/>
        </w:rPr>
        <w:t>万元。</w:t>
      </w:r>
      <w:r>
        <w:rPr>
          <w:rFonts w:hint="eastAsia" w:ascii="仿宋" w:hAnsi="仿宋" w:eastAsia="仿宋"/>
          <w:sz w:val="32"/>
          <w:szCs w:val="32"/>
          <w:lang w:eastAsia="zh-CN"/>
        </w:rPr>
        <w:t>按资金来源，一般预算收入</w:t>
      </w:r>
      <w:r>
        <w:rPr>
          <w:rFonts w:hint="eastAsia" w:ascii="仿宋" w:hAnsi="仿宋" w:eastAsia="仿宋"/>
          <w:sz w:val="32"/>
          <w:szCs w:val="32"/>
          <w:lang w:val="en-US" w:eastAsia="zh-CN"/>
        </w:rPr>
        <w:t>232.95万元，政府性资金收入0万元，财政专户拨款收入0万元，其他收入0万元。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其中：人员经费预算为</w:t>
      </w:r>
      <w:r>
        <w:rPr>
          <w:rFonts w:hint="eastAsia" w:ascii="仿宋" w:hAnsi="仿宋" w:eastAsia="仿宋"/>
          <w:sz w:val="32"/>
          <w:szCs w:val="32"/>
          <w:lang w:val="en-US" w:eastAsia="zh-CN"/>
        </w:rPr>
        <w:t>161.08</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正常公用经费预算为</w:t>
      </w:r>
      <w:r>
        <w:rPr>
          <w:rFonts w:hint="eastAsia" w:ascii="仿宋" w:hAnsi="仿宋" w:eastAsia="仿宋"/>
          <w:sz w:val="32"/>
          <w:szCs w:val="32"/>
          <w:lang w:val="en-US" w:eastAsia="zh-CN"/>
        </w:rPr>
        <w:t>24.03</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专项项目、公用经费预算为</w:t>
      </w:r>
      <w:r>
        <w:rPr>
          <w:rFonts w:hint="eastAsia" w:ascii="仿宋" w:hAnsi="仿宋" w:eastAsia="仿宋"/>
          <w:sz w:val="32"/>
          <w:szCs w:val="32"/>
          <w:lang w:val="en-US" w:eastAsia="zh-CN"/>
        </w:rPr>
        <w:t>47.84</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2、支出说明</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年部门支出安排预算总额2</w:t>
      </w:r>
      <w:r>
        <w:rPr>
          <w:rFonts w:hint="eastAsia" w:ascii="仿宋" w:hAnsi="仿宋" w:eastAsia="仿宋"/>
          <w:sz w:val="32"/>
          <w:szCs w:val="32"/>
          <w:lang w:val="en-US" w:eastAsia="zh-CN"/>
        </w:rPr>
        <w:t>32.95</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基本支出</w:t>
      </w:r>
      <w:r>
        <w:rPr>
          <w:rFonts w:hint="eastAsia" w:ascii="仿宋" w:hAnsi="仿宋" w:eastAsia="仿宋"/>
          <w:sz w:val="32"/>
          <w:szCs w:val="32"/>
          <w:lang w:val="en-US" w:eastAsia="zh-CN"/>
        </w:rPr>
        <w:t>185.11</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其中：人员经费 </w:t>
      </w:r>
      <w:r>
        <w:rPr>
          <w:rFonts w:hint="eastAsia" w:ascii="仿宋" w:hAnsi="仿宋" w:eastAsia="仿宋"/>
          <w:sz w:val="32"/>
          <w:szCs w:val="32"/>
          <w:lang w:val="en-US" w:eastAsia="zh-CN"/>
        </w:rPr>
        <w:t>161.08</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日常公用经费</w:t>
      </w:r>
      <w:r>
        <w:rPr>
          <w:rFonts w:hint="eastAsia" w:ascii="仿宋" w:hAnsi="仿宋" w:eastAsia="仿宋"/>
          <w:sz w:val="32"/>
          <w:szCs w:val="32"/>
          <w:lang w:val="en-US" w:eastAsia="zh-CN"/>
        </w:rPr>
        <w:t>24.03</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项目支出   </w:t>
      </w:r>
      <w:r>
        <w:rPr>
          <w:rFonts w:hint="eastAsia" w:ascii="仿宋" w:hAnsi="仿宋" w:eastAsia="仿宋"/>
          <w:sz w:val="32"/>
          <w:szCs w:val="32"/>
          <w:lang w:val="en-US" w:eastAsia="zh-CN"/>
        </w:rPr>
        <w:t>47.84</w:t>
      </w:r>
      <w:r>
        <w:rPr>
          <w:rFonts w:hint="eastAsia" w:ascii="仿宋" w:hAnsi="仿宋" w:eastAsia="仿宋"/>
          <w:sz w:val="32"/>
          <w:szCs w:val="32"/>
        </w:rPr>
        <w:t>万元</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其中：本级支出 </w:t>
      </w:r>
      <w:r>
        <w:rPr>
          <w:rFonts w:hint="eastAsia" w:ascii="仿宋" w:hAnsi="仿宋" w:eastAsia="仿宋"/>
          <w:sz w:val="32"/>
          <w:szCs w:val="32"/>
          <w:lang w:val="en-US" w:eastAsia="zh-CN"/>
        </w:rPr>
        <w:t>47.84</w:t>
      </w:r>
      <w:r>
        <w:rPr>
          <w:rFonts w:hint="eastAsia" w:ascii="仿宋" w:hAnsi="仿宋" w:eastAsia="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主要用于第四次全国经济普查，人口变动调查，基层统计工作经费，建立统计数据体系平台经费，城乡住户一体化调查工作及县级粮食抽样调查工作等专项业务活动。</w:t>
      </w:r>
    </w:p>
    <w:p>
      <w:pPr>
        <w:tabs>
          <w:tab w:val="left" w:pos="916"/>
        </w:tabs>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3、比上年增减情况</w:t>
      </w:r>
    </w:p>
    <w:p>
      <w:pPr>
        <w:adjustRightInd w:val="0"/>
        <w:snapToGrid w:val="0"/>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本年度预算收支安排为</w:t>
      </w:r>
      <w:r>
        <w:rPr>
          <w:rFonts w:hint="eastAsia" w:ascii="仿宋" w:hAnsi="仿宋" w:eastAsia="仿宋" w:cs="仿宋"/>
          <w:bCs/>
          <w:sz w:val="32"/>
          <w:szCs w:val="32"/>
          <w:lang w:val="en-US" w:eastAsia="zh-CN"/>
        </w:rPr>
        <w:t>232.95</w:t>
      </w:r>
      <w:r>
        <w:rPr>
          <w:rFonts w:hint="eastAsia" w:ascii="仿宋" w:hAnsi="仿宋" w:eastAsia="仿宋" w:cs="仿宋"/>
          <w:bCs/>
          <w:sz w:val="32"/>
          <w:szCs w:val="32"/>
        </w:rPr>
        <w:t>万元，较上年增加</w:t>
      </w:r>
      <w:r>
        <w:rPr>
          <w:rFonts w:hint="eastAsia" w:ascii="仿宋" w:hAnsi="仿宋" w:eastAsia="仿宋" w:cs="仿宋"/>
          <w:bCs/>
          <w:sz w:val="32"/>
          <w:szCs w:val="32"/>
          <w:lang w:val="en-US" w:eastAsia="zh-CN"/>
        </w:rPr>
        <w:t>17.53</w:t>
      </w:r>
      <w:r>
        <w:rPr>
          <w:rFonts w:hint="eastAsia" w:ascii="仿宋" w:hAnsi="仿宋" w:eastAsia="仿宋" w:cs="仿宋"/>
          <w:bCs/>
          <w:sz w:val="32"/>
          <w:szCs w:val="32"/>
        </w:rPr>
        <w:t>万元。其中，基本支出</w:t>
      </w:r>
      <w:r>
        <w:rPr>
          <w:rFonts w:hint="eastAsia" w:ascii="仿宋" w:hAnsi="仿宋" w:eastAsia="仿宋" w:cs="仿宋"/>
          <w:bCs/>
          <w:sz w:val="32"/>
          <w:szCs w:val="32"/>
          <w:lang w:eastAsia="zh-CN"/>
        </w:rPr>
        <w:t>增加</w:t>
      </w:r>
      <w:r>
        <w:rPr>
          <w:rFonts w:hint="eastAsia" w:ascii="仿宋" w:hAnsi="仿宋" w:eastAsia="仿宋" w:cs="仿宋"/>
          <w:bCs/>
          <w:sz w:val="32"/>
          <w:szCs w:val="32"/>
        </w:rPr>
        <w:t>了</w:t>
      </w:r>
      <w:r>
        <w:rPr>
          <w:rFonts w:hint="eastAsia" w:ascii="仿宋" w:hAnsi="仿宋" w:eastAsia="仿宋" w:cs="仿宋"/>
          <w:bCs/>
          <w:sz w:val="32"/>
          <w:szCs w:val="32"/>
          <w:lang w:val="en-US" w:eastAsia="zh-CN"/>
        </w:rPr>
        <w:t>21.11</w:t>
      </w:r>
      <w:r>
        <w:rPr>
          <w:rFonts w:hint="eastAsia" w:ascii="仿宋" w:hAnsi="仿宋" w:eastAsia="仿宋" w:cs="仿宋"/>
          <w:bCs/>
          <w:sz w:val="32"/>
          <w:szCs w:val="32"/>
        </w:rPr>
        <w:t>万元，主要是</w:t>
      </w:r>
      <w:r>
        <w:rPr>
          <w:rFonts w:hint="eastAsia" w:ascii="仿宋" w:hAnsi="仿宋" w:eastAsia="仿宋" w:cs="仿宋"/>
          <w:bCs/>
          <w:sz w:val="32"/>
          <w:szCs w:val="32"/>
          <w:lang w:eastAsia="zh-CN"/>
        </w:rPr>
        <w:t>增加</w:t>
      </w:r>
      <w:r>
        <w:rPr>
          <w:rFonts w:hint="eastAsia" w:ascii="仿宋" w:hAnsi="仿宋" w:eastAsia="仿宋" w:cs="仿宋"/>
          <w:bCs/>
          <w:sz w:val="32"/>
          <w:szCs w:val="32"/>
        </w:rPr>
        <w:t>公务交通</w:t>
      </w:r>
      <w:r>
        <w:rPr>
          <w:rFonts w:hint="eastAsia" w:ascii="仿宋" w:hAnsi="仿宋" w:eastAsia="仿宋" w:cs="仿宋"/>
          <w:bCs/>
          <w:sz w:val="32"/>
          <w:szCs w:val="32"/>
          <w:lang w:eastAsia="zh-CN"/>
        </w:rPr>
        <w:t>补贴</w:t>
      </w:r>
      <w:r>
        <w:rPr>
          <w:rFonts w:hint="eastAsia" w:ascii="仿宋" w:hAnsi="仿宋" w:eastAsia="仿宋" w:cs="仿宋"/>
          <w:bCs/>
          <w:sz w:val="32"/>
          <w:szCs w:val="32"/>
        </w:rPr>
        <w:t>；项目支出</w:t>
      </w:r>
      <w:r>
        <w:rPr>
          <w:rFonts w:hint="eastAsia" w:ascii="仿宋" w:hAnsi="仿宋" w:eastAsia="仿宋" w:cs="仿宋"/>
          <w:bCs/>
          <w:sz w:val="32"/>
          <w:szCs w:val="32"/>
          <w:lang w:eastAsia="zh-CN"/>
        </w:rPr>
        <w:t>减少</w:t>
      </w:r>
      <w:r>
        <w:rPr>
          <w:rFonts w:hint="eastAsia" w:ascii="仿宋" w:hAnsi="仿宋" w:eastAsia="仿宋" w:cs="仿宋"/>
          <w:bCs/>
          <w:sz w:val="32"/>
          <w:szCs w:val="32"/>
        </w:rPr>
        <w:t>了</w:t>
      </w:r>
      <w:r>
        <w:rPr>
          <w:rFonts w:hint="eastAsia" w:ascii="仿宋" w:hAnsi="仿宋" w:eastAsia="仿宋" w:cs="仿宋"/>
          <w:bCs/>
          <w:sz w:val="32"/>
          <w:szCs w:val="32"/>
          <w:lang w:val="en-US" w:eastAsia="zh-CN"/>
        </w:rPr>
        <w:t>3.58</w:t>
      </w:r>
      <w:r>
        <w:rPr>
          <w:rFonts w:hint="eastAsia" w:ascii="仿宋" w:hAnsi="仿宋" w:eastAsia="仿宋" w:cs="仿宋"/>
          <w:bCs/>
          <w:sz w:val="32"/>
          <w:szCs w:val="32"/>
        </w:rPr>
        <w:t>万元，主要是</w:t>
      </w:r>
      <w:r>
        <w:rPr>
          <w:rFonts w:hint="eastAsia" w:ascii="仿宋" w:hAnsi="仿宋" w:eastAsia="仿宋" w:cs="仿宋"/>
          <w:bCs/>
          <w:sz w:val="32"/>
          <w:szCs w:val="32"/>
          <w:lang w:eastAsia="zh-CN"/>
        </w:rPr>
        <w:t>今年没有大型普查补贴发放</w:t>
      </w:r>
      <w:r>
        <w:rPr>
          <w:rFonts w:hint="eastAsia" w:ascii="仿宋" w:hAnsi="仿宋" w:eastAsia="仿宋" w:cs="仿宋"/>
          <w:bCs/>
          <w:sz w:val="32"/>
          <w:szCs w:val="32"/>
        </w:rPr>
        <w:t>。</w:t>
      </w:r>
    </w:p>
    <w:p>
      <w:pPr>
        <w:adjustRightInd w:val="0"/>
        <w:snapToGrid w:val="0"/>
        <w:spacing w:line="360" w:lineRule="auto"/>
        <w:jc w:val="center"/>
        <w:outlineLvl w:val="0"/>
        <w:rPr>
          <w:rFonts w:ascii="仿宋" w:hAnsi="仿宋" w:eastAsia="仿宋" w:cs="Times New Roman"/>
          <w:b/>
          <w:sz w:val="32"/>
          <w:szCs w:val="32"/>
        </w:rPr>
      </w:pPr>
      <w:r>
        <w:rPr>
          <w:rFonts w:hint="eastAsia" w:ascii="仿宋" w:hAnsi="仿宋" w:eastAsia="仿宋"/>
          <w:b/>
          <w:sz w:val="32"/>
          <w:szCs w:val="32"/>
        </w:rPr>
        <w:t>第三部分：机关运行经费安排情况</w:t>
      </w:r>
    </w:p>
    <w:p>
      <w:pPr>
        <w:adjustRightInd w:val="0"/>
        <w:snapToGrid w:val="0"/>
        <w:spacing w:line="360" w:lineRule="auto"/>
        <w:ind w:firstLine="640" w:firstLineChars="200"/>
        <w:jc w:val="left"/>
        <w:outlineLvl w:val="0"/>
        <w:rPr>
          <w:rFonts w:ascii="仿宋" w:hAnsi="仿宋" w:eastAsia="仿宋" w:cs="仿宋"/>
          <w:bCs/>
          <w:sz w:val="32"/>
          <w:szCs w:val="32"/>
        </w:rPr>
      </w:pPr>
      <w:r>
        <w:rPr>
          <w:rFonts w:hint="eastAsia" w:ascii="仿宋" w:hAnsi="仿宋" w:eastAsia="仿宋" w:cs="仿宋"/>
          <w:bCs/>
          <w:sz w:val="32"/>
          <w:szCs w:val="32"/>
        </w:rPr>
        <w:t>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年我单位安排机关运行费</w:t>
      </w:r>
      <w:r>
        <w:rPr>
          <w:rFonts w:hint="eastAsia" w:ascii="仿宋" w:hAnsi="仿宋" w:eastAsia="仿宋" w:cs="仿宋"/>
          <w:bCs/>
          <w:sz w:val="32"/>
          <w:szCs w:val="32"/>
          <w:lang w:val="en-US" w:eastAsia="zh-CN"/>
        </w:rPr>
        <w:t>24.03</w:t>
      </w:r>
      <w:r>
        <w:rPr>
          <w:rFonts w:hint="eastAsia" w:ascii="仿宋" w:hAnsi="仿宋" w:eastAsia="仿宋" w:cs="仿宋"/>
          <w:bCs/>
          <w:sz w:val="32"/>
          <w:szCs w:val="32"/>
        </w:rPr>
        <w:t>万元，其中办公费3.</w:t>
      </w:r>
      <w:r>
        <w:rPr>
          <w:rFonts w:hint="eastAsia" w:ascii="仿宋" w:hAnsi="仿宋" w:eastAsia="仿宋" w:cs="仿宋"/>
          <w:bCs/>
          <w:sz w:val="32"/>
          <w:szCs w:val="32"/>
          <w:lang w:val="en-US" w:eastAsia="zh-CN"/>
        </w:rPr>
        <w:t>78</w:t>
      </w:r>
      <w:r>
        <w:rPr>
          <w:rFonts w:hint="eastAsia" w:ascii="仿宋" w:hAnsi="仿宋" w:eastAsia="仿宋" w:cs="仿宋"/>
          <w:bCs/>
          <w:sz w:val="32"/>
          <w:szCs w:val="32"/>
        </w:rPr>
        <w:t>万元、邮电费</w:t>
      </w:r>
      <w:r>
        <w:rPr>
          <w:rFonts w:hint="eastAsia" w:ascii="仿宋" w:hAnsi="仿宋" w:eastAsia="仿宋" w:cs="仿宋"/>
          <w:bCs/>
          <w:sz w:val="32"/>
          <w:szCs w:val="32"/>
          <w:lang w:val="en-US" w:eastAsia="zh-CN"/>
        </w:rPr>
        <w:t>4.83</w:t>
      </w:r>
      <w:r>
        <w:rPr>
          <w:rFonts w:hint="eastAsia" w:ascii="仿宋" w:hAnsi="仿宋" w:eastAsia="仿宋" w:cs="仿宋"/>
          <w:bCs/>
          <w:sz w:val="32"/>
          <w:szCs w:val="32"/>
        </w:rPr>
        <w:t>万元、差旅费0.5万元、公务用车运行维护费2万元、劳务费1万元、公务接待费0.7万元</w:t>
      </w:r>
      <w:r>
        <w:rPr>
          <w:rFonts w:hint="eastAsia" w:ascii="仿宋" w:hAnsi="仿宋" w:eastAsia="仿宋" w:cs="仿宋"/>
          <w:bCs/>
          <w:sz w:val="32"/>
          <w:szCs w:val="32"/>
          <w:lang w:eastAsia="zh-CN"/>
        </w:rPr>
        <w:t>、公务交通补贴费</w:t>
      </w:r>
      <w:r>
        <w:rPr>
          <w:rFonts w:hint="eastAsia" w:ascii="仿宋" w:hAnsi="仿宋" w:eastAsia="仿宋" w:cs="仿宋"/>
          <w:bCs/>
          <w:sz w:val="32"/>
          <w:szCs w:val="32"/>
          <w:lang w:val="en-US" w:eastAsia="zh-CN"/>
        </w:rPr>
        <w:t>11.22万元</w:t>
      </w:r>
      <w:r>
        <w:rPr>
          <w:rFonts w:hint="eastAsia" w:ascii="仿宋" w:hAnsi="仿宋" w:eastAsia="仿宋" w:cs="仿宋"/>
          <w:bCs/>
          <w:sz w:val="32"/>
          <w:szCs w:val="32"/>
        </w:rPr>
        <w:t>。</w:t>
      </w:r>
    </w:p>
    <w:p>
      <w:pPr>
        <w:adjustRightInd w:val="0"/>
        <w:snapToGrid w:val="0"/>
        <w:spacing w:line="360" w:lineRule="auto"/>
        <w:jc w:val="center"/>
        <w:outlineLvl w:val="0"/>
        <w:rPr>
          <w:rFonts w:ascii="仿宋" w:hAnsi="仿宋" w:eastAsia="仿宋" w:cs="Times New Roman"/>
          <w:b/>
          <w:sz w:val="32"/>
          <w:szCs w:val="32"/>
        </w:rPr>
      </w:pPr>
      <w:r>
        <w:rPr>
          <w:rFonts w:hint="eastAsia" w:ascii="仿宋" w:hAnsi="仿宋" w:eastAsia="仿宋"/>
          <w:b/>
          <w:sz w:val="32"/>
          <w:szCs w:val="32"/>
        </w:rPr>
        <w:t>第四部分：财政拨款“三公”经费预算情况及增减变化原因</w:t>
      </w:r>
    </w:p>
    <w:p>
      <w:pPr>
        <w:adjustRightInd w:val="0"/>
        <w:snapToGrid w:val="0"/>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年三公经费预算安排</w:t>
      </w:r>
      <w:r>
        <w:rPr>
          <w:rFonts w:hint="eastAsia" w:ascii="仿宋" w:hAnsi="仿宋" w:eastAsia="仿宋" w:cs="仿宋"/>
          <w:bCs/>
          <w:sz w:val="32"/>
          <w:szCs w:val="32"/>
          <w:lang w:val="en-US" w:eastAsia="zh-CN"/>
        </w:rPr>
        <w:t>2.7</w:t>
      </w:r>
      <w:r>
        <w:rPr>
          <w:rFonts w:hint="eastAsia" w:ascii="仿宋" w:hAnsi="仿宋" w:eastAsia="仿宋" w:cs="仿宋"/>
          <w:bCs/>
          <w:sz w:val="32"/>
          <w:szCs w:val="32"/>
        </w:rPr>
        <w:t>万元，较去年</w:t>
      </w:r>
      <w:r>
        <w:rPr>
          <w:rFonts w:hint="eastAsia" w:ascii="仿宋" w:hAnsi="仿宋" w:eastAsia="仿宋" w:cs="仿宋"/>
          <w:bCs/>
          <w:sz w:val="32"/>
          <w:szCs w:val="32"/>
          <w:lang w:val="en-US" w:eastAsia="zh-CN"/>
        </w:rPr>
        <w:t>2.75</w:t>
      </w:r>
      <w:r>
        <w:rPr>
          <w:rFonts w:hint="eastAsia" w:ascii="仿宋" w:hAnsi="仿宋" w:eastAsia="仿宋" w:cs="仿宋"/>
          <w:bCs/>
          <w:sz w:val="32"/>
          <w:szCs w:val="32"/>
        </w:rPr>
        <w:t>万有所减少。其中，因公出国经费0</w:t>
      </w:r>
      <w:r>
        <w:rPr>
          <w:rFonts w:hint="eastAsia" w:ascii="仿宋" w:hAnsi="仿宋" w:eastAsia="仿宋" w:cs="仿宋"/>
          <w:bCs/>
          <w:sz w:val="32"/>
          <w:szCs w:val="32"/>
          <w:lang w:eastAsia="zh-CN"/>
        </w:rPr>
        <w:t>万</w:t>
      </w:r>
      <w:r>
        <w:rPr>
          <w:rFonts w:hint="eastAsia" w:ascii="仿宋" w:hAnsi="仿宋" w:eastAsia="仿宋" w:cs="仿宋"/>
          <w:bCs/>
          <w:sz w:val="32"/>
          <w:szCs w:val="32"/>
        </w:rPr>
        <w:t>元；公务用车费用2万元;公务招待费0.7</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w:t>
      </w:r>
    </w:p>
    <w:p>
      <w:pPr>
        <w:adjustRightInd w:val="0"/>
        <w:snapToGrid w:val="0"/>
        <w:spacing w:line="360" w:lineRule="auto"/>
        <w:ind w:firstLine="640" w:firstLineChars="200"/>
        <w:jc w:val="left"/>
        <w:rPr>
          <w:rFonts w:ascii="仿宋" w:hAnsi="仿宋" w:eastAsia="仿宋" w:cs="仿宋"/>
          <w:bCs/>
          <w:sz w:val="32"/>
          <w:szCs w:val="32"/>
        </w:rPr>
      </w:pPr>
      <w:r>
        <w:rPr>
          <w:rFonts w:hint="eastAsia" w:ascii="仿宋" w:hAnsi="仿宋" w:eastAsia="仿宋" w:cs="仿宋"/>
          <w:bCs/>
          <w:sz w:val="32"/>
          <w:szCs w:val="32"/>
        </w:rPr>
        <w:t>按照“三公”经费支出的有关规定，我们严格控制“三公”经费支出，推进“三公”经费管理规范化、制度化，节约化，“三公”经费逐年递减。</w:t>
      </w:r>
    </w:p>
    <w:tbl>
      <w:tblPr>
        <w:tblStyle w:val="4"/>
        <w:tblW w:w="10083" w:type="dxa"/>
        <w:tblInd w:w="0" w:type="dxa"/>
        <w:tblLayout w:type="fixed"/>
        <w:tblCellMar>
          <w:top w:w="0" w:type="dxa"/>
          <w:left w:w="108" w:type="dxa"/>
          <w:bottom w:w="0" w:type="dxa"/>
          <w:right w:w="108" w:type="dxa"/>
        </w:tblCellMar>
      </w:tblPr>
      <w:tblGrid>
        <w:gridCol w:w="2424"/>
        <w:gridCol w:w="2310"/>
        <w:gridCol w:w="2235"/>
        <w:gridCol w:w="1549"/>
        <w:gridCol w:w="1565"/>
      </w:tblGrid>
      <w:tr>
        <w:tblPrEx>
          <w:tblCellMar>
            <w:top w:w="0" w:type="dxa"/>
            <w:left w:w="108" w:type="dxa"/>
            <w:bottom w:w="0" w:type="dxa"/>
            <w:right w:w="108" w:type="dxa"/>
          </w:tblCellMar>
        </w:tblPrEx>
        <w:trPr>
          <w:trHeight w:val="745" w:hRule="atLeast"/>
        </w:trPr>
        <w:tc>
          <w:tcPr>
            <w:tcW w:w="10083" w:type="dxa"/>
            <w:gridSpan w:val="5"/>
            <w:tcBorders>
              <w:top w:val="nil"/>
              <w:left w:val="nil"/>
              <w:bottom w:val="nil"/>
              <w:right w:val="nil"/>
            </w:tcBorders>
            <w:shd w:val="clear" w:color="auto" w:fill="auto"/>
            <w:vAlign w:val="center"/>
          </w:tcPr>
          <w:p>
            <w:pPr>
              <w:widowControl/>
              <w:spacing w:line="520" w:lineRule="exact"/>
              <w:jc w:val="center"/>
              <w:rPr>
                <w:rFonts w:ascii="仿宋" w:hAnsi="仿宋" w:eastAsia="仿宋"/>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85" w:hRule="atLeast"/>
        </w:trPr>
        <w:tc>
          <w:tcPr>
            <w:tcW w:w="2424" w:type="dxa"/>
            <w:tcBorders>
              <w:top w:val="nil"/>
              <w:left w:val="nil"/>
              <w:bottom w:val="nil"/>
              <w:right w:val="nil"/>
            </w:tcBorders>
            <w:shd w:val="clear" w:color="auto" w:fill="auto"/>
            <w:vAlign w:val="center"/>
          </w:tcPr>
          <w:p>
            <w:pPr>
              <w:widowControl/>
              <w:jc w:val="left"/>
              <w:rPr>
                <w:rFonts w:ascii="仿宋" w:hAnsi="仿宋" w:eastAsia="仿宋" w:cs="宋体"/>
                <w:kern w:val="0"/>
                <w:sz w:val="32"/>
                <w:szCs w:val="32"/>
              </w:rPr>
            </w:pPr>
          </w:p>
        </w:tc>
        <w:tc>
          <w:tcPr>
            <w:tcW w:w="2310" w:type="dxa"/>
            <w:tcBorders>
              <w:top w:val="nil"/>
              <w:left w:val="nil"/>
              <w:bottom w:val="nil"/>
              <w:right w:val="nil"/>
            </w:tcBorders>
            <w:shd w:val="clear" w:color="auto" w:fill="auto"/>
            <w:vAlign w:val="center"/>
          </w:tcPr>
          <w:p>
            <w:pPr>
              <w:widowControl/>
              <w:jc w:val="left"/>
              <w:rPr>
                <w:rFonts w:ascii="仿宋" w:hAnsi="仿宋" w:eastAsia="仿宋" w:cs="宋体"/>
                <w:kern w:val="0"/>
                <w:sz w:val="32"/>
                <w:szCs w:val="32"/>
              </w:rPr>
            </w:pPr>
          </w:p>
        </w:tc>
        <w:tc>
          <w:tcPr>
            <w:tcW w:w="2235" w:type="dxa"/>
            <w:tcBorders>
              <w:top w:val="nil"/>
              <w:left w:val="nil"/>
              <w:bottom w:val="nil"/>
              <w:right w:val="nil"/>
            </w:tcBorders>
            <w:shd w:val="clear" w:color="auto" w:fill="auto"/>
            <w:vAlign w:val="center"/>
          </w:tcPr>
          <w:p>
            <w:pPr>
              <w:widowControl/>
              <w:jc w:val="left"/>
              <w:rPr>
                <w:rFonts w:ascii="仿宋" w:hAnsi="仿宋" w:eastAsia="仿宋" w:cs="宋体"/>
                <w:kern w:val="0"/>
                <w:sz w:val="32"/>
                <w:szCs w:val="32"/>
              </w:rPr>
            </w:pPr>
          </w:p>
        </w:tc>
        <w:tc>
          <w:tcPr>
            <w:tcW w:w="1549" w:type="dxa"/>
            <w:tcBorders>
              <w:top w:val="nil"/>
              <w:left w:val="nil"/>
              <w:bottom w:val="nil"/>
              <w:right w:val="nil"/>
            </w:tcBorders>
            <w:shd w:val="clear" w:color="auto" w:fill="auto"/>
            <w:vAlign w:val="center"/>
          </w:tcPr>
          <w:p>
            <w:pPr>
              <w:widowControl/>
              <w:jc w:val="left"/>
              <w:rPr>
                <w:rFonts w:ascii="仿宋" w:hAnsi="仿宋" w:eastAsia="仿宋" w:cs="宋体"/>
                <w:kern w:val="0"/>
                <w:sz w:val="32"/>
                <w:szCs w:val="32"/>
              </w:rPr>
            </w:pPr>
          </w:p>
        </w:tc>
        <w:tc>
          <w:tcPr>
            <w:tcW w:w="1565" w:type="dxa"/>
            <w:tcBorders>
              <w:top w:val="nil"/>
              <w:left w:val="nil"/>
              <w:bottom w:val="nil"/>
              <w:right w:val="nil"/>
            </w:tcBorders>
            <w:shd w:val="clear" w:color="auto" w:fill="auto"/>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单位：万元</w:t>
            </w:r>
          </w:p>
        </w:tc>
      </w:tr>
      <w:tr>
        <w:tblPrEx>
          <w:tblCellMar>
            <w:top w:w="0" w:type="dxa"/>
            <w:left w:w="108" w:type="dxa"/>
            <w:bottom w:w="0" w:type="dxa"/>
            <w:right w:w="108" w:type="dxa"/>
          </w:tblCellMar>
        </w:tblPrEx>
        <w:trPr>
          <w:trHeight w:val="892" w:hRule="atLeast"/>
        </w:trPr>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项目名称</w:t>
            </w:r>
          </w:p>
        </w:tc>
        <w:tc>
          <w:tcPr>
            <w:tcW w:w="23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201</w:t>
            </w:r>
            <w:r>
              <w:rPr>
                <w:rFonts w:hint="eastAsia" w:ascii="仿宋" w:hAnsi="仿宋" w:eastAsia="仿宋" w:cs="宋体"/>
                <w:kern w:val="0"/>
                <w:sz w:val="24"/>
                <w:lang w:val="en-US" w:eastAsia="zh-CN"/>
              </w:rPr>
              <w:t>7</w:t>
            </w:r>
            <w:r>
              <w:rPr>
                <w:rFonts w:hint="eastAsia" w:ascii="仿宋" w:hAnsi="仿宋" w:eastAsia="仿宋" w:cs="宋体"/>
                <w:kern w:val="0"/>
                <w:sz w:val="24"/>
              </w:rPr>
              <w:t>年度预算</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201</w:t>
            </w:r>
            <w:r>
              <w:rPr>
                <w:rFonts w:hint="eastAsia" w:ascii="仿宋" w:hAnsi="仿宋" w:eastAsia="仿宋" w:cs="宋体"/>
                <w:kern w:val="0"/>
                <w:sz w:val="24"/>
                <w:lang w:val="en-US" w:eastAsia="zh-CN"/>
              </w:rPr>
              <w:t>8</w:t>
            </w:r>
            <w:r>
              <w:rPr>
                <w:rFonts w:hint="eastAsia" w:ascii="仿宋" w:hAnsi="仿宋" w:eastAsia="仿宋" w:cs="宋体"/>
                <w:kern w:val="0"/>
                <w:sz w:val="24"/>
              </w:rPr>
              <w:t>年度预算</w:t>
            </w:r>
          </w:p>
        </w:tc>
        <w:tc>
          <w:tcPr>
            <w:tcW w:w="15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增减金额</w:t>
            </w:r>
          </w:p>
        </w:tc>
        <w:tc>
          <w:tcPr>
            <w:tcW w:w="15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变化原因</w:t>
            </w:r>
          </w:p>
        </w:tc>
      </w:tr>
      <w:tr>
        <w:tblPrEx>
          <w:tblCellMar>
            <w:top w:w="0" w:type="dxa"/>
            <w:left w:w="108" w:type="dxa"/>
            <w:bottom w:w="0" w:type="dxa"/>
            <w:right w:w="108" w:type="dxa"/>
          </w:tblCellMar>
        </w:tblPrEx>
        <w:trPr>
          <w:trHeight w:val="800" w:hRule="atLeast"/>
        </w:trPr>
        <w:tc>
          <w:tcPr>
            <w:tcW w:w="2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eastAsia="zh-CN"/>
              </w:rPr>
              <w:t>合计</w:t>
            </w:r>
          </w:p>
        </w:tc>
        <w:tc>
          <w:tcPr>
            <w:tcW w:w="23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2.75</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2.7</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val="en-US" w:eastAsia="zh-CN"/>
              </w:rPr>
            </w:pPr>
            <w:r>
              <w:rPr>
                <w:rFonts w:hint="eastAsia" w:ascii="仿宋" w:hAnsi="仿宋" w:eastAsia="仿宋" w:cs="宋体"/>
                <w:kern w:val="0"/>
                <w:sz w:val="24"/>
                <w:lang w:val="en-US" w:eastAsia="zh-CN"/>
              </w:rPr>
              <w:t>-0.05</w:t>
            </w:r>
          </w:p>
        </w:tc>
        <w:tc>
          <w:tcPr>
            <w:tcW w:w="156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 w:val="24"/>
              </w:rPr>
            </w:pPr>
            <w:r>
              <w:rPr>
                <w:rFonts w:hint="eastAsia" w:ascii="仿宋" w:hAnsi="仿宋" w:eastAsia="仿宋" w:cs="宋体"/>
                <w:kern w:val="0"/>
                <w:sz w:val="24"/>
              </w:rPr>
              <w:t>厉行节俭，杜绝浪费。</w:t>
            </w:r>
          </w:p>
        </w:tc>
      </w:tr>
      <w:tr>
        <w:tblPrEx>
          <w:tblCellMar>
            <w:top w:w="0" w:type="dxa"/>
            <w:left w:w="108" w:type="dxa"/>
            <w:bottom w:w="0" w:type="dxa"/>
            <w:right w:w="108" w:type="dxa"/>
          </w:tblCellMar>
        </w:tblPrEx>
        <w:trPr>
          <w:trHeight w:val="849" w:hRule="atLeast"/>
        </w:trPr>
        <w:tc>
          <w:tcPr>
            <w:tcW w:w="2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因公出国经费</w:t>
            </w:r>
          </w:p>
        </w:tc>
        <w:tc>
          <w:tcPr>
            <w:tcW w:w="23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c>
          <w:tcPr>
            <w:tcW w:w="156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与上年持平，无增减变化</w:t>
            </w:r>
          </w:p>
        </w:tc>
      </w:tr>
      <w:tr>
        <w:tblPrEx>
          <w:tblCellMar>
            <w:top w:w="0" w:type="dxa"/>
            <w:left w:w="108" w:type="dxa"/>
            <w:bottom w:w="0" w:type="dxa"/>
            <w:right w:w="108" w:type="dxa"/>
          </w:tblCellMar>
        </w:tblPrEx>
        <w:trPr>
          <w:trHeight w:val="1428" w:hRule="atLeast"/>
        </w:trPr>
        <w:tc>
          <w:tcPr>
            <w:tcW w:w="2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公务用车购置与运行维护费</w:t>
            </w:r>
          </w:p>
        </w:tc>
        <w:tc>
          <w:tcPr>
            <w:tcW w:w="23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2</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0</w:t>
            </w:r>
          </w:p>
        </w:tc>
        <w:tc>
          <w:tcPr>
            <w:tcW w:w="156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与上年持平，无增减变化</w:t>
            </w:r>
          </w:p>
        </w:tc>
      </w:tr>
      <w:tr>
        <w:tblPrEx>
          <w:tblCellMar>
            <w:top w:w="0" w:type="dxa"/>
            <w:left w:w="108" w:type="dxa"/>
            <w:bottom w:w="0" w:type="dxa"/>
            <w:right w:w="108" w:type="dxa"/>
          </w:tblCellMar>
        </w:tblPrEx>
        <w:trPr>
          <w:trHeight w:val="1090" w:hRule="atLeast"/>
        </w:trPr>
        <w:tc>
          <w:tcPr>
            <w:tcW w:w="2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公务接待费</w:t>
            </w:r>
          </w:p>
          <w:p>
            <w:pPr>
              <w:widowControl/>
              <w:jc w:val="center"/>
              <w:rPr>
                <w:rFonts w:ascii="仿宋" w:hAnsi="仿宋" w:eastAsia="仿宋" w:cs="宋体"/>
                <w:kern w:val="0"/>
                <w:sz w:val="24"/>
              </w:rPr>
            </w:pPr>
            <w:r>
              <w:rPr>
                <w:rFonts w:hint="eastAsia" w:ascii="仿宋" w:hAnsi="仿宋" w:eastAsia="仿宋" w:cs="宋体"/>
                <w:kern w:val="0"/>
                <w:sz w:val="24"/>
              </w:rPr>
              <w:t>支出</w:t>
            </w:r>
          </w:p>
        </w:tc>
        <w:tc>
          <w:tcPr>
            <w:tcW w:w="231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0.75</w:t>
            </w:r>
          </w:p>
        </w:tc>
        <w:tc>
          <w:tcPr>
            <w:tcW w:w="22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0.7</w:t>
            </w:r>
            <w:r>
              <w:rPr>
                <w:rFonts w:hint="eastAsia" w:ascii="仿宋" w:hAnsi="仿宋" w:eastAsia="仿宋" w:cs="宋体"/>
                <w:kern w:val="0"/>
                <w:sz w:val="24"/>
                <w:lang w:val="en-US" w:eastAsia="zh-CN"/>
              </w:rPr>
              <w:t>0</w:t>
            </w:r>
          </w:p>
        </w:tc>
        <w:tc>
          <w:tcPr>
            <w:tcW w:w="15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r>
              <w:rPr>
                <w:rFonts w:hint="eastAsia" w:ascii="仿宋" w:hAnsi="仿宋" w:eastAsia="仿宋" w:cs="宋体"/>
                <w:kern w:val="0"/>
                <w:sz w:val="24"/>
                <w:lang w:val="en-US" w:eastAsia="zh-CN"/>
              </w:rPr>
              <w:t>05</w:t>
            </w:r>
          </w:p>
        </w:tc>
        <w:tc>
          <w:tcPr>
            <w:tcW w:w="156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厉行节俭，杜绝浪费。</w:t>
            </w:r>
          </w:p>
        </w:tc>
      </w:tr>
    </w:tbl>
    <w:p>
      <w:pPr>
        <w:adjustRightInd w:val="0"/>
        <w:snapToGrid w:val="0"/>
        <w:spacing w:line="360" w:lineRule="auto"/>
        <w:ind w:firstLine="640" w:firstLineChars="200"/>
        <w:jc w:val="left"/>
        <w:rPr>
          <w:rFonts w:ascii="仿宋" w:hAnsi="仿宋" w:eastAsia="仿宋" w:cs="仿宋"/>
          <w:bCs/>
          <w:sz w:val="32"/>
          <w:szCs w:val="32"/>
        </w:rPr>
      </w:pPr>
    </w:p>
    <w:p>
      <w:pPr>
        <w:jc w:val="center"/>
        <w:outlineLvl w:val="0"/>
        <w:rPr>
          <w:rFonts w:ascii="黑体" w:hAnsi="黑体" w:eastAsia="黑体" w:cs="Times New Roman"/>
          <w:sz w:val="32"/>
          <w:szCs w:val="32"/>
        </w:rPr>
      </w:pPr>
      <w:r>
        <w:rPr>
          <w:rFonts w:hint="eastAsia" w:ascii="黑体" w:hAnsi="黑体" w:eastAsia="黑体"/>
          <w:sz w:val="32"/>
          <w:szCs w:val="32"/>
        </w:rPr>
        <w:t>第五部分：绩效预算信息</w:t>
      </w:r>
    </w:p>
    <w:p>
      <w:pPr>
        <w:adjustRightInd w:val="0"/>
        <w:snapToGrid w:val="0"/>
        <w:spacing w:line="360" w:lineRule="auto"/>
        <w:ind w:firstLine="643" w:firstLineChars="200"/>
        <w:jc w:val="left"/>
        <w:rPr>
          <w:rFonts w:ascii="黑体" w:hAnsi="黑体" w:eastAsia="黑体" w:cs="Times New Roman"/>
          <w:b/>
          <w:sz w:val="32"/>
          <w:szCs w:val="32"/>
        </w:rPr>
      </w:pPr>
      <w:r>
        <w:rPr>
          <w:rFonts w:hint="eastAsia" w:ascii="黑体" w:hAnsi="黑体" w:eastAsia="黑体"/>
          <w:b/>
          <w:sz w:val="32"/>
          <w:szCs w:val="32"/>
        </w:rPr>
        <w:t>一、</w:t>
      </w:r>
      <w:r>
        <w:rPr>
          <w:rFonts w:hint="eastAsia" w:ascii="黑体" w:hAnsi="黑体" w:eastAsia="黑体"/>
          <w:sz w:val="32"/>
          <w:szCs w:val="32"/>
        </w:rPr>
        <w:t>总体绩效目标</w:t>
      </w:r>
      <w:r>
        <w:rPr>
          <w:rFonts w:hint="eastAsia" w:ascii="黑体" w:hAnsi="黑体" w:eastAsia="黑体"/>
          <w:b/>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年，我局紧紧围绕县委、县政府中心工作，高标定位各项任务目标，重点抓好以下几方面的工作：</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继续完善统计联网直报工作，完善企业统计台账，落实联网直报各项要求，严把基层报表质量。确保按时完成各专业数据上报任务；</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全力做好农业普查入户调查工作要明确思路，熟悉流程，按照调查方案扎实推进，要在人员组织、设备落实、经费预算、宣传发动、入户调查等各环节做到心中有数。</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加强分析强化服务。做好月度季度的主要经济指标预警和分析，向县委、县政府报告统计数据结果及情况分析，做好我县重点领域情况的分析，为县委、县政府重要决策和重点工作提供数据参考，为相关部门开展工作提供统计服务。</w:t>
      </w:r>
    </w:p>
    <w:p>
      <w:pPr>
        <w:numPr>
          <w:ilvl w:val="0"/>
          <w:numId w:val="1"/>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认真做好各项专项调查，规范调查程序，确保调查质量，保证各项调查任务高质量的完成。</w:t>
      </w:r>
    </w:p>
    <w:p>
      <w:pPr>
        <w:numPr>
          <w:ilvl w:val="0"/>
          <w:numId w:val="1"/>
        </w:numPr>
        <w:adjustRightInd w:val="0"/>
        <w:snapToGrid w:val="0"/>
        <w:spacing w:line="360" w:lineRule="auto"/>
        <w:ind w:firstLine="640" w:firstLineChars="200"/>
        <w:rPr>
          <w:rFonts w:ascii="仿宋" w:hAnsi="仿宋" w:eastAsia="仿宋" w:cs="仿宋"/>
          <w:sz w:val="32"/>
        </w:rPr>
      </w:pPr>
      <w:r>
        <w:rPr>
          <w:rFonts w:hint="eastAsia" w:ascii="仿宋" w:hAnsi="仿宋" w:eastAsia="仿宋" w:cs="仿宋"/>
          <w:sz w:val="32"/>
          <w:szCs w:val="32"/>
        </w:rPr>
        <w:t>加强统计队伍建设，强化干部队伍政治思想培养，不断改进工作作风，实施业务培训计划，借助统计年报会、农业普查培训会和专业培训会，对县、乡、村以及入统企事业单位统计人员进行统计业务培训，全面提升基层统计人员业务素质。</w:t>
      </w:r>
    </w:p>
    <w:p>
      <w:pPr>
        <w:adjustRightInd w:val="0"/>
        <w:snapToGrid w:val="0"/>
        <w:spacing w:line="360" w:lineRule="auto"/>
        <w:jc w:val="center"/>
        <w:outlineLvl w:val="0"/>
        <w:rPr>
          <w:rFonts w:ascii="黑体" w:hAnsi="黑体" w:eastAsia="黑体"/>
          <w:kern w:val="0"/>
          <w:sz w:val="32"/>
          <w:szCs w:val="32"/>
        </w:rPr>
      </w:pPr>
      <w:bookmarkStart w:id="0" w:name="_Toc476130469"/>
      <w:bookmarkStart w:id="1" w:name="_Toc476062461"/>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both"/>
        <w:outlineLvl w:val="0"/>
        <w:rPr>
          <w:rFonts w:ascii="黑体" w:hAnsi="黑体" w:eastAsia="黑体"/>
          <w:kern w:val="0"/>
          <w:sz w:val="32"/>
          <w:szCs w:val="32"/>
        </w:rPr>
        <w:sectPr>
          <w:pgSz w:w="11907" w:h="16839"/>
          <w:pgMar w:top="1361" w:right="1020" w:bottom="1361" w:left="1020" w:header="851" w:footer="992" w:gutter="0"/>
          <w:cols w:space="720" w:num="1"/>
          <w:docGrid w:type="lines" w:linePitch="312" w:charSpace="0"/>
        </w:sectPr>
      </w:pPr>
    </w:p>
    <w:p>
      <w:pPr>
        <w:adjustRightInd w:val="0"/>
        <w:snapToGrid w:val="0"/>
        <w:spacing w:line="360" w:lineRule="auto"/>
        <w:jc w:val="center"/>
        <w:outlineLvl w:val="0"/>
        <w:rPr>
          <w:rFonts w:ascii="黑体" w:hAnsi="黑体" w:eastAsia="黑体"/>
          <w:kern w:val="0"/>
          <w:sz w:val="32"/>
          <w:szCs w:val="32"/>
        </w:rPr>
      </w:pPr>
    </w:p>
    <w:p>
      <w:pPr>
        <w:adjustRightInd w:val="0"/>
        <w:snapToGrid w:val="0"/>
        <w:spacing w:line="360" w:lineRule="auto"/>
        <w:jc w:val="left"/>
        <w:outlineLvl w:val="0"/>
        <w:rPr>
          <w:rFonts w:ascii="黑体" w:hAnsi="黑体" w:eastAsia="黑体" w:cs="Times New Roman"/>
          <w:b/>
          <w:sz w:val="32"/>
          <w:szCs w:val="22"/>
        </w:rPr>
      </w:pPr>
      <w:r>
        <w:rPr>
          <w:rFonts w:hint="eastAsia" w:ascii="黑体" w:hAnsi="黑体" w:eastAsia="黑体"/>
          <w:kern w:val="0"/>
          <w:sz w:val="32"/>
          <w:szCs w:val="32"/>
        </w:rPr>
        <w:t>二、</w:t>
      </w:r>
      <w:r>
        <w:rPr>
          <w:rFonts w:hint="eastAsia" w:ascii="黑体" w:hAnsi="黑体" w:eastAsia="黑体"/>
          <w:b/>
          <w:sz w:val="32"/>
        </w:rPr>
        <w:t>部门职责-工作活动绩效目标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410高阳县统计局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sz w:val="28"/>
                <w:szCs w:val="28"/>
              </w:rPr>
            </w:pPr>
            <w:r>
              <w:rPr>
                <w:rFonts w:hint="eastAsia" w:ascii="仿宋" w:hAnsi="仿宋" w:eastAsia="仿宋" w:cs="仿宋"/>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职责活动</w:t>
            </w:r>
          </w:p>
        </w:tc>
        <w:tc>
          <w:tcPr>
            <w:tcW w:w="1276"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年度预算数</w:t>
            </w:r>
          </w:p>
        </w:tc>
        <w:tc>
          <w:tcPr>
            <w:tcW w:w="2976"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内容描述</w:t>
            </w:r>
          </w:p>
        </w:tc>
        <w:tc>
          <w:tcPr>
            <w:tcW w:w="2976"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绩效目标</w:t>
            </w:r>
          </w:p>
        </w:tc>
        <w:tc>
          <w:tcPr>
            <w:tcW w:w="1417"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绩效指标</w:t>
            </w:r>
          </w:p>
        </w:tc>
        <w:tc>
          <w:tcPr>
            <w:tcW w:w="2948" w:type="dxa"/>
            <w:gridSpan w:val="4"/>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仿宋"/>
                <w:sz w:val="28"/>
                <w:szCs w:val="28"/>
              </w:rPr>
            </w:pPr>
          </w:p>
        </w:tc>
        <w:tc>
          <w:tcPr>
            <w:tcW w:w="1276" w:type="dxa"/>
            <w:vMerge w:val="continue"/>
            <w:vAlign w:val="center"/>
          </w:tcPr>
          <w:p>
            <w:pPr>
              <w:spacing w:line="300" w:lineRule="exact"/>
              <w:jc w:val="left"/>
              <w:outlineLvl w:val="0"/>
              <w:rPr>
                <w:rFonts w:ascii="仿宋" w:hAnsi="仿宋" w:eastAsia="仿宋" w:cs="仿宋"/>
                <w:sz w:val="28"/>
                <w:szCs w:val="28"/>
              </w:rPr>
            </w:pPr>
          </w:p>
        </w:tc>
        <w:tc>
          <w:tcPr>
            <w:tcW w:w="2976" w:type="dxa"/>
            <w:vMerge w:val="continue"/>
            <w:vAlign w:val="center"/>
          </w:tcPr>
          <w:p>
            <w:pPr>
              <w:spacing w:line="300" w:lineRule="exact"/>
              <w:jc w:val="left"/>
              <w:outlineLvl w:val="0"/>
              <w:rPr>
                <w:rFonts w:ascii="仿宋" w:hAnsi="仿宋" w:eastAsia="仿宋" w:cs="仿宋"/>
                <w:sz w:val="28"/>
                <w:szCs w:val="28"/>
              </w:rPr>
            </w:pPr>
          </w:p>
        </w:tc>
        <w:tc>
          <w:tcPr>
            <w:tcW w:w="2976" w:type="dxa"/>
            <w:vMerge w:val="continue"/>
            <w:vAlign w:val="center"/>
          </w:tcPr>
          <w:p>
            <w:pPr>
              <w:spacing w:line="300" w:lineRule="exact"/>
              <w:jc w:val="left"/>
              <w:outlineLvl w:val="0"/>
              <w:rPr>
                <w:rFonts w:ascii="仿宋" w:hAnsi="仿宋" w:eastAsia="仿宋" w:cs="仿宋"/>
                <w:sz w:val="28"/>
                <w:szCs w:val="28"/>
              </w:rPr>
            </w:pPr>
          </w:p>
        </w:tc>
        <w:tc>
          <w:tcPr>
            <w:tcW w:w="1417" w:type="dxa"/>
            <w:vMerge w:val="continue"/>
            <w:vAlign w:val="center"/>
          </w:tcPr>
          <w:p>
            <w:pPr>
              <w:spacing w:line="300" w:lineRule="exact"/>
              <w:jc w:val="left"/>
              <w:outlineLvl w:val="0"/>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优</w:t>
            </w:r>
          </w:p>
        </w:tc>
        <w:tc>
          <w:tcPr>
            <w:tcW w:w="737"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良</w:t>
            </w:r>
          </w:p>
        </w:tc>
        <w:tc>
          <w:tcPr>
            <w:tcW w:w="737"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中</w:t>
            </w:r>
          </w:p>
        </w:tc>
        <w:tc>
          <w:tcPr>
            <w:tcW w:w="737"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国民经济核算</w:t>
            </w:r>
          </w:p>
        </w:tc>
        <w:tc>
          <w:tcPr>
            <w:tcW w:w="1276" w:type="dxa"/>
            <w:vAlign w:val="center"/>
          </w:tcPr>
          <w:p>
            <w:pPr>
              <w:spacing w:line="300" w:lineRule="exact"/>
              <w:jc w:val="center"/>
              <w:rPr>
                <w:rFonts w:ascii="仿宋" w:hAnsi="仿宋" w:eastAsia="仿宋" w:cs="仿宋"/>
                <w:sz w:val="28"/>
                <w:szCs w:val="28"/>
              </w:rPr>
            </w:pP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在全县开展GDP核算、资产负债核算、资金流量核算工作。</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完成全县年度数据的测算审核认定工作；完成全县季度数据审核认定工作；完成必要分析，对相关经济决策提供重要依据。</w:t>
            </w:r>
          </w:p>
        </w:tc>
        <w:tc>
          <w:tcPr>
            <w:tcW w:w="1417" w:type="dxa"/>
            <w:vAlign w:val="center"/>
          </w:tcPr>
          <w:p>
            <w:pPr>
              <w:spacing w:line="300" w:lineRule="exact"/>
              <w:jc w:val="left"/>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国民经济核算</w:t>
            </w:r>
          </w:p>
        </w:tc>
        <w:tc>
          <w:tcPr>
            <w:tcW w:w="1276" w:type="dxa"/>
            <w:vMerge w:val="restart"/>
            <w:vAlign w:val="center"/>
          </w:tcPr>
          <w:p>
            <w:pPr>
              <w:spacing w:line="300" w:lineRule="exact"/>
              <w:jc w:val="center"/>
              <w:rPr>
                <w:rFonts w:ascii="仿宋" w:hAnsi="仿宋" w:eastAsia="仿宋" w:cs="仿宋"/>
                <w:sz w:val="28"/>
                <w:szCs w:val="28"/>
              </w:rPr>
            </w:pP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贯彻执行国家国民经济核算制度，组织实施全县国民经济核算制度和投入产出调查，核算全县生产总值，整理、测算和提供国民经济核算资料，监督管理全县国民经济核算工作。</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完成全县年度、季度数据的测算审核认定工作；完成必要分析，对相关经济决策提供重要依据。</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业务培训覆盖率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center"/>
              <w:rPr>
                <w:rFonts w:ascii="仿宋" w:hAnsi="仿宋" w:eastAsia="仿宋" w:cs="仿宋"/>
                <w:b/>
                <w:sz w:val="28"/>
                <w:szCs w:val="28"/>
              </w:rPr>
            </w:pPr>
          </w:p>
        </w:tc>
        <w:tc>
          <w:tcPr>
            <w:tcW w:w="1276" w:type="dxa"/>
            <w:vMerge w:val="continue"/>
            <w:vAlign w:val="center"/>
          </w:tcPr>
          <w:p>
            <w:pPr>
              <w:spacing w:line="300" w:lineRule="exact"/>
              <w:jc w:val="center"/>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统计信息采用量(篇)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≥6</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≥3</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center"/>
              <w:rPr>
                <w:rFonts w:ascii="仿宋" w:hAnsi="仿宋" w:eastAsia="仿宋" w:cs="仿宋"/>
                <w:b/>
                <w:sz w:val="28"/>
                <w:szCs w:val="28"/>
              </w:rPr>
            </w:pPr>
          </w:p>
        </w:tc>
        <w:tc>
          <w:tcPr>
            <w:tcW w:w="1276" w:type="dxa"/>
            <w:vMerge w:val="continue"/>
            <w:vAlign w:val="center"/>
          </w:tcPr>
          <w:p>
            <w:pPr>
              <w:spacing w:line="300" w:lineRule="exact"/>
              <w:jc w:val="center"/>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调查对象覆盖率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center"/>
              <w:rPr>
                <w:rFonts w:ascii="仿宋" w:hAnsi="仿宋" w:eastAsia="仿宋" w:cs="仿宋"/>
                <w:b/>
                <w:sz w:val="28"/>
                <w:szCs w:val="28"/>
              </w:rPr>
            </w:pPr>
          </w:p>
        </w:tc>
        <w:tc>
          <w:tcPr>
            <w:tcW w:w="1276" w:type="dxa"/>
            <w:vMerge w:val="continue"/>
            <w:vAlign w:val="center"/>
          </w:tcPr>
          <w:p>
            <w:pPr>
              <w:spacing w:line="300" w:lineRule="exact"/>
              <w:jc w:val="center"/>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专项统计完成率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统计调查</w:t>
            </w:r>
          </w:p>
        </w:tc>
        <w:tc>
          <w:tcPr>
            <w:tcW w:w="1276" w:type="dxa"/>
            <w:vAlign w:val="center"/>
          </w:tcPr>
          <w:p>
            <w:pPr>
              <w:spacing w:line="300" w:lineRule="exac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46.84</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组织国情国力普查和涉及工业、农业、社科、教育、节能、卫生等相关行业的专项统计调查监测，收集、整理统计数据，提供咨询建议。</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进行业务培训，组织开展深层次课题研究，发布普查主要数据公报，完成普查工作总结和表彰。</w:t>
            </w:r>
          </w:p>
        </w:tc>
        <w:tc>
          <w:tcPr>
            <w:tcW w:w="1417" w:type="dxa"/>
            <w:vAlign w:val="center"/>
          </w:tcPr>
          <w:p>
            <w:pPr>
              <w:spacing w:line="300" w:lineRule="exact"/>
              <w:jc w:val="left"/>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国情国力普查</w:t>
            </w:r>
          </w:p>
        </w:tc>
        <w:tc>
          <w:tcPr>
            <w:tcW w:w="1276" w:type="dxa"/>
            <w:vMerge w:val="restart"/>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lang w:val="en-US" w:eastAsia="zh-CN"/>
              </w:rPr>
              <w:t>20</w:t>
            </w:r>
            <w:r>
              <w:rPr>
                <w:rFonts w:hint="eastAsia" w:ascii="仿宋" w:hAnsi="仿宋" w:eastAsia="仿宋" w:cs="仿宋"/>
                <w:sz w:val="28"/>
                <w:szCs w:val="28"/>
              </w:rPr>
              <w:t>.00</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组织完成国情国力普查及重要调查任务，研究提出重大县情县力普查和抽样调查计划并组织实施，汇总、整理和提供有关县情县力方面的统计数据。</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按照国家统计局、财政部关于印发《关于统计部门周期性普查和大型调查经费开支问题的暂行规定》，分年度完成普查工作，确保普查的顺利完成。</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业务培训覆盖率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统计信息采用量(篇)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≥6</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≥3</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调查对象覆盖率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普查统计完成率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　专项统计调查</w:t>
            </w:r>
          </w:p>
        </w:tc>
        <w:tc>
          <w:tcPr>
            <w:tcW w:w="1276" w:type="dxa"/>
            <w:vMerge w:val="restart"/>
            <w:vAlign w:val="center"/>
          </w:tcPr>
          <w:p>
            <w:pPr>
              <w:spacing w:line="300" w:lineRule="exact"/>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26.84</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根据省、市政府有关文件要求，组织实施涉及相关行业数据的专项统计调查。</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组织开展专项统计调查工作，了解基层情况和动态提供统计信息和咨询建议。</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业务培训覆盖率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统计信息采用量(篇)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≥6</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≥3</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调查对象覆盖率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专项统计完成率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统计数据采集决策咨询</w:t>
            </w:r>
          </w:p>
        </w:tc>
        <w:tc>
          <w:tcPr>
            <w:tcW w:w="1276" w:type="dxa"/>
            <w:vMerge w:val="restart"/>
            <w:vAlign w:val="center"/>
          </w:tcPr>
          <w:p>
            <w:pPr>
              <w:spacing w:line="300" w:lineRule="exact"/>
              <w:jc w:val="left"/>
              <w:rPr>
                <w:rFonts w:ascii="仿宋" w:hAnsi="仿宋" w:eastAsia="仿宋" w:cs="仿宋"/>
                <w:sz w:val="28"/>
                <w:szCs w:val="28"/>
              </w:rPr>
            </w:pP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管理全县统计数据库网络；落实全县统计信息化系统建设。组织全县统计系统各级各专业实施以企业一套表制度为核心的统计四大工程：建立并管理全县统计信息自动化系统和统计数据库系统。</w:t>
            </w:r>
          </w:p>
        </w:tc>
        <w:tc>
          <w:tcPr>
            <w:tcW w:w="2976" w:type="dxa"/>
            <w:vMerge w:val="restart"/>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保障全县统计信息自动化系统和统计数据库系统运行安全平稳。保证统计数据的顺利报送汇总。</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统计信息化系统建设完成率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仿宋"/>
                <w:b/>
                <w:sz w:val="28"/>
                <w:szCs w:val="28"/>
              </w:rPr>
            </w:pPr>
          </w:p>
        </w:tc>
        <w:tc>
          <w:tcPr>
            <w:tcW w:w="12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2976" w:type="dxa"/>
            <w:vMerge w:val="continue"/>
            <w:vAlign w:val="center"/>
          </w:tcPr>
          <w:p>
            <w:pPr>
              <w:spacing w:line="300" w:lineRule="exact"/>
              <w:jc w:val="left"/>
              <w:rPr>
                <w:rFonts w:ascii="仿宋" w:hAnsi="仿宋" w:eastAsia="仿宋" w:cs="仿宋"/>
                <w:sz w:val="28"/>
                <w:szCs w:val="28"/>
              </w:rPr>
            </w:pP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统计信息化系统正常运转率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≥98%</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统计政务管理</w:t>
            </w:r>
          </w:p>
        </w:tc>
        <w:tc>
          <w:tcPr>
            <w:tcW w:w="1276" w:type="dxa"/>
            <w:vAlign w:val="center"/>
          </w:tcPr>
          <w:p>
            <w:pPr>
              <w:spacing w:line="3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保障机关日常运转，健全全县统计法制建设，指导全县统计专业技术队伍建设。</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保障统计信息化建设、统计执法等全县统计专业技术队伍建设。</w:t>
            </w:r>
          </w:p>
        </w:tc>
        <w:tc>
          <w:tcPr>
            <w:tcW w:w="1417" w:type="dxa"/>
            <w:vAlign w:val="center"/>
          </w:tcPr>
          <w:p>
            <w:pPr>
              <w:spacing w:line="300" w:lineRule="exact"/>
              <w:jc w:val="left"/>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c>
          <w:tcPr>
            <w:tcW w:w="737" w:type="dxa"/>
            <w:vAlign w:val="center"/>
          </w:tcPr>
          <w:p>
            <w:pPr>
              <w:spacing w:line="30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综合业务管理</w:t>
            </w:r>
          </w:p>
        </w:tc>
        <w:tc>
          <w:tcPr>
            <w:tcW w:w="1276" w:type="dxa"/>
            <w:vAlign w:val="center"/>
          </w:tcPr>
          <w:p>
            <w:pPr>
              <w:spacing w:line="30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健全全县统计法制建设，严格查处统计违法现象，开展统计基层基础建设，指导全县统计专业技术队伍建设。</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开展统计执法检查和培训工作，防范统计违法现象的发生；拟定全县统计教育培训制度、规划等。</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培训工作完成率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100%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综合事务管理</w:t>
            </w:r>
          </w:p>
        </w:tc>
        <w:tc>
          <w:tcPr>
            <w:tcW w:w="1276" w:type="dxa"/>
            <w:vAlign w:val="center"/>
          </w:tcPr>
          <w:p>
            <w:pPr>
              <w:spacing w:line="300" w:lineRule="exact"/>
              <w:jc w:val="left"/>
              <w:rPr>
                <w:rFonts w:ascii="仿宋" w:hAnsi="仿宋" w:eastAsia="仿宋" w:cs="仿宋"/>
                <w:sz w:val="28"/>
                <w:szCs w:val="28"/>
              </w:rPr>
            </w:pP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保障机关日常运转，开展纪检监察、计财内审、人事管理、老干部管理、党建、后勤、行政许可事务性管理等工作。</w:t>
            </w:r>
          </w:p>
        </w:tc>
        <w:tc>
          <w:tcPr>
            <w:tcW w:w="2976"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保障机关正常运转。</w:t>
            </w:r>
          </w:p>
        </w:tc>
        <w:tc>
          <w:tcPr>
            <w:tcW w:w="1417" w:type="dxa"/>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综合事务保障率</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100%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≥90%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&lt;90%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bookmarkEnd w:id="1"/>
    <w:p>
      <w:pPr>
        <w:jc w:val="center"/>
        <w:outlineLvl w:val="0"/>
        <w:rPr>
          <w:rFonts w:ascii="黑体" w:hAnsi="黑体" w:eastAsia="黑体" w:cs="Times New Roman"/>
          <w:sz w:val="32"/>
          <w:szCs w:val="32"/>
        </w:rPr>
      </w:pPr>
      <w:r>
        <w:rPr>
          <w:rFonts w:hint="eastAsia" w:ascii="黑体" w:hAnsi="黑体" w:eastAsia="黑体"/>
          <w:sz w:val="32"/>
          <w:szCs w:val="32"/>
        </w:rPr>
        <w:t>第六部分：政府采购预算情况</w:t>
      </w:r>
    </w:p>
    <w:p>
      <w:pPr>
        <w:ind w:firstLine="640" w:firstLineChars="200"/>
        <w:rPr>
          <w:rFonts w:ascii="仿宋" w:hAnsi="仿宋" w:eastAsia="仿宋" w:cs="仿宋"/>
          <w:sz w:val="32"/>
          <w:szCs w:val="32"/>
        </w:rPr>
      </w:pPr>
      <w:r>
        <w:rPr>
          <w:rFonts w:hint="eastAsia" w:ascii="仿宋" w:hAnsi="仿宋" w:eastAsia="仿宋" w:cs="仿宋"/>
          <w:sz w:val="32"/>
          <w:szCs w:val="32"/>
        </w:rPr>
        <w:t>我单位201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年度无政府采购预算。</w:t>
      </w:r>
    </w:p>
    <w:p>
      <w:pPr>
        <w:jc w:val="center"/>
        <w:rPr>
          <w:rFonts w:ascii="黑体" w:hAnsi="黑体" w:eastAsia="黑体" w:cs="Times New Roman"/>
          <w:sz w:val="32"/>
          <w:szCs w:val="32"/>
        </w:rPr>
      </w:pPr>
      <w:r>
        <w:rPr>
          <w:rFonts w:hint="eastAsia" w:ascii="黑体" w:hAnsi="黑体" w:eastAsia="黑体"/>
          <w:sz w:val="32"/>
          <w:szCs w:val="32"/>
        </w:rPr>
        <w:t>第七部分：国有资产信息情况说明</w:t>
      </w:r>
    </w:p>
    <w:p>
      <w:pPr>
        <w:spacing w:line="360" w:lineRule="auto"/>
        <w:ind w:firstLine="640" w:firstLineChars="200"/>
        <w:jc w:val="left"/>
        <w:outlineLvl w:val="0"/>
        <w:rPr>
          <w:rFonts w:ascii="仿宋" w:hAnsi="仿宋" w:eastAsia="仿宋"/>
          <w:sz w:val="32"/>
          <w:szCs w:val="32"/>
        </w:rPr>
      </w:pPr>
      <w:r>
        <w:rPr>
          <w:rFonts w:hint="eastAsia" w:ascii="仿宋" w:hAnsi="仿宋" w:eastAsia="仿宋"/>
          <w:sz w:val="32"/>
          <w:szCs w:val="32"/>
        </w:rPr>
        <w:t>我单位201</w:t>
      </w:r>
      <w:r>
        <w:rPr>
          <w:rFonts w:hint="eastAsia" w:ascii="仿宋" w:hAnsi="仿宋" w:eastAsia="仿宋"/>
          <w:sz w:val="32"/>
          <w:szCs w:val="32"/>
          <w:lang w:val="en-US" w:eastAsia="zh-CN"/>
        </w:rPr>
        <w:t>7</w:t>
      </w:r>
      <w:r>
        <w:rPr>
          <w:rFonts w:hint="eastAsia" w:ascii="仿宋" w:hAnsi="仿宋" w:eastAsia="仿宋"/>
          <w:sz w:val="32"/>
          <w:szCs w:val="32"/>
        </w:rPr>
        <w:t>年末固定资产金额为8</w:t>
      </w:r>
      <w:r>
        <w:rPr>
          <w:rFonts w:hint="eastAsia" w:ascii="仿宋" w:hAnsi="仿宋" w:eastAsia="仿宋"/>
          <w:sz w:val="32"/>
          <w:szCs w:val="32"/>
          <w:lang w:val="en-US" w:eastAsia="zh-CN"/>
        </w:rPr>
        <w:t>6.18</w:t>
      </w:r>
      <w:r>
        <w:rPr>
          <w:rFonts w:hint="eastAsia" w:ascii="仿宋" w:hAnsi="仿宋" w:eastAsia="仿宋"/>
          <w:sz w:val="32"/>
          <w:szCs w:val="32"/>
        </w:rPr>
        <w:t>万元。我单位201</w:t>
      </w:r>
      <w:r>
        <w:rPr>
          <w:rFonts w:hint="eastAsia" w:ascii="仿宋" w:hAnsi="仿宋" w:eastAsia="仿宋"/>
          <w:sz w:val="32"/>
          <w:szCs w:val="32"/>
          <w:lang w:val="en-US" w:eastAsia="zh-CN"/>
        </w:rPr>
        <w:t>8</w:t>
      </w:r>
      <w:r>
        <w:rPr>
          <w:rFonts w:hint="eastAsia" w:ascii="仿宋" w:hAnsi="仿宋" w:eastAsia="仿宋"/>
          <w:sz w:val="32"/>
          <w:szCs w:val="32"/>
        </w:rPr>
        <w:t>年度无固定资产拟购计划。</w:t>
      </w:r>
    </w:p>
    <w:p>
      <w:pPr>
        <w:spacing w:line="360" w:lineRule="auto"/>
        <w:ind w:firstLine="640" w:firstLineChars="200"/>
        <w:jc w:val="center"/>
        <w:outlineLvl w:val="0"/>
        <w:rPr>
          <w:rFonts w:ascii="仿宋" w:hAnsi="仿宋" w:eastAsia="仿宋"/>
          <w:sz w:val="32"/>
          <w:szCs w:val="32"/>
        </w:rPr>
      </w:pPr>
      <w:r>
        <w:rPr>
          <w:rFonts w:hint="eastAsia" w:ascii="仿宋" w:hAnsi="仿宋" w:eastAsia="仿宋"/>
          <w:sz w:val="32"/>
          <w:szCs w:val="32"/>
        </w:rPr>
        <w:t>高阳县统计局固定资产占用情况表</w:t>
      </w:r>
    </w:p>
    <w:p>
      <w:pPr>
        <w:widowControl/>
        <w:jc w:val="center"/>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w:t>
      </w:r>
      <w:r>
        <w:rPr>
          <w:rFonts w:hint="eastAsia" w:ascii="仿宋_GB2312" w:hAnsi="宋体" w:eastAsia="仿宋_GB2312" w:cs="宋体"/>
          <w:bCs/>
          <w:color w:val="000000"/>
          <w:kern w:val="0"/>
          <w:sz w:val="32"/>
          <w:szCs w:val="32"/>
          <w:lang w:val="en-US" w:eastAsia="zh-CN"/>
        </w:rPr>
        <w:t>7</w:t>
      </w:r>
      <w:r>
        <w:rPr>
          <w:rFonts w:hint="eastAsia" w:ascii="仿宋_GB2312" w:hAnsi="宋体" w:eastAsia="仿宋_GB2312" w:cs="宋体"/>
          <w:bCs/>
          <w:color w:val="000000"/>
          <w:kern w:val="0"/>
          <w:sz w:val="32"/>
          <w:szCs w:val="32"/>
        </w:rPr>
        <w:t>年12月31日</w:t>
      </w:r>
    </w:p>
    <w:tbl>
      <w:tblPr>
        <w:tblStyle w:val="4"/>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4"/>
        <w:gridCol w:w="145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项目</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数量</w:t>
            </w:r>
          </w:p>
        </w:tc>
        <w:tc>
          <w:tcPr>
            <w:tcW w:w="2850"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left"/>
              <w:outlineLvl w:val="0"/>
              <w:rPr>
                <w:rFonts w:ascii="仿宋" w:hAnsi="仿宋" w:eastAsia="仿宋"/>
                <w:b/>
                <w:sz w:val="24"/>
              </w:rPr>
            </w:pPr>
            <w:r>
              <w:rPr>
                <w:rFonts w:hint="eastAsia" w:ascii="仿宋" w:hAnsi="仿宋" w:eastAsia="仿宋"/>
                <w:b/>
                <w:sz w:val="24"/>
              </w:rPr>
              <w:t>固定资产总额</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w:t>
            </w:r>
          </w:p>
        </w:tc>
        <w:tc>
          <w:tcPr>
            <w:tcW w:w="2850"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8</w:t>
            </w:r>
            <w:r>
              <w:rPr>
                <w:rFonts w:hint="eastAsia" w:ascii="仿宋" w:hAnsi="仿宋" w:eastAsia="仿宋"/>
                <w:sz w:val="24"/>
                <w:lang w:val="en-US" w:eastAsia="zh-CN"/>
              </w:rPr>
              <w:t>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left"/>
              <w:outlineLvl w:val="0"/>
              <w:rPr>
                <w:rFonts w:ascii="仿宋" w:hAnsi="仿宋" w:eastAsia="仿宋"/>
                <w:sz w:val="24"/>
              </w:rPr>
            </w:pPr>
            <w:r>
              <w:rPr>
                <w:rFonts w:hint="eastAsia" w:ascii="仿宋" w:hAnsi="仿宋" w:eastAsia="仿宋"/>
                <w:sz w:val="24"/>
              </w:rPr>
              <w:t>1、房屋（平方米）</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0</w:t>
            </w:r>
          </w:p>
        </w:tc>
        <w:tc>
          <w:tcPr>
            <w:tcW w:w="2850"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right"/>
              <w:outlineLvl w:val="0"/>
              <w:rPr>
                <w:rFonts w:ascii="仿宋" w:hAnsi="仿宋" w:eastAsia="仿宋"/>
                <w:sz w:val="24"/>
              </w:rPr>
            </w:pPr>
            <w:r>
              <w:rPr>
                <w:rFonts w:hint="eastAsia" w:ascii="仿宋" w:hAnsi="仿宋" w:eastAsia="仿宋"/>
                <w:sz w:val="24"/>
              </w:rPr>
              <w:t>其中：办公用房（平方米）</w:t>
            </w:r>
          </w:p>
        </w:tc>
        <w:tc>
          <w:tcPr>
            <w:tcW w:w="1455" w:type="dxa"/>
            <w:shd w:val="clear" w:color="auto" w:fill="auto"/>
          </w:tcPr>
          <w:p>
            <w:pPr>
              <w:spacing w:line="640" w:lineRule="exact"/>
              <w:jc w:val="center"/>
              <w:outlineLvl w:val="0"/>
              <w:rPr>
                <w:rFonts w:hint="eastAsia" w:ascii="仿宋" w:hAnsi="仿宋" w:eastAsia="仿宋"/>
                <w:sz w:val="24"/>
                <w:lang w:val="en-US" w:eastAsia="zh-CN"/>
              </w:rPr>
            </w:pPr>
            <w:r>
              <w:rPr>
                <w:rFonts w:hint="eastAsia" w:ascii="仿宋" w:hAnsi="仿宋" w:eastAsia="仿宋"/>
                <w:sz w:val="24"/>
                <w:lang w:val="en-US" w:eastAsia="zh-CN"/>
              </w:rPr>
              <w:t>0</w:t>
            </w:r>
          </w:p>
        </w:tc>
        <w:tc>
          <w:tcPr>
            <w:tcW w:w="2850" w:type="dxa"/>
            <w:shd w:val="clear" w:color="auto" w:fill="auto"/>
          </w:tcPr>
          <w:p>
            <w:pPr>
              <w:spacing w:line="640" w:lineRule="exact"/>
              <w:jc w:val="center"/>
              <w:outlineLvl w:val="0"/>
              <w:rPr>
                <w:rFonts w:hint="eastAsia" w:ascii="仿宋" w:hAnsi="仿宋" w:eastAsia="仿宋"/>
                <w:sz w:val="24"/>
                <w:lang w:eastAsia="zh-CN"/>
              </w:rPr>
            </w:pPr>
            <w:r>
              <w:rPr>
                <w:rFonts w:hint="eastAsia" w:ascii="仿宋" w:hAnsi="仿宋" w:eastAsia="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left"/>
              <w:outlineLvl w:val="0"/>
              <w:rPr>
                <w:rFonts w:ascii="仿宋" w:hAnsi="仿宋" w:eastAsia="仿宋"/>
                <w:sz w:val="24"/>
              </w:rPr>
            </w:pPr>
            <w:r>
              <w:rPr>
                <w:rFonts w:hint="eastAsia" w:ascii="仿宋" w:hAnsi="仿宋" w:eastAsia="仿宋"/>
                <w:sz w:val="24"/>
              </w:rPr>
              <w:t>2、车辆（台、辆）</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3</w:t>
            </w:r>
          </w:p>
        </w:tc>
        <w:tc>
          <w:tcPr>
            <w:tcW w:w="2850"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left"/>
              <w:outlineLvl w:val="0"/>
              <w:rPr>
                <w:rFonts w:ascii="仿宋" w:hAnsi="仿宋" w:eastAsia="仿宋"/>
                <w:sz w:val="24"/>
              </w:rPr>
            </w:pPr>
            <w:r>
              <w:rPr>
                <w:rFonts w:hint="eastAsia" w:ascii="仿宋" w:hAnsi="仿宋" w:eastAsia="仿宋"/>
                <w:sz w:val="24"/>
              </w:rPr>
              <w:t>3、单价在50万以上设备（台、套）</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0</w:t>
            </w:r>
          </w:p>
        </w:tc>
        <w:tc>
          <w:tcPr>
            <w:tcW w:w="2850"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4" w:type="dxa"/>
            <w:shd w:val="clear" w:color="auto" w:fill="auto"/>
          </w:tcPr>
          <w:p>
            <w:pPr>
              <w:spacing w:line="640" w:lineRule="exact"/>
              <w:jc w:val="left"/>
              <w:outlineLvl w:val="0"/>
              <w:rPr>
                <w:rFonts w:ascii="仿宋" w:hAnsi="仿宋" w:eastAsia="仿宋"/>
                <w:sz w:val="24"/>
              </w:rPr>
            </w:pPr>
            <w:r>
              <w:rPr>
                <w:rFonts w:hint="eastAsia" w:ascii="仿宋" w:hAnsi="仿宋" w:eastAsia="仿宋"/>
                <w:sz w:val="24"/>
              </w:rPr>
              <w:t>4、其他固定资产</w:t>
            </w:r>
          </w:p>
        </w:tc>
        <w:tc>
          <w:tcPr>
            <w:tcW w:w="1455" w:type="dxa"/>
            <w:shd w:val="clear" w:color="auto" w:fill="auto"/>
          </w:tcPr>
          <w:p>
            <w:pPr>
              <w:spacing w:line="640" w:lineRule="exact"/>
              <w:jc w:val="center"/>
              <w:outlineLvl w:val="0"/>
              <w:rPr>
                <w:rFonts w:ascii="仿宋" w:hAnsi="仿宋" w:eastAsia="仿宋"/>
                <w:sz w:val="24"/>
              </w:rPr>
            </w:pPr>
            <w:r>
              <w:rPr>
                <w:rFonts w:hint="eastAsia" w:ascii="仿宋" w:hAnsi="仿宋" w:eastAsia="仿宋"/>
                <w:sz w:val="24"/>
              </w:rPr>
              <w:t>-</w:t>
            </w:r>
          </w:p>
        </w:tc>
        <w:tc>
          <w:tcPr>
            <w:tcW w:w="2850" w:type="dxa"/>
            <w:shd w:val="clear" w:color="auto" w:fill="auto"/>
          </w:tcPr>
          <w:p>
            <w:pPr>
              <w:spacing w:line="640" w:lineRule="exact"/>
              <w:jc w:val="center"/>
              <w:outlineLvl w:val="0"/>
              <w:rPr>
                <w:rFonts w:hint="eastAsia" w:ascii="仿宋" w:hAnsi="仿宋" w:eastAsia="仿宋"/>
                <w:sz w:val="24"/>
                <w:lang w:eastAsia="zh-CN"/>
              </w:rPr>
            </w:pPr>
            <w:r>
              <w:rPr>
                <w:rFonts w:hint="eastAsia" w:ascii="仿宋" w:hAnsi="仿宋" w:eastAsia="仿宋"/>
                <w:sz w:val="24"/>
                <w:lang w:val="en-US" w:eastAsia="zh-CN"/>
              </w:rPr>
              <w:t>59.92</w:t>
            </w:r>
          </w:p>
        </w:tc>
      </w:tr>
    </w:tbl>
    <w:p>
      <w:pPr>
        <w:adjustRightInd w:val="0"/>
        <w:snapToGrid w:val="0"/>
        <w:spacing w:line="360" w:lineRule="auto"/>
        <w:rPr>
          <w:rFonts w:ascii="仿宋" w:hAnsi="仿宋" w:eastAsia="仿宋" w:cs="仿宋"/>
          <w:sz w:val="28"/>
          <w:szCs w:val="28"/>
        </w:rPr>
      </w:pPr>
    </w:p>
    <w:p>
      <w:pPr>
        <w:numPr>
          <w:ilvl w:val="0"/>
          <w:numId w:val="2"/>
        </w:numPr>
        <w:adjustRightInd w:val="0"/>
        <w:snapToGrid w:val="0"/>
        <w:spacing w:line="360" w:lineRule="auto"/>
        <w:jc w:val="center"/>
        <w:outlineLvl w:val="0"/>
        <w:rPr>
          <w:rFonts w:hint="eastAsia" w:ascii="黑体" w:hAnsi="黑体" w:eastAsia="黑体"/>
          <w:sz w:val="32"/>
          <w:szCs w:val="32"/>
        </w:rPr>
      </w:pPr>
      <w:r>
        <w:rPr>
          <w:rFonts w:hint="eastAsia" w:ascii="黑体" w:hAnsi="黑体" w:eastAsia="黑体"/>
          <w:sz w:val="32"/>
          <w:szCs w:val="32"/>
        </w:rPr>
        <w:t>分：名词解释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0"/>
        <w:rPr>
          <w:rFonts w:hint="eastAsia" w:ascii="仿宋" w:hAnsi="仿宋" w:eastAsia="仿宋" w:cs="仿宋"/>
          <w:sz w:val="32"/>
          <w:szCs w:val="32"/>
        </w:rPr>
      </w:pPr>
      <w:r>
        <w:rPr>
          <w:rFonts w:hint="eastAsia" w:ascii="仿宋" w:hAnsi="仿宋" w:eastAsia="仿宋" w:cs="仿宋"/>
          <w:b/>
          <w:bCs/>
          <w:sz w:val="32"/>
          <w:szCs w:val="32"/>
        </w:rPr>
        <w:t>1、一般公共预算拨款收入</w:t>
      </w:r>
      <w:r>
        <w:rPr>
          <w:rFonts w:hint="eastAsia" w:ascii="仿宋" w:hAnsi="仿宋" w:eastAsia="仿宋" w:cs="仿宋"/>
          <w:sz w:val="32"/>
          <w:szCs w:val="32"/>
        </w:rPr>
        <w:t>：指县级财政当年拨付的资金。</w:t>
      </w:r>
    </w:p>
    <w:p>
      <w:pPr>
        <w:adjustRightInd w:val="0"/>
        <w:snapToGrid w:val="0"/>
        <w:spacing w:line="360" w:lineRule="auto"/>
        <w:ind w:firstLine="643" w:firstLineChars="200"/>
        <w:jc w:val="left"/>
        <w:outlineLvl w:val="0"/>
        <w:rPr>
          <w:rFonts w:ascii="仿宋_GB2312" w:hAnsi="仿宋" w:eastAsia="仿宋_GB2312" w:cs="Times New Roman"/>
          <w:sz w:val="32"/>
          <w:szCs w:val="32"/>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、财政拨款收入：</w:t>
      </w:r>
      <w:r>
        <w:rPr>
          <w:rFonts w:hint="eastAsia" w:ascii="仿宋_GB2312" w:hAnsi="仿宋" w:eastAsia="仿宋_GB2312"/>
          <w:sz w:val="32"/>
          <w:szCs w:val="32"/>
        </w:rPr>
        <w:t>指</w:t>
      </w:r>
      <w:r>
        <w:rPr>
          <w:rFonts w:hint="eastAsia" w:ascii="仿宋_GB2312" w:hAnsi="仿宋" w:eastAsia="仿宋_GB2312"/>
          <w:sz w:val="32"/>
          <w:szCs w:val="32"/>
          <w:lang w:eastAsia="zh-CN"/>
        </w:rPr>
        <w:t>县</w:t>
      </w:r>
      <w:r>
        <w:rPr>
          <w:rFonts w:hint="eastAsia" w:ascii="仿宋_GB2312" w:hAnsi="仿宋" w:eastAsia="仿宋_GB2312"/>
          <w:sz w:val="32"/>
          <w:szCs w:val="32"/>
        </w:rPr>
        <w:t>级财政当年拨付的资金。</w:t>
      </w:r>
    </w:p>
    <w:p>
      <w:pPr>
        <w:adjustRightInd w:val="0"/>
        <w:snapToGrid w:val="0"/>
        <w:spacing w:line="360" w:lineRule="auto"/>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、其他收入：</w:t>
      </w:r>
      <w:r>
        <w:rPr>
          <w:rFonts w:hint="eastAsia" w:ascii="仿宋_GB2312" w:hAnsi="仿宋" w:eastAsia="仿宋_GB2312"/>
          <w:sz w:val="32"/>
          <w:szCs w:val="32"/>
        </w:rPr>
        <w:t>指除上述“财政拨款收入”、“事业收入”等以外的收入。</w:t>
      </w:r>
    </w:p>
    <w:p>
      <w:pPr>
        <w:adjustRightInd w:val="0"/>
        <w:snapToGrid w:val="0"/>
        <w:spacing w:line="360" w:lineRule="auto"/>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、基本支出：</w:t>
      </w:r>
      <w:r>
        <w:rPr>
          <w:rFonts w:hint="eastAsia" w:ascii="仿宋_GB2312" w:hAnsi="仿宋" w:eastAsia="仿宋_GB2312"/>
          <w:sz w:val="32"/>
          <w:szCs w:val="32"/>
        </w:rPr>
        <w:t>指为保障机构正常运转、完成日常工作任务而发生的人员支出和公用支出。</w:t>
      </w:r>
    </w:p>
    <w:p>
      <w:pPr>
        <w:adjustRightInd w:val="0"/>
        <w:snapToGrid w:val="0"/>
        <w:spacing w:line="360" w:lineRule="auto"/>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、项目支出：</w:t>
      </w:r>
      <w:r>
        <w:rPr>
          <w:rFonts w:hint="eastAsia" w:ascii="仿宋_GB2312" w:hAnsi="仿宋" w:eastAsia="仿宋_GB2312"/>
          <w:sz w:val="32"/>
          <w:szCs w:val="32"/>
        </w:rPr>
        <w:t>指在基本支出之外为完成特定行政任务和事业发展目标所发生的支出。</w:t>
      </w:r>
    </w:p>
    <w:p>
      <w:pPr>
        <w:adjustRightInd w:val="0"/>
        <w:snapToGrid w:val="0"/>
        <w:spacing w:line="360" w:lineRule="auto"/>
        <w:ind w:firstLine="643" w:firstLineChars="200"/>
        <w:jc w:val="left"/>
        <w:outlineLvl w:val="0"/>
        <w:rPr>
          <w:rFonts w:ascii="仿宋_GB2312" w:hAnsi="仿宋" w:eastAsia="仿宋_GB2312"/>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、“三公”经费：</w:t>
      </w:r>
      <w:r>
        <w:rPr>
          <w:rFonts w:hint="eastAsia" w:ascii="仿宋_GB2312" w:hAnsi="仿宋" w:eastAsia="仿宋_GB2312"/>
          <w:sz w:val="32"/>
          <w:szCs w:val="32"/>
        </w:rPr>
        <w:t>纳入</w:t>
      </w:r>
      <w:r>
        <w:rPr>
          <w:rFonts w:hint="eastAsia" w:ascii="仿宋_GB2312" w:hAnsi="仿宋" w:eastAsia="仿宋_GB2312"/>
          <w:sz w:val="32"/>
          <w:szCs w:val="32"/>
          <w:lang w:eastAsia="zh-CN"/>
        </w:rPr>
        <w:t>县</w:t>
      </w:r>
      <w:r>
        <w:rPr>
          <w:rFonts w:hint="eastAsia" w:ascii="仿宋_GB2312" w:hAnsi="仿宋" w:eastAsia="仿宋_GB2312"/>
          <w:sz w:val="32"/>
          <w:szCs w:val="32"/>
        </w:rPr>
        <w:t>级财政预算管理的“三公”经费，是指</w:t>
      </w:r>
      <w:r>
        <w:rPr>
          <w:rFonts w:hint="eastAsia" w:ascii="仿宋_GB2312" w:hAnsi="仿宋" w:eastAsia="仿宋_GB2312"/>
          <w:sz w:val="32"/>
          <w:szCs w:val="32"/>
          <w:lang w:eastAsia="zh-CN"/>
        </w:rPr>
        <w:t>县</w:t>
      </w:r>
      <w:r>
        <w:rPr>
          <w:rFonts w:hint="eastAsia" w:ascii="仿宋_GB2312" w:hAnsi="仿宋" w:eastAsia="仿宋_GB2312"/>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djustRightInd w:val="0"/>
        <w:snapToGrid w:val="0"/>
        <w:spacing w:line="360" w:lineRule="auto"/>
        <w:ind w:firstLine="803" w:firstLineChars="250"/>
        <w:rPr>
          <w:rFonts w:ascii="仿宋_GB2312" w:hAnsi="仿宋" w:eastAsia="仿宋_GB2312"/>
          <w:sz w:val="32"/>
          <w:szCs w:val="32"/>
        </w:rPr>
      </w:pPr>
      <w:r>
        <w:rPr>
          <w:rFonts w:hint="eastAsia" w:ascii="仿宋_GB2312" w:hAnsi="仿宋" w:eastAsia="仿宋_GB2312"/>
          <w:b/>
          <w:sz w:val="32"/>
          <w:szCs w:val="32"/>
          <w:lang w:val="en-US" w:eastAsia="zh-CN"/>
        </w:rPr>
        <w:t>7</w:t>
      </w:r>
      <w:r>
        <w:rPr>
          <w:rFonts w:hint="eastAsia" w:ascii="仿宋_GB2312" w:hAnsi="仿宋" w:eastAsia="仿宋_GB2312"/>
          <w:b/>
          <w:sz w:val="32"/>
          <w:szCs w:val="32"/>
        </w:rPr>
        <w:t>、机关运行费：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公务用车运行维护费以及其他费用。</w:t>
      </w:r>
    </w:p>
    <w:p>
      <w:pPr>
        <w:adjustRightInd w:val="0"/>
        <w:snapToGrid w:val="0"/>
        <w:spacing w:line="360" w:lineRule="auto"/>
        <w:jc w:val="center"/>
        <w:outlineLvl w:val="0"/>
        <w:rPr>
          <w:rFonts w:ascii="黑体" w:hAnsi="黑体" w:eastAsia="黑体"/>
          <w:sz w:val="32"/>
          <w:szCs w:val="32"/>
        </w:rPr>
      </w:pPr>
      <w:r>
        <w:rPr>
          <w:rFonts w:hint="eastAsia" w:ascii="黑体" w:hAnsi="黑体" w:eastAsia="黑体"/>
          <w:sz w:val="32"/>
          <w:szCs w:val="32"/>
        </w:rPr>
        <w:t>第九部分：其他需说明的事项</w:t>
      </w:r>
    </w:p>
    <w:p>
      <w:pPr>
        <w:adjustRightInd w:val="0"/>
        <w:snapToGrid w:val="0"/>
        <w:spacing w:line="360" w:lineRule="auto"/>
        <w:ind w:firstLine="640" w:firstLineChars="200"/>
        <w:jc w:val="left"/>
        <w:outlineLvl w:val="0"/>
        <w:rPr>
          <w:rFonts w:ascii="仿宋_GB2312" w:hAnsi="黑体" w:eastAsia="仿宋_GB2312"/>
          <w:sz w:val="32"/>
          <w:szCs w:val="32"/>
        </w:rPr>
      </w:pPr>
      <w:r>
        <w:rPr>
          <w:rFonts w:hint="eastAsia" w:ascii="仿宋_GB2312" w:hAnsi="仿宋" w:eastAsia="仿宋_GB2312"/>
          <w:sz w:val="32"/>
          <w:szCs w:val="32"/>
        </w:rPr>
        <w:t>无其他需说明的事项。</w:t>
      </w:r>
    </w:p>
    <w:p>
      <w:pPr>
        <w:jc w:val="left"/>
        <w:rPr>
          <w:rFonts w:ascii="仿宋" w:hAnsi="仿宋" w:eastAsia="仿宋"/>
          <w:sz w:val="32"/>
          <w:szCs w:val="32"/>
        </w:rPr>
      </w:pPr>
    </w:p>
    <w:sectPr>
      <w:pgSz w:w="11906" w:h="16838"/>
      <w:pgMar w:top="1327" w:right="1800"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A6D77"/>
    <w:multiLevelType w:val="singleLevel"/>
    <w:tmpl w:val="594A6D77"/>
    <w:lvl w:ilvl="0" w:tentative="0">
      <w:start w:val="1"/>
      <w:numFmt w:val="decimal"/>
      <w:suff w:val="nothing"/>
      <w:lvlText w:val="%1、"/>
      <w:lvlJc w:val="left"/>
    </w:lvl>
  </w:abstractNum>
  <w:abstractNum w:abstractNumId="1">
    <w:nsid w:val="5A03069F"/>
    <w:multiLevelType w:val="singleLevel"/>
    <w:tmpl w:val="5A03069F"/>
    <w:lvl w:ilvl="0" w:tentative="0">
      <w:start w:val="8"/>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3A30F7"/>
    <w:rsid w:val="00173839"/>
    <w:rsid w:val="001A1D10"/>
    <w:rsid w:val="00262904"/>
    <w:rsid w:val="002B12F9"/>
    <w:rsid w:val="002C6196"/>
    <w:rsid w:val="002F089A"/>
    <w:rsid w:val="002F5981"/>
    <w:rsid w:val="00386165"/>
    <w:rsid w:val="003A30F7"/>
    <w:rsid w:val="003D689D"/>
    <w:rsid w:val="004203CE"/>
    <w:rsid w:val="004F14EA"/>
    <w:rsid w:val="00560E73"/>
    <w:rsid w:val="00587E4E"/>
    <w:rsid w:val="005A647E"/>
    <w:rsid w:val="00663E79"/>
    <w:rsid w:val="00682CB9"/>
    <w:rsid w:val="006D68E2"/>
    <w:rsid w:val="006D7A92"/>
    <w:rsid w:val="007168BC"/>
    <w:rsid w:val="00814A8F"/>
    <w:rsid w:val="00841028"/>
    <w:rsid w:val="00857B00"/>
    <w:rsid w:val="008D6240"/>
    <w:rsid w:val="008E0DA6"/>
    <w:rsid w:val="00914ED8"/>
    <w:rsid w:val="0093772D"/>
    <w:rsid w:val="009E71A5"/>
    <w:rsid w:val="00AB697A"/>
    <w:rsid w:val="00AC7BFC"/>
    <w:rsid w:val="00B63EDC"/>
    <w:rsid w:val="00B83B8E"/>
    <w:rsid w:val="00BA6964"/>
    <w:rsid w:val="00C04921"/>
    <w:rsid w:val="00C41D98"/>
    <w:rsid w:val="00CA6B72"/>
    <w:rsid w:val="00CB3C67"/>
    <w:rsid w:val="00D31678"/>
    <w:rsid w:val="00DC76F6"/>
    <w:rsid w:val="00F60327"/>
    <w:rsid w:val="00FF4325"/>
    <w:rsid w:val="02A13C5D"/>
    <w:rsid w:val="03FA1311"/>
    <w:rsid w:val="043C561C"/>
    <w:rsid w:val="07616808"/>
    <w:rsid w:val="07B20D84"/>
    <w:rsid w:val="085A2E5C"/>
    <w:rsid w:val="091A374D"/>
    <w:rsid w:val="09B53D11"/>
    <w:rsid w:val="0A2918FC"/>
    <w:rsid w:val="0AA42D7E"/>
    <w:rsid w:val="0AB33EE4"/>
    <w:rsid w:val="0B1B2C9C"/>
    <w:rsid w:val="0B3873F5"/>
    <w:rsid w:val="0B8D057B"/>
    <w:rsid w:val="0BC31393"/>
    <w:rsid w:val="0CCE1562"/>
    <w:rsid w:val="0CD80008"/>
    <w:rsid w:val="10723D1F"/>
    <w:rsid w:val="11D03A3E"/>
    <w:rsid w:val="146A0352"/>
    <w:rsid w:val="159C7DC9"/>
    <w:rsid w:val="15F334CD"/>
    <w:rsid w:val="16161090"/>
    <w:rsid w:val="17272936"/>
    <w:rsid w:val="174122FB"/>
    <w:rsid w:val="17502EE2"/>
    <w:rsid w:val="17D130D9"/>
    <w:rsid w:val="192677BC"/>
    <w:rsid w:val="1B0E344A"/>
    <w:rsid w:val="1B441CDA"/>
    <w:rsid w:val="1BF40A33"/>
    <w:rsid w:val="1D8D441D"/>
    <w:rsid w:val="1E2E640F"/>
    <w:rsid w:val="1EF97922"/>
    <w:rsid w:val="1F836DE8"/>
    <w:rsid w:val="1F9D3406"/>
    <w:rsid w:val="1FB42896"/>
    <w:rsid w:val="22ED19D7"/>
    <w:rsid w:val="24C06668"/>
    <w:rsid w:val="254E5352"/>
    <w:rsid w:val="25852043"/>
    <w:rsid w:val="271B301F"/>
    <w:rsid w:val="281A322C"/>
    <w:rsid w:val="28C42556"/>
    <w:rsid w:val="299723D2"/>
    <w:rsid w:val="2AC157DA"/>
    <w:rsid w:val="2BA30C18"/>
    <w:rsid w:val="2FE31128"/>
    <w:rsid w:val="30500E2C"/>
    <w:rsid w:val="30DF6EC0"/>
    <w:rsid w:val="313B6C90"/>
    <w:rsid w:val="31A67AD7"/>
    <w:rsid w:val="32535C6C"/>
    <w:rsid w:val="344616E0"/>
    <w:rsid w:val="35042102"/>
    <w:rsid w:val="3515209B"/>
    <w:rsid w:val="35B552A6"/>
    <w:rsid w:val="362D3D63"/>
    <w:rsid w:val="3790770A"/>
    <w:rsid w:val="37B02F35"/>
    <w:rsid w:val="3955527F"/>
    <w:rsid w:val="3A432E3B"/>
    <w:rsid w:val="3A541C86"/>
    <w:rsid w:val="3C0856E7"/>
    <w:rsid w:val="3C6E24CA"/>
    <w:rsid w:val="3CAF0FA1"/>
    <w:rsid w:val="3D6E30D7"/>
    <w:rsid w:val="3DDF5558"/>
    <w:rsid w:val="3DE17A63"/>
    <w:rsid w:val="3DE216D4"/>
    <w:rsid w:val="3E204336"/>
    <w:rsid w:val="3E3C47F5"/>
    <w:rsid w:val="3EE06A27"/>
    <w:rsid w:val="3EF83587"/>
    <w:rsid w:val="3F240786"/>
    <w:rsid w:val="420362B5"/>
    <w:rsid w:val="426C5ED3"/>
    <w:rsid w:val="43F03972"/>
    <w:rsid w:val="4518631F"/>
    <w:rsid w:val="454228D7"/>
    <w:rsid w:val="46B456B0"/>
    <w:rsid w:val="46CE26CE"/>
    <w:rsid w:val="47876D59"/>
    <w:rsid w:val="49466688"/>
    <w:rsid w:val="4A666A41"/>
    <w:rsid w:val="4AB62CC8"/>
    <w:rsid w:val="4B5D681E"/>
    <w:rsid w:val="4BC01FB7"/>
    <w:rsid w:val="4E9F2417"/>
    <w:rsid w:val="4F5B5DF6"/>
    <w:rsid w:val="4FA867C0"/>
    <w:rsid w:val="50171AE0"/>
    <w:rsid w:val="50283FCE"/>
    <w:rsid w:val="51872CC9"/>
    <w:rsid w:val="52160F4B"/>
    <w:rsid w:val="521D2A30"/>
    <w:rsid w:val="525107DD"/>
    <w:rsid w:val="52F01984"/>
    <w:rsid w:val="5307348C"/>
    <w:rsid w:val="538939AE"/>
    <w:rsid w:val="53C12DAA"/>
    <w:rsid w:val="549E0130"/>
    <w:rsid w:val="54C560FB"/>
    <w:rsid w:val="55412091"/>
    <w:rsid w:val="55D43E0C"/>
    <w:rsid w:val="564E3A6F"/>
    <w:rsid w:val="57E55F8D"/>
    <w:rsid w:val="580035AF"/>
    <w:rsid w:val="587B542F"/>
    <w:rsid w:val="594B3417"/>
    <w:rsid w:val="599C7A2A"/>
    <w:rsid w:val="5A5B2364"/>
    <w:rsid w:val="5B751E3C"/>
    <w:rsid w:val="5B812576"/>
    <w:rsid w:val="5B8F073B"/>
    <w:rsid w:val="5BAA4106"/>
    <w:rsid w:val="5DBD5CC6"/>
    <w:rsid w:val="5E640BA3"/>
    <w:rsid w:val="5F071903"/>
    <w:rsid w:val="5F735E26"/>
    <w:rsid w:val="5F765634"/>
    <w:rsid w:val="5FFD781A"/>
    <w:rsid w:val="60003920"/>
    <w:rsid w:val="60FC3BC9"/>
    <w:rsid w:val="61597461"/>
    <w:rsid w:val="616713F1"/>
    <w:rsid w:val="61EE09D8"/>
    <w:rsid w:val="62CA0C76"/>
    <w:rsid w:val="62CC3B42"/>
    <w:rsid w:val="63AC273D"/>
    <w:rsid w:val="64F22624"/>
    <w:rsid w:val="658164F3"/>
    <w:rsid w:val="660B6653"/>
    <w:rsid w:val="66755253"/>
    <w:rsid w:val="68176589"/>
    <w:rsid w:val="68587B83"/>
    <w:rsid w:val="69F53E8A"/>
    <w:rsid w:val="6AA53D43"/>
    <w:rsid w:val="6D926E08"/>
    <w:rsid w:val="6DD25D72"/>
    <w:rsid w:val="6F6549CE"/>
    <w:rsid w:val="6F663353"/>
    <w:rsid w:val="70796223"/>
    <w:rsid w:val="712105F8"/>
    <w:rsid w:val="712A41D1"/>
    <w:rsid w:val="7208414A"/>
    <w:rsid w:val="722041B4"/>
    <w:rsid w:val="738464D4"/>
    <w:rsid w:val="74A304EE"/>
    <w:rsid w:val="74DC3193"/>
    <w:rsid w:val="79745673"/>
    <w:rsid w:val="7AFA0576"/>
    <w:rsid w:val="7B0F6699"/>
    <w:rsid w:val="7B4C68A5"/>
    <w:rsid w:val="7BBD5DCD"/>
    <w:rsid w:val="7C747023"/>
    <w:rsid w:val="7CBB1BD5"/>
    <w:rsid w:val="7E2C6B59"/>
    <w:rsid w:val="7EDA718A"/>
    <w:rsid w:val="7F0235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_Style 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4155</Words>
  <Characters>751</Characters>
  <Lines>6</Lines>
  <Paragraphs>9</Paragraphs>
  <TotalTime>5</TotalTime>
  <ScaleCrop>false</ScaleCrop>
  <LinksUpToDate>false</LinksUpToDate>
  <CharactersWithSpaces>4897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Desdemo</cp:lastModifiedBy>
  <dcterms:modified xsi:type="dcterms:W3CDTF">2023-11-08T07:15:31Z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1B2EAB536FBC418FAD87054345B1FDC0</vt:lpwstr>
  </property>
</Properties>
</file>