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p>
    <w:p>
      <w:pPr>
        <w:jc w:val="center"/>
        <w:rPr>
          <w:rFonts w:hint="eastAsia" w:ascii="宋体" w:hAnsi="宋体" w:eastAsia="宋体" w:cs="宋体"/>
          <w:b/>
          <w:bCs/>
          <w:sz w:val="36"/>
          <w:szCs w:val="36"/>
          <w:lang w:val="en-US" w:eastAsia="zh-CN"/>
        </w:rPr>
      </w:pPr>
    </w:p>
    <w:p>
      <w:pPr>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“庞口镇庞石路市场路段景观改造提升项目”</w:t>
      </w:r>
    </w:p>
    <w:p>
      <w:pPr>
        <w:jc w:val="center"/>
        <w:rPr>
          <w:rFonts w:hint="eastAsia" w:ascii="宋体" w:hAnsi="宋体" w:eastAsia="宋体" w:cs="宋体"/>
          <w:b/>
          <w:bCs/>
          <w:sz w:val="44"/>
          <w:szCs w:val="44"/>
        </w:rPr>
      </w:pPr>
      <w:r>
        <w:rPr>
          <w:rFonts w:hint="eastAsia" w:ascii="宋体" w:hAnsi="宋体" w:eastAsia="宋体" w:cs="宋体"/>
          <w:b/>
          <w:bCs/>
          <w:sz w:val="36"/>
          <w:szCs w:val="36"/>
        </w:rPr>
        <w:t>重点绩效评价报告</w:t>
      </w:r>
    </w:p>
    <w:p>
      <w:pPr>
        <w:pStyle w:val="2"/>
        <w:ind w:left="0" w:leftChars="0" w:firstLine="0" w:firstLineChars="0"/>
        <w:jc w:val="center"/>
        <w:rPr>
          <w:rFonts w:hint="eastAsia" w:eastAsia="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为深入贯彻党的十九大精神，全面落实中央和省委、省政府关于实施预算绩效管理的决策部署，加强财政资金绩效管理，提高项目绩效管理水平，促进财政资金配置效率和使用效益提升，根据《中华人民共和国预算法》、财政部《项目支出绩效评价管理办法》（财预〔2020〕10 号）、《中共河北省委 河北省人民政府关于全面实施预算绩效管理的实施意见》(冀发〔2018〕54号)、《河北省省级预算绩效重点评价管理办法》（冀财绩〔2019〕11号）及《河北省财政厅关于加强和改进预算绩效重点评价工作 进一步提高评价质量的意见》（冀财绩〔2020〕3号）</w:t>
      </w:r>
      <w:r>
        <w:rPr>
          <w:rFonts w:hint="eastAsia" w:ascii="仿宋" w:hAnsi="仿宋" w:eastAsia="仿宋" w:cs="仿宋"/>
          <w:sz w:val="30"/>
          <w:szCs w:val="30"/>
          <w:lang w:val="en-US" w:eastAsia="zh-CN"/>
        </w:rPr>
        <w:t>、</w:t>
      </w:r>
      <w:r>
        <w:rPr>
          <w:rFonts w:hint="eastAsia" w:ascii="仿宋" w:hAnsi="仿宋" w:eastAsia="仿宋" w:cs="仿宋"/>
          <w:sz w:val="30"/>
          <w:szCs w:val="30"/>
        </w:rPr>
        <w:t>《地方政府债券发行管理办法》</w:t>
      </w:r>
      <w:r>
        <w:rPr>
          <w:rFonts w:hint="eastAsia" w:ascii="仿宋" w:hAnsi="仿宋" w:eastAsia="仿宋" w:cs="仿宋"/>
          <w:sz w:val="30"/>
          <w:szCs w:val="30"/>
          <w:lang w:eastAsia="zh-CN"/>
        </w:rPr>
        <w:t>（</w:t>
      </w:r>
      <w:r>
        <w:rPr>
          <w:rFonts w:hint="eastAsia" w:ascii="仿宋" w:hAnsi="仿宋" w:eastAsia="仿宋" w:cs="仿宋"/>
          <w:sz w:val="30"/>
          <w:szCs w:val="30"/>
        </w:rPr>
        <w:t>财库〔2020〕43号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高阳县县级预算</w:t>
      </w:r>
      <w:r>
        <w:rPr>
          <w:rFonts w:hint="eastAsia" w:ascii="仿宋" w:hAnsi="仿宋" w:eastAsia="仿宋" w:cs="仿宋"/>
          <w:sz w:val="30"/>
          <w:szCs w:val="30"/>
        </w:rPr>
        <w:t>绩效重点评价管理办法》</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高财监</w:t>
      </w:r>
      <w:r>
        <w:rPr>
          <w:rFonts w:hint="eastAsia" w:ascii="仿宋" w:hAnsi="仿宋" w:eastAsia="仿宋" w:cs="仿宋"/>
          <w:sz w:val="30"/>
          <w:szCs w:val="30"/>
        </w:rPr>
        <w:t>〔2020〕</w:t>
      </w:r>
      <w:r>
        <w:rPr>
          <w:rFonts w:hint="eastAsia" w:ascii="仿宋" w:hAnsi="仿宋" w:eastAsia="仿宋" w:cs="仿宋"/>
          <w:sz w:val="30"/>
          <w:szCs w:val="30"/>
          <w:lang w:val="en-US" w:eastAsia="zh-CN"/>
        </w:rPr>
        <w:t>7号</w:t>
      </w:r>
      <w:r>
        <w:rPr>
          <w:rFonts w:hint="eastAsia" w:ascii="仿宋" w:hAnsi="仿宋" w:eastAsia="仿宋" w:cs="仿宋"/>
          <w:sz w:val="30"/>
          <w:szCs w:val="30"/>
          <w:lang w:eastAsia="zh-CN"/>
        </w:rPr>
        <w:t>）</w:t>
      </w:r>
      <w:r>
        <w:rPr>
          <w:rFonts w:hint="eastAsia" w:ascii="仿宋" w:hAnsi="仿宋" w:eastAsia="仿宋" w:cs="仿宋"/>
          <w:sz w:val="30"/>
          <w:szCs w:val="30"/>
        </w:rPr>
        <w:t>等有关规定，我们于2022年</w:t>
      </w:r>
      <w:r>
        <w:rPr>
          <w:rFonts w:hint="eastAsia" w:ascii="仿宋" w:hAnsi="仿宋" w:eastAsia="仿宋" w:cs="仿宋"/>
          <w:sz w:val="30"/>
          <w:szCs w:val="30"/>
          <w:lang w:val="en-US" w:eastAsia="zh-CN"/>
        </w:rPr>
        <w:t>7</w:t>
      </w:r>
      <w:r>
        <w:rPr>
          <w:rFonts w:hint="eastAsia" w:ascii="仿宋" w:hAnsi="仿宋" w:eastAsia="仿宋" w:cs="仿宋"/>
          <w:sz w:val="30"/>
          <w:szCs w:val="30"/>
        </w:rPr>
        <w:t>月</w:t>
      </w:r>
      <w:r>
        <w:rPr>
          <w:rFonts w:hint="eastAsia" w:ascii="仿宋" w:hAnsi="仿宋" w:eastAsia="仿宋" w:cs="仿宋"/>
          <w:sz w:val="30"/>
          <w:szCs w:val="30"/>
          <w:lang w:val="en-US" w:eastAsia="zh-CN"/>
        </w:rPr>
        <w:t>份</w:t>
      </w:r>
      <w:r>
        <w:rPr>
          <w:rFonts w:hint="eastAsia" w:ascii="仿宋" w:hAnsi="仿宋" w:eastAsia="仿宋" w:cs="仿宋"/>
          <w:sz w:val="30"/>
          <w:szCs w:val="30"/>
        </w:rPr>
        <w:t>对</w:t>
      </w:r>
      <w:r>
        <w:rPr>
          <w:rFonts w:hint="eastAsia" w:ascii="仿宋" w:hAnsi="仿宋" w:eastAsia="仿宋" w:cs="仿宋"/>
          <w:sz w:val="30"/>
          <w:szCs w:val="30"/>
          <w:lang w:val="en-US" w:eastAsia="zh-CN"/>
        </w:rPr>
        <w:t>“庞口镇庞石路市场路段景观改造提升项目”</w:t>
      </w:r>
      <w:r>
        <w:rPr>
          <w:rFonts w:hint="eastAsia" w:ascii="仿宋" w:hAnsi="仿宋" w:eastAsia="仿宋" w:cs="仿宋"/>
          <w:sz w:val="30"/>
          <w:szCs w:val="30"/>
        </w:rPr>
        <w:t>进行了重点绩效评价，现将评价情况及结果报告如下：</w:t>
      </w:r>
    </w:p>
    <w:p>
      <w:pPr>
        <w:keepNext w:val="0"/>
        <w:keepLines w:val="0"/>
        <w:pageBreakBefore w:val="0"/>
        <w:widowControl w:val="0"/>
        <w:kinsoku/>
        <w:wordWrap/>
        <w:overflowPunct/>
        <w:topLinePunct w:val="0"/>
        <w:autoSpaceDE/>
        <w:autoSpaceDN/>
        <w:bidi w:val="0"/>
        <w:adjustRightInd/>
        <w:snapToGrid/>
        <w:spacing w:line="480" w:lineRule="exact"/>
        <w:ind w:left="56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一、基本情况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（一）项目单位概况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本项目的承办单位是高阳县庞口镇人民政府。根据《高阳县庞口镇主要职责、机构设置和人员编制规定》，高阳县庞口镇主要职责之一：讨论和决定本镇经济建设、政治建设、文化建设、社会建设、生态文明建设和党的建设以及乡村振兴中的重大问题。</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（二）项目建设的必要性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现有人行道亟待改善。根据对高阳县庞口镇庞石路市场路段现状的调查，庞石路两侧现状为杂填土，严重影响了附近居民、商铺及企业员工的交通出行及人居环境.本项目的建设将增加人行道使用性能，保障行人的出行安全，改善周围环境，提高庞口镇居民生活质量，提升庞口镇的整体面貌。</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机非”分离，提高安全防范能力。人行道是城市道路的重要组成部分，随着汽车的不断增多，机动化水平不断提高，拥有完善的交通系统十分重要。加强非机动车交通秩序的管理，实行“机非”分离措施，做到行人、非机动车、机动车各行其道，以更好地保障各自尤其是非机动车的行车安全，减少、避免交通事故的发生，从而保持良好的交通秩序，交通安全防范能力得到明显提高。</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促进区域经济建设的需要。项目实施是提高路网服务水平，是城市发展的基本条件，也是城市最重要的公共基础设施，更是建设现代化城市的必备条件。通过完善道路基础设施能够带动调整城市土地使用功能，有力的促进庞口镇的发展建设,进而促进区域经济建设。</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综上所述，建设配套完善的基础设施既可方便周边居民、商铺及企业员工等出行，同时也有利于加快当地社会与经济建设、提高当地路网服务水平，项目的建设是非常必要的。</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（三）项目概况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1.项目立项情况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2019年11月21日，高阳县发展和改革局以《关于高阳县庞口镇庞石路市场路段景观改造提升项目可行性研究报告的批复》（高阳发改投资〔2019〕241号），对高阳县庞口镇人民政府申报的《关于高阳县庞口镇庞石路市场路段景观改造提升项目可行性研究报告的请示》予以批复。本项目总投资为2283万元，资金来源为县财政资金和一般债券资金，其中一般债券资金800万元。</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2.实施过程</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2020年1月15日，高阳县庞口镇人民政府与河北汉方工程项目管理有限公司签订《建设工程招标代理协议书》，委托河北汉方工程项目管理有限公司对“庞口镇庞石路市场路段景观改造提升项目”进行招标。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过公开招标，2020年7月17日河北建设集团园林工程有限公司中标。高阳县庞口镇人民政府与河北建设集团园林工程有限公司签订《建设工程施工合同》。工程内容及规模：设计总长3182米，建设内容包括道路工程（人行道）、绿化工程、排水工程、垃圾清运及亮化工程。工程承包范围：包括完成本项目的设计施工总承包工作，具体包括勘察设计、初步设计（含概算文件编制）、施工图设计（含概预算）等设计工作，以及施工准备阶段、施工阶段、交竣工验收及养护期等阶段的所有施工。合同暂定价19,680,233.00元(仅作为合同暂定价及中标公示的填报依据，不作为工程结算依据)；计划工期自2020年7月20日至2020年12月31日。</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阳县财政投资评审中心委托保定市达和信工程造价咨询有限公司对该项目EPC总承包工程的合同价进行了评审，2021年1月25日出具了《庞口镇庞石路市场路段景观改造提升项目EPC总承包工程合同价评审报告》，项目EPC总承包工程合同价审定金额16,508,988.96元。2021年1月26日，高阳县财政投资评审中心批复庞口镇人民政府：庞口镇庞石路市场路段景观改造提升项目EPC总承包工程合同价为16,508,988.96元。</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2020年7月25日，高阳县庞口镇人民政府与恒康工程科技有限公司签订《建设工程监理合同》。施工期间，委托恒康工程科技有限公司实施全程监理。合同规定：签约酬金为固定总价148,000.00元。</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项目主体工程于2020年10月份完工，整体项目竣工验收于2021年10月19日完成。</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3.实施内容</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项目建设规模及内容：本项目设计总长3182米，建设内容包括道路工程（人行道）、绿化工程、排水工程、垃圾清运及亮化工程。 </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二、绩效评价工作组织开展情况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绩效评价工作分四个阶段实施：绩效评价项目的确定和选取、绩效评价的准备阶段、绩效评价的具体实施阶段和绩效评价工作的总结阶段。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点评价项目的选取。根据《河北省省级预算绩效重点评价管理办法》（冀财绩〔2019〕11号）、《高阳县县级预算绩效重点评价管理办法》（高财监〔2020〕7号）等文件要求，结合高阳县关于2022年县级财政重点绩效评价计划安排，高阳县财政局选取“庞口镇庞石路市场路段景观改造提升项目”并委托河北满好会计师事务所进行重点绩效评价。</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（二）绩效评价的准备阶段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圆满完成“庞口镇庞石路市场路段景观改造提升项目”的重点绩效评价工作，我们在成立专业的绩效评价工作组、明确绩效评价目的和原则的基础上，选定恰当的评价标准和评价重点、并选择合适的评价方式方法，制定了具有可操作性的评价实施方案。</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成立绩效评价工作组。根据“庞口镇庞石路市场路段景观改造提升项目”业务的特点和具体内容，按照具备专业胜任能力、绩效评价经验丰富、遵守职业道德要求、恪守诚信、客观公正、保持职业怀疑态度、严格履行保密义务的标准，组建绩效评价工作组。</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2.确定绩效评价的目的和原则</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（1）绩效评价目的。以改进预算管理、提升预算绩效为目标，加强财政资金绩效管理，提高项目绩效管理水平，促进财政资金的配置效率、使用效益的提升，提高预算管理水平和政策实施效果。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（2）绩效评价原则</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①问题导向。以相关法律、法规、规章以及国家、省、市有关文件政策等为依据，分析并抓住存在问题，究其原因、搜其危害、谋划措施、研究解决。</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②突出重点。以绩效导向和成本控制理念为出发点，以投入、产出和效果为评价重点，对资金安排使用的科学性、精准性、及时性、规范性、有效性进行综合评价。</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科学规范。采用定性与定量相结合的方法，通过多种途径和手段充分收集证据资料，保证评价结论依据充分。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4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④</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公平公正。在评价过程中，收集相关文件及资料，通过现场调研，查阅资料、专家咨询、问卷调查、召开评价会议等为评价结论提供充分的依据支持，确保评价结果的客观公正。</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3.绩效评价标准和评价重点</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（1）此次绩效评价标准主要使用了计划标准，即以预先制定的目标、计划、预算、定额等作为评价标准。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（2）绩效评价重点内容。重点是对资金安排使用的科学性、精准性、及时性、规范性、有效性等进行综合评价。</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①科学性。主要评价资金安排是否符合财政事权与支出责任相适应的要求，是否建立了规范高效的分配使用机制，是否存在项目安排散碎现象，是否发挥了财政资金的引导撬动作用等。</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精准性。主要评价资金投向是否聚焦特定工作任务或特定事业发展目标，是否紧密对接相关领域发展规划，是否符合厘清政府与市场边界的要求，资金投入方式是否符合相关行业、领域项目特点，是否选准支持项目的关键环节和实施节点，是否与实际成本或客观需要相匹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及时性。主要评价资金分解下达是否符合预算法规定期限，代编预算细化是否满足相关时限要求，支出进度是否达到既定进度目标要求。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4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④</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规范性。主要评价资金安排、使用是否合法合规，资金用途是否符合项目实施内容和工作任务，资金支出是否履行审批程序和手续、是否符合政府采购要求，会计信息是否完整准确，是否存在挤占挪用等问题。</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5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⑤</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有效性。主要评价项目绩效目标指标是否完成，支出内容是否准确合理，实施方式是否科学高效，资金使用是否厉行节约，是否实现少花钱、多办事，最大程度发挥了资金使用效益，整体对相关行业、领域的保障或带动作用是否得到了有效发挥。</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4.绩效评价的方式方法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（1）评价方式。本项目的绩效评价，我们选择采用聘请专家、召开座谈会、问卷调查和项目调研等方式。</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（2）评价方法。对本项目的绩效评价工作，按照简便有效的原则，根据评价对象的具体情况，采取以下一种或多种方法：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1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①</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成本效益分析法。指通过开展成本核算，并对全部成本和效益进行对比来评价项目（政策）投入价值，以实现投入最小的成本获得最大的收益为目标的分析方法。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对比分析法。指通过将绩效目标与预期实施效果、历史情况、不同部门和地区同类财政支出安排情况进行比较，对项目（政策）进行评价。</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因素分析法。指通过全面统计影响绩效目标实现和实施效果的内外因素，综合分析内外因素对绩效目标实现的影响程度，对项目（政策）进行评价。</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4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④</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公众评判法。指通过专家评估、抽样调查等方式，对相关情况提供咨询意见和结论支撑的评价方法。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5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⑤</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文献分析法。指通过对收集到的相关领域的文献资料进行研究，以深入了解评价对象的性质和状况，并从中引出相关观点或评价结论的方法。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6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⑥</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最低成本法。是指对预期效益不易计量的项目，通过综合分析测算其最低实施成本，对项目进行评价。</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7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⑦</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其他评价方法。其他能为评价结论提供支撑的方法。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5.制定切实可行的评价实施方案</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（1）在了解项目基本情况及做好以上准备工作的基础上，制定《庞口镇庞石路市场路段景观改造提升项目绩效评价工作实施方案》。</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向高阳县庞口镇人民政府送达评价通知书。工作组于实施评价前3个工作日书面通知高阳县庞口镇人民政府，告知评价工作组到达高阳县庞口镇人民政府的时间及评价所需资料名称清单，由高阳县庞口镇人民政府提前准备评价资料。</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（3）评价工作组进驻高阳县庞口镇人民政府，通过查阅资料、审查账表、翻阅合同档案、召开座谈会、发放调查问卷、随机访谈等方式进行现场工作。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（4）综合分析获取的全部资料和信息，形成初步评价结论，反馈给高阳县庞口镇人民政府征求意见。</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（5）撰写评价报告初稿提交高阳县庞口镇人民政府征求意见，根据反馈意见，修改、完善后形成正式的评价报告提交高阳县财政局。评价报告的主要内容包括：</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1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①</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被评价项目（单位）基本情况：评价对象概况、资金安排等。</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绩效评价指标及评价标准：绩效评价指标体系、评价标准、指标权重设定情况及设定依据。</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评价工作组织实施情况：评价工作组织实施情况、绩效评价方法及选择依据、评价过程控制等。</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4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④</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评价分析：按照工作方案、依据收集资料，对评价对象的绩效情况进行定量、定性的综合分析。</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5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⑤</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综合评价等级及评价结论：根据评价得分情况，从产出效果、资金使用等方面分别进行简要评价总结，形成总体评价结论。</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6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⑥</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存在问题：根据绩效评价情况，从部门工作管理、财政资金管理、制度建设、政策设计、项目管理等方面分析问题及成因。</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7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⑦</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整改建议：针对存在问题，从修订完善政策、调整资金投向、优化分配使用、改进投入方式、加强统筹整合、规范资金使用、提高资金效益、提请问责等方面，提出整改意见建议。</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（6）形成工作底稿。对绩效评价现场确定的重点情况及相关证据、问题、结论依据等，形成作为绩效评价报告依据的工作底稿，并经高阳县庞口镇人民政府签字盖章予以确认。</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（三）绩效评价工作的具体实施</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1.搜集评价资料。绩效评价工作组进驻高阳县庞口镇人民政府后，按照事先提供给被评价单位的资料清单，全面收集并核对绩效评价所需相关资料。</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2.听取情况介绍。评价工作组成员听取高阳县庞口镇人民政府关于高阳县庞口镇人民政府基本情况、庞口镇庞石路市场路段景观改造提升项目建设情况、专项资金项目绩效自评情况的介绍。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检查专项资金使用情况。通过查阅预算审批文件、资金预算拨付单据、资金使用的相关凭证、相关管理制度、资金使用效益等情况，针对资金投入预算编制的科学性、资金分配的合理性、资金使用合规性、管理制度健全性、项目实施效益等方面，获取绩效评价所需的基础资料。</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4.设计开展调研问卷。按照庞口镇庞石路市场路段景观改造提升项目的受益对象和业务关联方，设计不同的访谈调查问卷，对项目实施过程及效果的满意程度进行问卷调查并征询意见。</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5.初步分析并不断完善资料。对高阳县庞口镇人民政府提供的相关评价资料，结合专项资金使用情况及问卷调查的结果进行初步分析，确定需要高阳县庞口镇人民政府补充提供的资料清单及评价重点。</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完善评价指标。以财政部《项目支出绩效评价管理办法》（财预〔2020〕10号）规定的《项目支出绩效评价指标体系框架》为基础，结合《地方政府债券发行管理办法》（财库〔2020〕43号）的相关规定、本项目《可行性研究报告》中使用的相关评价指标以及高阳县庞口镇人民政府提供的《项目自评报告》，设计、确定《庞口镇庞石路市场路段景观改造提升项目绩效评价指标体系》。</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7.组织项目访谈。针对绩效评价过程发现的成绩、问题、建议等，与高阳县庞口镇人民政府的主管领导及部门负责人分别进行访谈。</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8.撰写提交评价报告。一是全面审阅梳理评价资料、研究分析相关情况；二是核实有关情况，分析形成初步结论；三是评价工作组按照项目绩效评价指标体系进行量化打分；四是撰写项目绩效评价报告（征求意见稿），并与被评价单位交换意见；五是综合分析被评价单位所提意见建议，适时修改完善并形成最终项目绩效评价报告；六是提交绩效评价报告。 </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（四）建立绩效评价档案。将绩效评价过程中所依据的所有资料进行归档保管。</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三、资金安排使用情况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（一）项目预算</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2020年5月份庞口镇人民政府委托河北加华工程设计有限公司编制《庞口镇庞石路市场路段景观改造提升项目初步设计概算书》，项目初步设计概算总投资2,273.81万元，其中建安工程费用1,934.67万元、工程建设其他费用170.71万元、预备费168.43万元。   </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（二）项目绩效目标设定</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高阳县庞口镇人民政府设定的2021年绩效目标，见下表：</w:t>
      </w:r>
    </w:p>
    <w:tbl>
      <w:tblPr>
        <w:tblStyle w:val="10"/>
        <w:tblW w:w="8955"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1125"/>
        <w:gridCol w:w="1560"/>
        <w:gridCol w:w="765"/>
        <w:gridCol w:w="885"/>
        <w:gridCol w:w="127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一级指标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二级指标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三级指标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指标分值</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预期指标值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符号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值</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单位</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产出指标</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数量指标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拨付金额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1439.0552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质量指标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合同规定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时效指标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合同规定工程量完成时间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成本指标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成本控制率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成本控制在预算资金内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效益指标</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经济效益指标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改善出行环境，优化营商环境，促进社会经济综合发展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改善出行环境，优化营商环境，促进社会经济综合发展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社会效益指标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建设绿色家园，提升居民的生活质量和幸福指数。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建设绿色家园，提升居民的生活质量和幸福指数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生态效益指标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保持道路环境卫生和美观，改善车辆出行条件减轻驾驶员视觉疲劳。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保持道路环境卫生和美观，改善车辆出行条件减轻驾驶员视觉疲劳。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可持续影响指标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环境改善促进招商引资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环境改善促进招商引资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满意度指标</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受益人满意度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95.00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预算执行率</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执行率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（三）资金拨付使用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1.项目资金拨入情况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截至2022年7月底，高阳县庞口镇人民政府收到项目资金14,390,552.00元，其中2021年2月份收到县财政资金11,390,552.00元、2022年7月份收到一般债券资金3,000,000.00元。</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2.项目资金支付情况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至2022年7月底，高阳县庞口镇人民政府支付项目资金14,390,552.00元。其中2021年2月份支付项目工程款11,346,152.00元；2021年4月份支付工程监理费44,400.00元；2022年7月份支付项目工程款2,896,400.00元、支付工程监理费103,600.00元。</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到位的专项资金全部用于该项目投入，没有发现截留、挤占、挪用项目资金的情况，与项目内容相匹配，项目资金分配使用基本合规、合理。</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四、整体评价结论</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（一）评价总得分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们认为：“庞口镇庞石路市场路段景观改造提升项目”立项依据充分、立项程序规范、绩效目标合理且明确、纳入政府财政预算管理；管理制度基本健全、执行总体有效；遵守并执行政府采购政策规定。但在项目会计核算、施工合同签订等方面存在个别问题。</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“庞口镇庞石路市场路段景观改造提升项目”绩效评价综合得分96分，其中：决策指标分值20分、得分20分，管理指标分值20分、得分16分， 产出指标分值30分、得分30分，效益指标分值30分、得分30分。绩效评价具体得分情况见下表：</w:t>
      </w: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6"/>
        <w:spacing w:line="359" w:lineRule="exact"/>
        <w:ind w:left="20"/>
        <w:jc w:val="center"/>
        <w:rPr>
          <w:rFonts w:hint="eastAsia" w:ascii="仿宋" w:hAnsi="仿宋" w:eastAsia="仿宋" w:cs="仿宋"/>
          <w:b/>
          <w:bCs/>
          <w:kern w:val="2"/>
          <w:sz w:val="30"/>
          <w:szCs w:val="30"/>
          <w:lang w:val="en-US" w:eastAsia="zh-CN" w:bidi="ar-SA"/>
        </w:rPr>
      </w:pPr>
    </w:p>
    <w:p>
      <w:pPr>
        <w:pStyle w:val="6"/>
        <w:spacing w:line="359" w:lineRule="exact"/>
        <w:ind w:left="20"/>
        <w:jc w:val="center"/>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“庞口镇庞石路市场路段景观改造提升项目”绩效评价结果</w:t>
      </w:r>
    </w:p>
    <w:p>
      <w:pPr>
        <w:pStyle w:val="2"/>
        <w:ind w:left="0" w:leftChars="0" w:firstLine="0" w:firstLineChars="0"/>
      </w:pPr>
    </w:p>
    <w:tbl>
      <w:tblPr>
        <w:tblStyle w:val="10"/>
        <w:tblW w:w="92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2580"/>
        <w:gridCol w:w="3622"/>
        <w:gridCol w:w="709"/>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blHeader/>
          <w:jc w:val="center"/>
        </w:trPr>
        <w:tc>
          <w:tcPr>
            <w:tcW w:w="1467" w:type="dxa"/>
            <w:noWrap w:val="0"/>
            <w:vAlign w:val="top"/>
          </w:tcPr>
          <w:p>
            <w:pPr>
              <w:pStyle w:val="18"/>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2580" w:type="dxa"/>
            <w:noWrap w:val="0"/>
            <w:vAlign w:val="top"/>
          </w:tcPr>
          <w:p>
            <w:pPr>
              <w:pStyle w:val="18"/>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3622" w:type="dxa"/>
            <w:noWrap w:val="0"/>
            <w:vAlign w:val="top"/>
          </w:tcPr>
          <w:p>
            <w:pPr>
              <w:pStyle w:val="18"/>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709" w:type="dxa"/>
            <w:noWrap w:val="0"/>
            <w:vAlign w:val="top"/>
          </w:tcPr>
          <w:p>
            <w:pPr>
              <w:pStyle w:val="18"/>
              <w:spacing w:before="187"/>
              <w:jc w:val="center"/>
              <w:rPr>
                <w:rFonts w:hint="eastAsia" w:ascii="仿宋" w:hAnsi="仿宋" w:eastAsia="仿宋" w:cs="仿宋"/>
                <w:b/>
                <w:sz w:val="24"/>
              </w:rPr>
            </w:pPr>
            <w:r>
              <w:rPr>
                <w:rFonts w:hint="eastAsia" w:ascii="仿宋" w:hAnsi="仿宋" w:eastAsia="仿宋" w:cs="仿宋"/>
                <w:b/>
                <w:sz w:val="24"/>
              </w:rPr>
              <w:t>分值</w:t>
            </w:r>
          </w:p>
        </w:tc>
        <w:tc>
          <w:tcPr>
            <w:tcW w:w="840" w:type="dxa"/>
            <w:noWrap w:val="0"/>
            <w:vAlign w:val="top"/>
          </w:tcPr>
          <w:p>
            <w:pPr>
              <w:pStyle w:val="18"/>
              <w:spacing w:before="187"/>
              <w:jc w:val="center"/>
              <w:rPr>
                <w:rFonts w:hint="eastAsia" w:ascii="仿宋" w:hAnsi="仿宋" w:eastAsia="仿宋" w:cs="仿宋"/>
                <w:b/>
                <w:sz w:val="24"/>
              </w:rPr>
            </w:pPr>
            <w:r>
              <w:rPr>
                <w:rFonts w:hint="eastAsia" w:ascii="仿宋" w:hAnsi="仿宋" w:eastAsia="仿宋" w:cs="仿宋"/>
                <w:b/>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restart"/>
            <w:tcBorders>
              <w:top w:val="single" w:color="auto" w:sz="4" w:space="0"/>
              <w:left w:val="single" w:color="auto" w:sz="4" w:space="0"/>
            </w:tcBorders>
            <w:noWrap w:val="0"/>
            <w:vAlign w:val="center"/>
          </w:tcPr>
          <w:p>
            <w:pPr>
              <w:pStyle w:val="18"/>
              <w:spacing w:line="314" w:lineRule="exact"/>
              <w:ind w:left="26" w:right="234"/>
              <w:jc w:val="center"/>
              <w:rPr>
                <w:rFonts w:hint="eastAsia" w:ascii="仿宋" w:hAnsi="仿宋" w:eastAsia="仿宋" w:cs="仿宋"/>
                <w:sz w:val="21"/>
              </w:rPr>
            </w:pPr>
            <w:r>
              <w:rPr>
                <w:rFonts w:hint="eastAsia" w:ascii="仿宋" w:hAnsi="仿宋" w:eastAsia="仿宋" w:cs="仿宋"/>
                <w:sz w:val="21"/>
              </w:rPr>
              <w:t>决策</w:t>
            </w:r>
          </w:p>
          <w:p>
            <w:pPr>
              <w:pStyle w:val="18"/>
              <w:tabs>
                <w:tab w:val="left" w:pos="642"/>
              </w:tabs>
              <w:jc w:val="center"/>
              <w:rPr>
                <w:rFonts w:hint="eastAsia" w:ascii="仿宋" w:hAnsi="仿宋" w:eastAsia="仿宋" w:cs="仿宋"/>
                <w:color w:val="auto"/>
                <w:sz w:val="21"/>
              </w:rPr>
            </w:pPr>
            <w:r>
              <w:rPr>
                <w:rFonts w:hint="eastAsia" w:ascii="仿宋" w:hAnsi="仿宋" w:eastAsia="仿宋" w:cs="仿宋"/>
                <w:sz w:val="21"/>
              </w:rPr>
              <w:t>（20 分）</w:t>
            </w:r>
          </w:p>
        </w:tc>
        <w:tc>
          <w:tcPr>
            <w:tcW w:w="2580" w:type="dxa"/>
            <w:vMerge w:val="restart"/>
            <w:tcBorders>
              <w:top w:val="single" w:color="auto" w:sz="4" w:space="0"/>
              <w:left w:val="single" w:color="auto" w:sz="4" w:space="0"/>
            </w:tcBorders>
            <w:noWrap w:val="0"/>
            <w:vAlign w:val="center"/>
          </w:tcPr>
          <w:p>
            <w:pPr>
              <w:pStyle w:val="18"/>
              <w:jc w:val="center"/>
              <w:rPr>
                <w:rFonts w:hint="eastAsia" w:ascii="仿宋" w:hAnsi="仿宋" w:eastAsia="仿宋" w:cs="仿宋"/>
                <w:sz w:val="26"/>
              </w:rPr>
            </w:pPr>
            <w:r>
              <w:rPr>
                <w:rFonts w:hint="eastAsia" w:ascii="仿宋" w:hAnsi="仿宋" w:eastAsia="仿宋" w:cs="仿宋"/>
                <w:spacing w:val="-1"/>
                <w:sz w:val="21"/>
              </w:rPr>
              <w:t>项目立项</w:t>
            </w:r>
          </w:p>
          <w:p>
            <w:pPr>
              <w:pStyle w:val="18"/>
              <w:tabs>
                <w:tab w:val="left" w:pos="642"/>
              </w:tabs>
              <w:jc w:val="center"/>
              <w:rPr>
                <w:rFonts w:hint="eastAsia" w:ascii="仿宋" w:hAnsi="仿宋" w:eastAsia="仿宋" w:cs="仿宋"/>
                <w:color w:val="auto"/>
                <w:sz w:val="21"/>
              </w:rPr>
            </w:pPr>
            <w:r>
              <w:rPr>
                <w:rFonts w:hint="eastAsia" w:ascii="仿宋" w:hAnsi="仿宋" w:eastAsia="仿宋" w:cs="仿宋"/>
                <w:sz w:val="21"/>
              </w:rPr>
              <w:t>（</w:t>
            </w:r>
            <w:r>
              <w:rPr>
                <w:rFonts w:hint="eastAsia" w:ascii="仿宋" w:hAnsi="仿宋" w:eastAsia="仿宋" w:cs="仿宋"/>
                <w:sz w:val="21"/>
                <w:lang w:val="en-US" w:eastAsia="zh-CN"/>
              </w:rPr>
              <w:t>10</w:t>
            </w:r>
            <w:r>
              <w:rPr>
                <w:rFonts w:hint="eastAsia" w:ascii="仿宋" w:hAnsi="仿宋" w:eastAsia="仿宋" w:cs="仿宋"/>
                <w:spacing w:val="-1"/>
                <w:sz w:val="21"/>
              </w:rPr>
              <w:t xml:space="preserve"> 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rPr>
            </w:pPr>
            <w:r>
              <w:rPr>
                <w:rFonts w:hint="eastAsia" w:ascii="仿宋" w:hAnsi="仿宋" w:eastAsia="仿宋" w:cs="仿宋"/>
                <w:sz w:val="21"/>
              </w:rPr>
              <w:t>立项依据充分（</w:t>
            </w:r>
            <w:r>
              <w:rPr>
                <w:rFonts w:hint="eastAsia" w:ascii="仿宋" w:hAnsi="仿宋" w:eastAsia="仿宋" w:cs="仿宋"/>
                <w:sz w:val="21"/>
                <w:lang w:val="en-US" w:eastAsia="zh-CN"/>
              </w:rPr>
              <w:t>5</w:t>
            </w:r>
            <w:r>
              <w:rPr>
                <w:rFonts w:hint="eastAsia" w:ascii="仿宋" w:hAnsi="仿宋" w:eastAsia="仿宋" w:cs="仿宋"/>
                <w:sz w:val="21"/>
              </w:rPr>
              <w:t xml:space="preserve">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color w:val="auto"/>
                <w:sz w:val="21"/>
              </w:rPr>
            </w:pPr>
          </w:p>
        </w:tc>
        <w:tc>
          <w:tcPr>
            <w:tcW w:w="2580"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rPr>
            </w:pP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rPr>
            </w:pPr>
            <w:r>
              <w:rPr>
                <w:rFonts w:hint="eastAsia" w:ascii="仿宋" w:hAnsi="仿宋" w:eastAsia="仿宋" w:cs="仿宋"/>
                <w:sz w:val="21"/>
              </w:rPr>
              <w:t>立项程序规范性（</w:t>
            </w:r>
            <w:r>
              <w:rPr>
                <w:rFonts w:hint="eastAsia" w:ascii="仿宋" w:hAnsi="仿宋" w:eastAsia="仿宋" w:cs="仿宋"/>
                <w:sz w:val="21"/>
                <w:lang w:val="en-US" w:eastAsia="zh-CN"/>
              </w:rPr>
              <w:t>5</w:t>
            </w:r>
            <w:r>
              <w:rPr>
                <w:rFonts w:hint="eastAsia" w:ascii="仿宋" w:hAnsi="仿宋" w:eastAsia="仿宋" w:cs="仿宋"/>
                <w:sz w:val="21"/>
              </w:rPr>
              <w:t xml:space="preserve">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color w:val="auto"/>
                <w:sz w:val="21"/>
              </w:rPr>
            </w:pPr>
          </w:p>
        </w:tc>
        <w:tc>
          <w:tcPr>
            <w:tcW w:w="2580" w:type="dxa"/>
            <w:vMerge w:val="restart"/>
            <w:tcBorders>
              <w:top w:val="single" w:color="auto" w:sz="4" w:space="0"/>
              <w:left w:val="single" w:color="auto" w:sz="4" w:space="0"/>
            </w:tcBorders>
            <w:noWrap w:val="0"/>
            <w:vAlign w:val="center"/>
          </w:tcPr>
          <w:p>
            <w:pPr>
              <w:pStyle w:val="18"/>
              <w:jc w:val="center"/>
              <w:rPr>
                <w:rFonts w:hint="eastAsia" w:ascii="仿宋" w:hAnsi="仿宋" w:eastAsia="仿宋" w:cs="仿宋"/>
                <w:sz w:val="26"/>
              </w:rPr>
            </w:pPr>
            <w:r>
              <w:rPr>
                <w:rFonts w:hint="eastAsia" w:ascii="仿宋" w:hAnsi="仿宋" w:eastAsia="仿宋" w:cs="仿宋"/>
                <w:spacing w:val="-1"/>
                <w:sz w:val="21"/>
              </w:rPr>
              <w:t>绩效目标</w:t>
            </w:r>
          </w:p>
          <w:p>
            <w:pPr>
              <w:pStyle w:val="18"/>
              <w:tabs>
                <w:tab w:val="left" w:pos="642"/>
              </w:tabs>
              <w:jc w:val="center"/>
              <w:rPr>
                <w:rFonts w:hint="eastAsia" w:ascii="仿宋" w:hAnsi="仿宋" w:eastAsia="仿宋" w:cs="仿宋"/>
                <w:color w:val="auto"/>
                <w:sz w:val="21"/>
              </w:rPr>
            </w:pPr>
            <w:r>
              <w:rPr>
                <w:rFonts w:hint="eastAsia" w:ascii="仿宋" w:hAnsi="仿宋" w:eastAsia="仿宋" w:cs="仿宋"/>
                <w:sz w:val="21"/>
              </w:rPr>
              <w:t>（</w:t>
            </w:r>
            <w:r>
              <w:rPr>
                <w:rFonts w:hint="eastAsia" w:ascii="仿宋" w:hAnsi="仿宋" w:eastAsia="仿宋" w:cs="仿宋"/>
                <w:sz w:val="21"/>
                <w:lang w:val="en-US" w:eastAsia="zh-CN"/>
              </w:rPr>
              <w:t>10</w:t>
            </w:r>
            <w:r>
              <w:rPr>
                <w:rFonts w:hint="eastAsia" w:ascii="仿宋" w:hAnsi="仿宋" w:eastAsia="仿宋" w:cs="仿宋"/>
                <w:spacing w:val="-1"/>
                <w:sz w:val="21"/>
              </w:rPr>
              <w:t xml:space="preserve"> 分</w:t>
            </w:r>
            <w:r>
              <w:rPr>
                <w:rFonts w:hint="eastAsia" w:ascii="仿宋" w:hAnsi="仿宋" w:eastAsia="仿宋" w:cs="仿宋"/>
                <w:sz w:val="21"/>
              </w:rPr>
              <w:t>）</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rPr>
            </w:pPr>
            <w:r>
              <w:rPr>
                <w:rFonts w:hint="eastAsia" w:ascii="仿宋" w:hAnsi="仿宋" w:eastAsia="仿宋" w:cs="仿宋"/>
                <w:sz w:val="21"/>
              </w:rPr>
              <w:t>绩效目标合理性（</w:t>
            </w:r>
            <w:r>
              <w:rPr>
                <w:rFonts w:hint="eastAsia" w:ascii="仿宋" w:hAnsi="仿宋" w:eastAsia="仿宋" w:cs="仿宋"/>
                <w:sz w:val="21"/>
                <w:lang w:val="en-US" w:eastAsia="zh-CN"/>
              </w:rPr>
              <w:t>5</w:t>
            </w:r>
            <w:r>
              <w:rPr>
                <w:rFonts w:hint="eastAsia" w:ascii="仿宋" w:hAnsi="仿宋" w:eastAsia="仿宋" w:cs="仿宋"/>
                <w:sz w:val="21"/>
              </w:rPr>
              <w:t xml:space="preserve">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rPr>
            </w:pPr>
          </w:p>
        </w:tc>
        <w:tc>
          <w:tcPr>
            <w:tcW w:w="2580"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rPr>
            </w:pP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rPr>
            </w:pPr>
            <w:r>
              <w:rPr>
                <w:rFonts w:hint="eastAsia" w:ascii="仿宋" w:hAnsi="仿宋" w:eastAsia="仿宋" w:cs="仿宋"/>
                <w:sz w:val="21"/>
              </w:rPr>
              <w:t>绩效指标明确性（</w:t>
            </w:r>
            <w:r>
              <w:rPr>
                <w:rFonts w:hint="eastAsia" w:ascii="仿宋" w:hAnsi="仿宋" w:eastAsia="仿宋" w:cs="仿宋"/>
                <w:sz w:val="21"/>
                <w:lang w:val="en-US" w:eastAsia="zh-CN"/>
              </w:rPr>
              <w:t>5</w:t>
            </w:r>
            <w:r>
              <w:rPr>
                <w:rFonts w:hint="eastAsia" w:ascii="仿宋" w:hAnsi="仿宋" w:eastAsia="仿宋" w:cs="仿宋"/>
                <w:sz w:val="21"/>
              </w:rPr>
              <w:t xml:space="preserve">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blHeader/>
          <w:jc w:val="center"/>
        </w:trPr>
        <w:tc>
          <w:tcPr>
            <w:tcW w:w="7669" w:type="dxa"/>
            <w:gridSpan w:val="3"/>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sz w:val="21"/>
              </w:rPr>
              <w:t>小</w:t>
            </w:r>
            <w:r>
              <w:rPr>
                <w:rFonts w:hint="eastAsia" w:ascii="仿宋" w:hAnsi="仿宋" w:eastAsia="仿宋" w:cs="仿宋"/>
                <w:sz w:val="21"/>
                <w:lang w:val="en-US" w:eastAsia="zh-CN"/>
              </w:rPr>
              <w:t xml:space="preserve">  </w:t>
            </w:r>
            <w:r>
              <w:rPr>
                <w:rFonts w:hint="eastAsia" w:ascii="仿宋" w:hAnsi="仿宋" w:eastAsia="仿宋" w:cs="仿宋"/>
                <w:sz w:val="21"/>
              </w:rPr>
              <w:t>计（20</w:t>
            </w:r>
            <w:r>
              <w:rPr>
                <w:rFonts w:hint="eastAsia" w:ascii="仿宋" w:hAnsi="仿宋" w:eastAsia="仿宋" w:cs="仿宋"/>
                <w:spacing w:val="-8"/>
                <w:sz w:val="21"/>
              </w:rPr>
              <w:t xml:space="preserve"> </w:t>
            </w:r>
            <w:r>
              <w:rPr>
                <w:rFonts w:hint="eastAsia" w:ascii="仿宋" w:hAnsi="仿宋" w:eastAsia="仿宋" w:cs="仿宋"/>
                <w:sz w:val="21"/>
              </w:rPr>
              <w:t>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restart"/>
            <w:tcBorders>
              <w:top w:val="single" w:color="auto" w:sz="4" w:space="0"/>
              <w:left w:val="single" w:color="auto" w:sz="4" w:space="0"/>
            </w:tcBorders>
            <w:noWrap w:val="0"/>
            <w:vAlign w:val="center"/>
          </w:tcPr>
          <w:p>
            <w:pPr>
              <w:pStyle w:val="18"/>
              <w:spacing w:line="314" w:lineRule="exact"/>
              <w:ind w:left="26" w:right="234"/>
              <w:jc w:val="center"/>
              <w:rPr>
                <w:rFonts w:hint="eastAsia" w:ascii="仿宋" w:hAnsi="仿宋" w:eastAsia="仿宋" w:cs="仿宋"/>
                <w:sz w:val="21"/>
              </w:rPr>
            </w:pPr>
            <w:r>
              <w:rPr>
                <w:rFonts w:hint="eastAsia" w:ascii="仿宋" w:hAnsi="仿宋" w:eastAsia="仿宋" w:cs="仿宋"/>
                <w:sz w:val="21"/>
              </w:rPr>
              <w:t>管理</w:t>
            </w:r>
          </w:p>
          <w:p>
            <w:pPr>
              <w:pStyle w:val="18"/>
              <w:tabs>
                <w:tab w:val="left" w:pos="642"/>
              </w:tabs>
              <w:jc w:val="center"/>
              <w:rPr>
                <w:rFonts w:hint="eastAsia" w:ascii="仿宋" w:hAnsi="仿宋" w:eastAsia="仿宋" w:cs="仿宋"/>
                <w:sz w:val="21"/>
              </w:rPr>
            </w:pPr>
            <w:r>
              <w:rPr>
                <w:rFonts w:hint="eastAsia" w:ascii="仿宋" w:hAnsi="仿宋" w:eastAsia="仿宋" w:cs="仿宋"/>
                <w:sz w:val="21"/>
              </w:rPr>
              <w:t>（20 分）</w:t>
            </w:r>
          </w:p>
        </w:tc>
        <w:tc>
          <w:tcPr>
            <w:tcW w:w="2580" w:type="dxa"/>
            <w:vMerge w:val="restart"/>
            <w:tcBorders>
              <w:top w:val="single" w:color="auto" w:sz="4" w:space="0"/>
              <w:left w:val="single" w:color="auto" w:sz="4" w:space="0"/>
            </w:tcBorders>
            <w:noWrap w:val="0"/>
            <w:vAlign w:val="center"/>
          </w:tcPr>
          <w:p>
            <w:pPr>
              <w:pStyle w:val="18"/>
              <w:jc w:val="center"/>
              <w:rPr>
                <w:rFonts w:hint="eastAsia" w:ascii="仿宋" w:hAnsi="仿宋" w:eastAsia="仿宋" w:cs="仿宋"/>
                <w:sz w:val="26"/>
              </w:rPr>
            </w:pPr>
            <w:r>
              <w:rPr>
                <w:rFonts w:hint="eastAsia" w:ascii="仿宋" w:hAnsi="仿宋" w:eastAsia="仿宋" w:cs="仿宋"/>
                <w:spacing w:val="-1"/>
                <w:sz w:val="21"/>
              </w:rPr>
              <w:t>资金管理</w:t>
            </w:r>
          </w:p>
          <w:p>
            <w:pPr>
              <w:pStyle w:val="18"/>
              <w:tabs>
                <w:tab w:val="left" w:pos="642"/>
              </w:tabs>
              <w:jc w:val="center"/>
              <w:rPr>
                <w:rFonts w:hint="eastAsia" w:ascii="仿宋" w:hAnsi="仿宋" w:eastAsia="仿宋" w:cs="仿宋"/>
                <w:sz w:val="21"/>
              </w:rPr>
            </w:pPr>
            <w:r>
              <w:rPr>
                <w:rFonts w:hint="eastAsia" w:ascii="仿宋" w:hAnsi="仿宋" w:eastAsia="仿宋" w:cs="仿宋"/>
                <w:sz w:val="21"/>
              </w:rPr>
              <w:t>（10</w:t>
            </w:r>
            <w:r>
              <w:rPr>
                <w:rFonts w:hint="eastAsia" w:ascii="仿宋" w:hAnsi="仿宋" w:eastAsia="仿宋" w:cs="仿宋"/>
                <w:spacing w:val="-1"/>
                <w:sz w:val="21"/>
              </w:rPr>
              <w:t xml:space="preserve"> 分</w:t>
            </w:r>
            <w:r>
              <w:rPr>
                <w:rFonts w:hint="eastAsia" w:ascii="仿宋" w:hAnsi="仿宋" w:eastAsia="仿宋" w:cs="仿宋"/>
                <w:sz w:val="21"/>
              </w:rPr>
              <w:t>）</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rPr>
              <w:t>资金使用合规性（</w:t>
            </w:r>
            <w:r>
              <w:rPr>
                <w:rFonts w:hint="eastAsia" w:ascii="仿宋" w:hAnsi="仿宋" w:eastAsia="仿宋" w:cs="仿宋"/>
                <w:color w:val="auto"/>
                <w:sz w:val="21"/>
                <w:lang w:val="en-US" w:eastAsia="zh-CN"/>
              </w:rPr>
              <w:t>5</w:t>
            </w:r>
            <w:r>
              <w:rPr>
                <w:rFonts w:hint="eastAsia" w:ascii="仿宋" w:hAnsi="仿宋" w:eastAsia="仿宋" w:cs="仿宋"/>
                <w:color w:val="auto"/>
                <w:sz w:val="21"/>
              </w:rPr>
              <w:t xml:space="preserve"> 分）</w:t>
            </w:r>
          </w:p>
        </w:tc>
        <w:tc>
          <w:tcPr>
            <w:tcW w:w="709"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840"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lang w:val="en-US" w:eastAsia="zh-CN"/>
              </w:rPr>
              <w:t>会计信息准确性</w:t>
            </w:r>
            <w:r>
              <w:rPr>
                <w:rFonts w:hint="eastAsia" w:ascii="仿宋" w:hAnsi="仿宋" w:eastAsia="仿宋" w:cs="仿宋"/>
                <w:color w:val="auto"/>
                <w:sz w:val="21"/>
              </w:rPr>
              <w:t>（</w:t>
            </w:r>
            <w:r>
              <w:rPr>
                <w:rFonts w:hint="eastAsia" w:ascii="仿宋" w:hAnsi="仿宋" w:eastAsia="仿宋" w:cs="仿宋"/>
                <w:color w:val="auto"/>
                <w:sz w:val="21"/>
                <w:lang w:val="en-US" w:eastAsia="zh-CN"/>
              </w:rPr>
              <w:t>5</w:t>
            </w:r>
            <w:r>
              <w:rPr>
                <w:rFonts w:hint="eastAsia" w:ascii="仿宋" w:hAnsi="仿宋" w:eastAsia="仿宋" w:cs="仿宋"/>
                <w:color w:val="auto"/>
                <w:sz w:val="21"/>
              </w:rPr>
              <w:t xml:space="preserve"> 分）</w:t>
            </w:r>
          </w:p>
        </w:tc>
        <w:tc>
          <w:tcPr>
            <w:tcW w:w="709"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840"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vMerge w:val="restart"/>
            <w:tcBorders>
              <w:top w:val="single" w:color="auto" w:sz="4" w:space="0"/>
              <w:left w:val="single" w:color="auto" w:sz="4" w:space="0"/>
            </w:tcBorders>
            <w:noWrap w:val="0"/>
            <w:vAlign w:val="center"/>
          </w:tcPr>
          <w:p>
            <w:pPr>
              <w:pStyle w:val="18"/>
              <w:jc w:val="center"/>
              <w:rPr>
                <w:rFonts w:hint="eastAsia" w:ascii="仿宋" w:hAnsi="仿宋" w:eastAsia="仿宋" w:cs="仿宋"/>
                <w:spacing w:val="-1"/>
                <w:sz w:val="21"/>
              </w:rPr>
            </w:pPr>
            <w:r>
              <w:rPr>
                <w:rFonts w:hint="eastAsia" w:ascii="仿宋" w:hAnsi="仿宋" w:eastAsia="仿宋" w:cs="仿宋"/>
                <w:spacing w:val="-1"/>
                <w:sz w:val="21"/>
              </w:rPr>
              <w:t>组织实施</w:t>
            </w:r>
          </w:p>
          <w:p>
            <w:pPr>
              <w:pStyle w:val="18"/>
              <w:tabs>
                <w:tab w:val="left" w:pos="642"/>
              </w:tabs>
              <w:jc w:val="center"/>
              <w:rPr>
                <w:rFonts w:hint="eastAsia" w:ascii="仿宋" w:hAnsi="仿宋" w:eastAsia="仿宋" w:cs="仿宋"/>
                <w:sz w:val="21"/>
              </w:rPr>
            </w:pPr>
            <w:r>
              <w:rPr>
                <w:rFonts w:hint="eastAsia" w:ascii="仿宋" w:hAnsi="仿宋" w:eastAsia="仿宋" w:cs="仿宋"/>
                <w:spacing w:val="-1"/>
                <w:sz w:val="21"/>
              </w:rPr>
              <w:t>（10 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rPr>
              <w:t>管理制度健全性（3 分）</w:t>
            </w:r>
          </w:p>
        </w:tc>
        <w:tc>
          <w:tcPr>
            <w:tcW w:w="709"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40"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rPr>
              <w:t>招</w:t>
            </w:r>
            <w:r>
              <w:rPr>
                <w:rFonts w:hint="eastAsia" w:ascii="仿宋" w:hAnsi="仿宋" w:eastAsia="仿宋" w:cs="仿宋"/>
                <w:color w:val="auto"/>
                <w:sz w:val="21"/>
                <w:lang w:val="en-US" w:eastAsia="zh-CN"/>
              </w:rPr>
              <w:t>投</w:t>
            </w:r>
            <w:r>
              <w:rPr>
                <w:rFonts w:hint="eastAsia" w:ascii="仿宋" w:hAnsi="仿宋" w:eastAsia="仿宋" w:cs="仿宋"/>
                <w:color w:val="auto"/>
                <w:sz w:val="21"/>
              </w:rPr>
              <w:t>标</w:t>
            </w:r>
            <w:r>
              <w:rPr>
                <w:rFonts w:hint="eastAsia" w:ascii="仿宋" w:hAnsi="仿宋" w:eastAsia="仿宋" w:cs="仿宋"/>
                <w:color w:val="auto"/>
                <w:sz w:val="21"/>
                <w:lang w:val="en-US" w:eastAsia="zh-CN"/>
              </w:rPr>
              <w:t>程序</w:t>
            </w:r>
            <w:r>
              <w:rPr>
                <w:rFonts w:hint="eastAsia" w:ascii="仿宋" w:hAnsi="仿宋" w:eastAsia="仿宋" w:cs="仿宋"/>
                <w:color w:val="auto"/>
                <w:sz w:val="21"/>
              </w:rPr>
              <w:t>合规性（3 分）</w:t>
            </w:r>
          </w:p>
        </w:tc>
        <w:tc>
          <w:tcPr>
            <w:tcW w:w="709"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40"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lang w:val="en-US" w:eastAsia="zh-CN"/>
              </w:rPr>
              <w:t>制度执行有效性（4 分）</w:t>
            </w:r>
          </w:p>
        </w:tc>
        <w:tc>
          <w:tcPr>
            <w:tcW w:w="709"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840"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blHeader/>
          <w:jc w:val="center"/>
        </w:trPr>
        <w:tc>
          <w:tcPr>
            <w:tcW w:w="7669" w:type="dxa"/>
            <w:gridSpan w:val="3"/>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rPr>
              <w:t>小</w:t>
            </w:r>
            <w:r>
              <w:rPr>
                <w:rFonts w:hint="eastAsia" w:ascii="仿宋" w:hAnsi="仿宋" w:eastAsia="仿宋" w:cs="仿宋"/>
                <w:color w:val="auto"/>
                <w:sz w:val="21"/>
                <w:lang w:val="en-US" w:eastAsia="zh-CN"/>
              </w:rPr>
              <w:t xml:space="preserve">  </w:t>
            </w:r>
            <w:r>
              <w:rPr>
                <w:rFonts w:hint="eastAsia" w:ascii="仿宋" w:hAnsi="仿宋" w:eastAsia="仿宋" w:cs="仿宋"/>
                <w:color w:val="auto"/>
                <w:sz w:val="21"/>
              </w:rPr>
              <w:t>计（20</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709"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20</w:t>
            </w:r>
          </w:p>
        </w:tc>
        <w:tc>
          <w:tcPr>
            <w:tcW w:w="840" w:type="dxa"/>
            <w:noWrap w:val="0"/>
            <w:vAlign w:val="top"/>
          </w:tcPr>
          <w:p>
            <w:pPr>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restart"/>
            <w:tcBorders>
              <w:top w:val="single" w:color="auto" w:sz="4" w:space="0"/>
              <w:left w:val="single" w:color="auto" w:sz="4" w:space="0"/>
            </w:tcBorders>
            <w:noWrap w:val="0"/>
            <w:vAlign w:val="center"/>
          </w:tcPr>
          <w:p>
            <w:pPr>
              <w:pStyle w:val="18"/>
              <w:spacing w:before="182" w:line="314" w:lineRule="exact"/>
              <w:ind w:left="26" w:right="234"/>
              <w:jc w:val="center"/>
              <w:rPr>
                <w:rFonts w:hint="eastAsia" w:ascii="仿宋" w:hAnsi="仿宋" w:eastAsia="仿宋" w:cs="仿宋"/>
                <w:color w:val="auto"/>
                <w:sz w:val="21"/>
              </w:rPr>
            </w:pPr>
            <w:r>
              <w:rPr>
                <w:rFonts w:hint="eastAsia" w:ascii="仿宋" w:hAnsi="仿宋" w:eastAsia="仿宋" w:cs="仿宋"/>
                <w:color w:val="auto"/>
                <w:sz w:val="21"/>
              </w:rPr>
              <w:t>产出</w:t>
            </w:r>
          </w:p>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rPr>
              <w:t>（30 分）</w:t>
            </w:r>
          </w:p>
        </w:tc>
        <w:tc>
          <w:tcPr>
            <w:tcW w:w="2580"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default" w:ascii="仿宋" w:hAnsi="仿宋" w:eastAsia="仿宋" w:cs="仿宋"/>
                <w:sz w:val="21"/>
                <w:lang w:val="en-US" w:eastAsia="zh-CN"/>
              </w:rPr>
            </w:pPr>
            <w:r>
              <w:rPr>
                <w:rFonts w:hint="eastAsia" w:ascii="仿宋" w:hAnsi="仿宋" w:eastAsia="仿宋" w:cs="仿宋"/>
                <w:sz w:val="21"/>
                <w:lang w:val="en-US" w:eastAsia="zh-CN"/>
              </w:rPr>
              <w:t>产出数量（8分）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lang w:val="en-US" w:eastAsia="zh-CN"/>
              </w:rPr>
              <w:t>项目设计规模及内容</w:t>
            </w:r>
            <w:r>
              <w:rPr>
                <w:rFonts w:hint="eastAsia" w:ascii="仿宋" w:hAnsi="仿宋" w:eastAsia="仿宋" w:cs="仿宋"/>
                <w:color w:val="auto"/>
                <w:sz w:val="21"/>
              </w:rPr>
              <w:t>（</w:t>
            </w:r>
            <w:r>
              <w:rPr>
                <w:rFonts w:hint="eastAsia" w:ascii="仿宋" w:hAnsi="仿宋" w:eastAsia="仿宋" w:cs="仿宋"/>
                <w:color w:val="auto"/>
                <w:sz w:val="21"/>
                <w:lang w:val="en-US" w:eastAsia="zh-CN"/>
              </w:rPr>
              <w:t>8</w:t>
            </w:r>
            <w:r>
              <w:rPr>
                <w:rFonts w:hint="eastAsia" w:ascii="仿宋" w:hAnsi="仿宋" w:eastAsia="仿宋" w:cs="仿宋"/>
                <w:color w:val="auto"/>
                <w:sz w:val="21"/>
              </w:rPr>
              <w:t xml:space="preserve">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8</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default" w:ascii="仿宋" w:hAnsi="仿宋" w:eastAsia="仿宋" w:cs="仿宋"/>
                <w:sz w:val="21"/>
                <w:lang w:val="en-US" w:eastAsia="zh-CN"/>
              </w:rPr>
            </w:pPr>
            <w:r>
              <w:rPr>
                <w:rFonts w:hint="eastAsia" w:ascii="仿宋" w:hAnsi="仿宋" w:eastAsia="仿宋" w:cs="仿宋"/>
                <w:sz w:val="21"/>
                <w:lang w:val="en-US" w:eastAsia="zh-CN"/>
              </w:rPr>
              <w:t>产出质量（8分）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lang w:val="en-US" w:eastAsia="zh-CN"/>
              </w:rPr>
              <w:t>达到项目验收标准</w:t>
            </w:r>
            <w:r>
              <w:rPr>
                <w:rFonts w:hint="eastAsia" w:ascii="仿宋" w:hAnsi="仿宋" w:eastAsia="仿宋" w:cs="仿宋"/>
                <w:color w:val="auto"/>
                <w:sz w:val="21"/>
              </w:rPr>
              <w:t>（</w:t>
            </w:r>
            <w:r>
              <w:rPr>
                <w:rFonts w:hint="eastAsia" w:ascii="仿宋" w:hAnsi="仿宋" w:eastAsia="仿宋" w:cs="仿宋"/>
                <w:color w:val="auto"/>
                <w:sz w:val="21"/>
                <w:lang w:val="en-US" w:eastAsia="zh-CN"/>
              </w:rPr>
              <w:t>8</w:t>
            </w:r>
            <w:r>
              <w:rPr>
                <w:rFonts w:hint="eastAsia" w:ascii="仿宋" w:hAnsi="仿宋" w:eastAsia="仿宋" w:cs="仿宋"/>
                <w:color w:val="auto"/>
                <w:sz w:val="21"/>
              </w:rPr>
              <w:t xml:space="preserve">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8</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default" w:ascii="仿宋" w:hAnsi="仿宋" w:eastAsia="仿宋" w:cs="仿宋"/>
                <w:sz w:val="21"/>
                <w:lang w:val="en-US" w:eastAsia="zh-CN"/>
              </w:rPr>
            </w:pPr>
            <w:r>
              <w:rPr>
                <w:rFonts w:hint="eastAsia" w:ascii="仿宋" w:hAnsi="仿宋" w:eastAsia="仿宋" w:cs="仿宋"/>
                <w:sz w:val="21"/>
                <w:lang w:val="en-US" w:eastAsia="zh-CN"/>
              </w:rPr>
              <w:t>产出时效（7分）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lang w:val="en-US" w:eastAsia="zh-CN"/>
              </w:rPr>
              <w:t>工程周期在预计时间内（7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7</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default" w:ascii="仿宋" w:hAnsi="仿宋" w:eastAsia="仿宋" w:cs="仿宋"/>
                <w:sz w:val="21"/>
                <w:lang w:val="en-US" w:eastAsia="zh-CN"/>
              </w:rPr>
            </w:pPr>
            <w:r>
              <w:rPr>
                <w:rFonts w:hint="eastAsia" w:ascii="仿宋" w:hAnsi="仿宋" w:eastAsia="仿宋" w:cs="仿宋"/>
                <w:sz w:val="21"/>
                <w:lang w:val="en-US" w:eastAsia="zh-CN"/>
              </w:rPr>
              <w:t>产出成本（7</w:t>
            </w:r>
            <w:bookmarkStart w:id="0" w:name="_GoBack"/>
            <w:bookmarkEnd w:id="0"/>
            <w:r>
              <w:rPr>
                <w:rFonts w:hint="eastAsia" w:ascii="仿宋" w:hAnsi="仿宋" w:eastAsia="仿宋" w:cs="仿宋"/>
                <w:sz w:val="21"/>
                <w:lang w:val="en-US" w:eastAsia="zh-CN"/>
              </w:rPr>
              <w:t>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lang w:val="en-US" w:eastAsia="zh-CN"/>
              </w:rPr>
              <w:t>总投资在概算范围内（7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7</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blHeader/>
          <w:jc w:val="center"/>
        </w:trPr>
        <w:tc>
          <w:tcPr>
            <w:tcW w:w="7669" w:type="dxa"/>
            <w:gridSpan w:val="3"/>
            <w:tcBorders>
              <w:top w:val="single" w:color="auto" w:sz="4" w:space="0"/>
              <w:left w:val="single" w:color="auto" w:sz="4" w:space="0"/>
              <w:bottom w:val="single" w:color="auto" w:sz="4" w:space="0"/>
            </w:tcBorders>
            <w:noWrap w:val="0"/>
            <w:vAlign w:val="center"/>
          </w:tcPr>
          <w:p>
            <w:pPr>
              <w:pStyle w:val="18"/>
              <w:tabs>
                <w:tab w:val="left" w:pos="642"/>
              </w:tabs>
              <w:jc w:val="center"/>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小  计（30分）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30</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restart"/>
            <w:tcBorders>
              <w:top w:val="single" w:color="auto" w:sz="4" w:space="0"/>
              <w:left w:val="single" w:color="auto" w:sz="4" w:space="0"/>
            </w:tcBorders>
            <w:noWrap w:val="0"/>
            <w:vAlign w:val="center"/>
          </w:tcPr>
          <w:p>
            <w:pPr>
              <w:pStyle w:val="18"/>
              <w:spacing w:line="314" w:lineRule="exact"/>
              <w:ind w:left="26" w:right="234"/>
              <w:jc w:val="center"/>
              <w:rPr>
                <w:rFonts w:hint="eastAsia" w:ascii="仿宋" w:hAnsi="仿宋" w:eastAsia="仿宋" w:cs="仿宋"/>
                <w:sz w:val="21"/>
              </w:rPr>
            </w:pPr>
            <w:r>
              <w:rPr>
                <w:rFonts w:hint="eastAsia" w:ascii="仿宋" w:hAnsi="仿宋" w:eastAsia="仿宋" w:cs="仿宋"/>
                <w:sz w:val="21"/>
              </w:rPr>
              <w:t>效益</w:t>
            </w:r>
          </w:p>
          <w:p>
            <w:pPr>
              <w:pStyle w:val="18"/>
              <w:tabs>
                <w:tab w:val="left" w:pos="642"/>
              </w:tabs>
              <w:jc w:val="center"/>
              <w:rPr>
                <w:rFonts w:hint="eastAsia" w:ascii="仿宋" w:hAnsi="仿宋" w:eastAsia="仿宋" w:cs="仿宋"/>
                <w:sz w:val="21"/>
              </w:rPr>
            </w:pPr>
            <w:r>
              <w:rPr>
                <w:rFonts w:hint="eastAsia" w:ascii="仿宋" w:hAnsi="仿宋" w:eastAsia="仿宋" w:cs="仿宋"/>
                <w:sz w:val="21"/>
              </w:rPr>
              <w:t>（30 分）</w:t>
            </w:r>
          </w:p>
        </w:tc>
        <w:tc>
          <w:tcPr>
            <w:tcW w:w="2580"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sz w:val="21"/>
              </w:rPr>
              <w:t>经济效益指标（5 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促进社会经济综合发展</w:t>
            </w:r>
            <w:r>
              <w:rPr>
                <w:rFonts w:hint="eastAsia" w:ascii="仿宋" w:hAnsi="仿宋" w:eastAsia="仿宋" w:cs="仿宋"/>
                <w:color w:val="auto"/>
                <w:sz w:val="21"/>
              </w:rPr>
              <w:t>（</w:t>
            </w:r>
            <w:r>
              <w:rPr>
                <w:rFonts w:hint="eastAsia" w:ascii="仿宋" w:hAnsi="仿宋" w:eastAsia="仿宋" w:cs="仿宋"/>
                <w:color w:val="auto"/>
                <w:sz w:val="21"/>
                <w:lang w:val="en-US" w:eastAsia="zh-CN"/>
              </w:rPr>
              <w:t>5</w:t>
            </w:r>
            <w:r>
              <w:rPr>
                <w:rFonts w:hint="eastAsia" w:ascii="仿宋" w:hAnsi="仿宋" w:eastAsia="仿宋" w:cs="仿宋"/>
                <w:color w:val="auto"/>
                <w:sz w:val="21"/>
              </w:rPr>
              <w:t xml:space="preserve">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vMerge w:val="restart"/>
            <w:tcBorders>
              <w:top w:val="single" w:color="auto" w:sz="4" w:space="0"/>
              <w:left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rPr>
              <w:t>社会效益指标（5 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提供良好的出行条件（2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改善区域营商环境（3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rPr>
              <w:t>生态效益指标（5 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lang w:val="en-US" w:eastAsia="zh-CN"/>
              </w:rPr>
            </w:pPr>
            <w:r>
              <w:rPr>
                <w:rFonts w:hint="eastAsia" w:ascii="仿宋" w:hAnsi="仿宋" w:eastAsia="仿宋" w:cs="仿宋"/>
                <w:i w:val="0"/>
                <w:iCs w:val="0"/>
                <w:color w:val="000000"/>
                <w:kern w:val="0"/>
                <w:sz w:val="21"/>
                <w:szCs w:val="21"/>
                <w:u w:val="none"/>
                <w:lang w:val="en-US" w:eastAsia="zh-CN" w:bidi="ar"/>
              </w:rPr>
              <w:t>保持道路环境</w:t>
            </w:r>
            <w:r>
              <w:rPr>
                <w:rFonts w:hint="eastAsia" w:ascii="仿宋" w:hAnsi="仿宋" w:eastAsia="仿宋" w:cs="仿宋"/>
                <w:color w:val="000000" w:themeColor="text1"/>
                <w:sz w:val="21"/>
                <w:szCs w:val="21"/>
                <w:lang w:val="en-US" w:eastAsia="zh-CN"/>
                <w14:textFill>
                  <w14:solidFill>
                    <w14:schemeClr w14:val="tx1"/>
                  </w14:solidFill>
                </w14:textFill>
              </w:rPr>
              <w:t>卫生和美观，提供良好的生活工作环境（5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lang w:val="en-US" w:eastAsia="zh-CN"/>
              </w:rPr>
              <w:t>可持续影响指标</w:t>
            </w:r>
            <w:r>
              <w:rPr>
                <w:rFonts w:hint="eastAsia" w:ascii="仿宋" w:hAnsi="仿宋" w:eastAsia="仿宋" w:cs="仿宋"/>
                <w:color w:val="auto"/>
                <w:sz w:val="21"/>
              </w:rPr>
              <w:t>（5 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lang w:val="en-US" w:eastAsia="zh-CN"/>
              </w:rPr>
            </w:pPr>
            <w:r>
              <w:rPr>
                <w:rFonts w:hint="eastAsia" w:ascii="仿宋" w:hAnsi="仿宋" w:eastAsia="仿宋" w:cs="仿宋"/>
                <w:i w:val="0"/>
                <w:iCs w:val="0"/>
                <w:color w:val="000000"/>
                <w:kern w:val="0"/>
                <w:sz w:val="21"/>
                <w:szCs w:val="21"/>
                <w:u w:val="none"/>
                <w:lang w:val="en-US" w:eastAsia="zh-CN" w:bidi="ar"/>
              </w:rPr>
              <w:t>环境改善促进招商引资</w:t>
            </w:r>
            <w:r>
              <w:rPr>
                <w:rFonts w:hint="eastAsia" w:ascii="仿宋" w:hAnsi="仿宋" w:eastAsia="仿宋" w:cs="仿宋"/>
                <w:color w:val="auto"/>
                <w:sz w:val="21"/>
              </w:rPr>
              <w:t>（</w:t>
            </w:r>
            <w:r>
              <w:rPr>
                <w:rFonts w:hint="eastAsia" w:ascii="仿宋" w:hAnsi="仿宋" w:eastAsia="仿宋" w:cs="仿宋"/>
                <w:color w:val="auto"/>
                <w:sz w:val="21"/>
                <w:lang w:val="en-US" w:eastAsia="zh-CN"/>
              </w:rPr>
              <w:t>5</w:t>
            </w:r>
            <w:r>
              <w:rPr>
                <w:rFonts w:hint="eastAsia" w:ascii="仿宋" w:hAnsi="仿宋" w:eastAsia="仿宋" w:cs="仿宋"/>
                <w:color w:val="auto"/>
                <w:sz w:val="21"/>
              </w:rPr>
              <w:t xml:space="preserve">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vMerge w:val="restart"/>
            <w:tcBorders>
              <w:top w:val="single" w:color="auto" w:sz="4" w:space="0"/>
              <w:left w:val="single" w:color="auto" w:sz="4" w:space="0"/>
            </w:tcBorders>
            <w:noWrap w:val="0"/>
            <w:vAlign w:val="center"/>
          </w:tcPr>
          <w:p>
            <w:pPr>
              <w:pStyle w:val="18"/>
              <w:tabs>
                <w:tab w:val="left" w:pos="642"/>
              </w:tabs>
              <w:jc w:val="center"/>
              <w:rPr>
                <w:rFonts w:hint="eastAsia" w:ascii="仿宋" w:hAnsi="仿宋" w:eastAsia="仿宋" w:cs="仿宋"/>
                <w:sz w:val="21"/>
              </w:rPr>
            </w:pPr>
            <w:r>
              <w:rPr>
                <w:rFonts w:hint="eastAsia" w:ascii="仿宋" w:hAnsi="仿宋" w:eastAsia="仿宋" w:cs="仿宋"/>
                <w:color w:val="auto"/>
                <w:sz w:val="21"/>
              </w:rPr>
              <w:t>还本付息指标（5 分）</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lang w:val="en-US" w:eastAsia="zh-CN"/>
              </w:rPr>
            </w:pPr>
            <w:r>
              <w:rPr>
                <w:rFonts w:hint="eastAsia" w:ascii="仿宋" w:hAnsi="仿宋" w:eastAsia="仿宋" w:cs="仿宋"/>
                <w:color w:val="auto"/>
                <w:sz w:val="21"/>
              </w:rPr>
              <w:t>能够偿还债券本金（3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lang w:val="en-US" w:eastAsia="zh-CN"/>
              </w:rPr>
            </w:pPr>
            <w:r>
              <w:rPr>
                <w:rFonts w:hint="eastAsia" w:ascii="仿宋" w:hAnsi="仿宋" w:eastAsia="仿宋" w:cs="仿宋"/>
                <w:color w:val="auto"/>
                <w:sz w:val="21"/>
              </w:rPr>
              <w:t>能够偿还债券利息（2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vMerge w:val="restart"/>
            <w:tcBorders>
              <w:top w:val="single" w:color="auto" w:sz="4" w:space="0"/>
              <w:left w:val="single" w:color="auto" w:sz="4" w:space="0"/>
            </w:tcBorders>
            <w:noWrap w:val="0"/>
            <w:vAlign w:val="center"/>
          </w:tcPr>
          <w:p>
            <w:pPr>
              <w:pStyle w:val="18"/>
              <w:spacing w:before="114" w:line="237" w:lineRule="auto"/>
              <w:ind w:left="108" w:right="100"/>
              <w:jc w:val="center"/>
              <w:rPr>
                <w:rFonts w:hint="eastAsia" w:ascii="仿宋" w:hAnsi="仿宋" w:eastAsia="仿宋" w:cs="仿宋"/>
                <w:sz w:val="21"/>
              </w:rPr>
            </w:pPr>
            <w:r>
              <w:rPr>
                <w:rFonts w:hint="eastAsia" w:ascii="仿宋" w:hAnsi="仿宋" w:eastAsia="仿宋" w:cs="仿宋"/>
                <w:color w:val="auto"/>
                <w:spacing w:val="-4"/>
                <w:sz w:val="21"/>
              </w:rPr>
              <w:t>服务对象满</w:t>
            </w:r>
            <w:r>
              <w:rPr>
                <w:rFonts w:hint="eastAsia" w:ascii="仿宋" w:hAnsi="仿宋" w:eastAsia="仿宋" w:cs="仿宋"/>
                <w:color w:val="auto"/>
                <w:sz w:val="21"/>
              </w:rPr>
              <w:t>意指标（5</w:t>
            </w:r>
            <w:r>
              <w:rPr>
                <w:rFonts w:hint="eastAsia" w:ascii="仿宋" w:hAnsi="仿宋" w:eastAsia="仿宋" w:cs="仿宋"/>
                <w:color w:val="auto"/>
                <w:spacing w:val="-1"/>
                <w:sz w:val="21"/>
              </w:rPr>
              <w:t xml:space="preserve"> 分</w:t>
            </w:r>
            <w:r>
              <w:rPr>
                <w:rFonts w:hint="eastAsia" w:ascii="仿宋" w:hAnsi="仿宋" w:eastAsia="仿宋" w:cs="仿宋"/>
                <w:color w:val="auto"/>
                <w:sz w:val="21"/>
              </w:rPr>
              <w:t>）</w:t>
            </w: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lang w:val="en-US" w:eastAsia="zh-CN"/>
              </w:rPr>
            </w:pPr>
            <w:r>
              <w:rPr>
                <w:rFonts w:hint="eastAsia" w:ascii="仿宋" w:hAnsi="仿宋" w:eastAsia="仿宋" w:cs="仿宋"/>
                <w:color w:val="auto"/>
                <w:sz w:val="21"/>
              </w:rPr>
              <w:t>公众满意度（</w:t>
            </w:r>
            <w:r>
              <w:rPr>
                <w:rFonts w:hint="eastAsia" w:ascii="仿宋" w:hAnsi="仿宋" w:eastAsia="仿宋" w:cs="仿宋"/>
                <w:color w:val="auto"/>
                <w:sz w:val="21"/>
                <w:lang w:val="en-US" w:eastAsia="zh-CN"/>
              </w:rPr>
              <w:t>3</w:t>
            </w:r>
            <w:r>
              <w:rPr>
                <w:rFonts w:hint="eastAsia" w:ascii="仿宋" w:hAnsi="仿宋" w:eastAsia="仿宋" w:cs="仿宋"/>
                <w:color w:val="auto"/>
                <w:sz w:val="21"/>
              </w:rPr>
              <w:t xml:space="preserve">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blHeader/>
          <w:jc w:val="center"/>
        </w:trPr>
        <w:tc>
          <w:tcPr>
            <w:tcW w:w="1467"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2580" w:type="dxa"/>
            <w:vMerge w:val="continue"/>
            <w:tcBorders>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sz w:val="21"/>
              </w:rPr>
            </w:pPr>
          </w:p>
        </w:tc>
        <w:tc>
          <w:tcPr>
            <w:tcW w:w="3622" w:type="dxa"/>
            <w:tcBorders>
              <w:top w:val="single" w:color="auto" w:sz="4" w:space="0"/>
              <w:left w:val="single" w:color="auto" w:sz="4" w:space="0"/>
              <w:bottom w:val="single" w:color="auto" w:sz="4" w:space="0"/>
            </w:tcBorders>
            <w:noWrap w:val="0"/>
            <w:vAlign w:val="center"/>
          </w:tcPr>
          <w:p>
            <w:pPr>
              <w:pStyle w:val="18"/>
              <w:tabs>
                <w:tab w:val="left" w:pos="642"/>
              </w:tabs>
              <w:jc w:val="center"/>
              <w:rPr>
                <w:rFonts w:hint="eastAsia" w:ascii="仿宋" w:hAnsi="仿宋" w:eastAsia="仿宋" w:cs="仿宋"/>
                <w:color w:val="auto"/>
                <w:sz w:val="21"/>
                <w:lang w:val="en-US" w:eastAsia="zh-CN"/>
              </w:rPr>
            </w:pPr>
            <w:r>
              <w:rPr>
                <w:rFonts w:hint="eastAsia" w:ascii="仿宋" w:hAnsi="仿宋" w:eastAsia="仿宋" w:cs="仿宋"/>
                <w:color w:val="auto"/>
                <w:sz w:val="21"/>
              </w:rPr>
              <w:t>企业满意度（</w:t>
            </w:r>
            <w:r>
              <w:rPr>
                <w:rFonts w:hint="eastAsia" w:ascii="仿宋" w:hAnsi="仿宋" w:eastAsia="仿宋" w:cs="仿宋"/>
                <w:color w:val="auto"/>
                <w:sz w:val="21"/>
                <w:lang w:val="en-US" w:eastAsia="zh-CN"/>
              </w:rPr>
              <w:t>2</w:t>
            </w:r>
            <w:r>
              <w:rPr>
                <w:rFonts w:hint="eastAsia" w:ascii="仿宋" w:hAnsi="仿宋" w:eastAsia="仿宋" w:cs="仿宋"/>
                <w:color w:val="auto"/>
                <w:sz w:val="21"/>
              </w:rPr>
              <w:t xml:space="preserve"> 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blHeader/>
          <w:jc w:val="center"/>
        </w:trPr>
        <w:tc>
          <w:tcPr>
            <w:tcW w:w="7669" w:type="dxa"/>
            <w:gridSpan w:val="3"/>
            <w:tcBorders>
              <w:top w:val="single" w:color="auto" w:sz="4" w:space="0"/>
              <w:left w:val="single" w:color="auto" w:sz="4" w:space="0"/>
              <w:bottom w:val="single" w:color="auto" w:sz="4" w:space="0"/>
            </w:tcBorders>
            <w:noWrap w:val="0"/>
            <w:vAlign w:val="center"/>
          </w:tcPr>
          <w:p>
            <w:pPr>
              <w:pStyle w:val="18"/>
              <w:tabs>
                <w:tab w:val="left" w:pos="642"/>
              </w:tabs>
              <w:jc w:val="center"/>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小  计（30分）</w:t>
            </w:r>
          </w:p>
        </w:tc>
        <w:tc>
          <w:tcPr>
            <w:tcW w:w="709"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30</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8378" w:type="dxa"/>
            <w:gridSpan w:val="4"/>
            <w:tcBorders>
              <w:top w:val="single" w:color="auto" w:sz="4" w:space="0"/>
              <w:left w:val="single" w:color="auto" w:sz="4" w:space="0"/>
              <w:bottom w:val="single" w:color="auto" w:sz="4" w:space="0"/>
            </w:tcBorders>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sz w:val="21"/>
                <w:lang w:val="en-US" w:eastAsia="zh-CN"/>
              </w:rPr>
              <w:t>合  计（100分）</w:t>
            </w:r>
          </w:p>
        </w:tc>
        <w:tc>
          <w:tcPr>
            <w:tcW w:w="840" w:type="dxa"/>
            <w:noWrap w:val="0"/>
            <w:vAlign w:val="center"/>
          </w:tcPr>
          <w:p>
            <w:pPr>
              <w:bidi w:val="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96</w:t>
            </w:r>
          </w:p>
        </w:tc>
      </w:tr>
    </w:tbl>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（二）评价等级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根据河北省财政厅颁发的《河北省省级预算绩效重点评价管理办法》第十七条：“重点评价结果采取评级形式,以优、良、中、差四个等级来反映;评价结果能量化的,也可以分值来表述,在评价总分设置为 100 分情况下,一般得分与等级对应关系为:90 分以上为优、80-90 分为良、 60-80 分为中、 60 分以下为差”的规定，评价工作组对“庞口镇庞石路市场路段景观改造提升项目”的总体评价等级为“优”。</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（三）绩效评价指标分析</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1.项目决策情况。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决策指标分值20分、得分20分。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（1）项目立项</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庞口镇庞石路市场路段景观改造提升项目”已通过高阳县发展和改革局的批复：2019年11月21日，高阳县发展和改革局以《关于高阳县庞口镇庞石路市场路段景观改造提升项目可行性研究报告的批复》（高阳发改投资〔2019〕241号），对高阳县庞口镇人民政府申报的《关于高阳县庞口镇庞石路市场路段景观改造提升项目可行性研究报告的请示》予以批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①立项依据充分性。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庞口镇庞石路市场路段景观改造提升项目”前期工作包括前期规划和设计、项目建议书编制、可行性研究报告及论证，工程建设包括招投标、设计勘察、土建施工、竣工验收等，严格按照国家相关法律法规履行基本建设程序，并取得相关审批文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立项程序规范性。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单位在推进“庞口镇庞石路市场路段景观改造提升项目”的前期工作中，按规定先后申请并获批了项目建议书批复、可行性研究报告批复、建设项目环评、建设工程规划许可证等项目建设必需手续，符合立项程序规范性的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“项目立项”二级指标分值10分，实际得分10分。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（2）绩效目标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①绩效目标合理性。总的看，项目绩效目标的设定与项目资金的使用范围密切相关，绩效指标能够涵盖项目建设的主要方面，评价工作组认可其合理性。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绩效指标明确性。“庞口镇庞石路市场路段景观改造提升项目”绩效目标目的明确、指标先进、评分严谨，符合绩效指标明确性的要求。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“绩效目标”二级指标分值10分，实际得分10分。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2.项目管理情况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管理指标分值20分、得分16分。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（1）资金管理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①资金使用合规性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经查：到位的专项资金全部用于该项目投入，与项目内容相匹配，项目资金分配使用基本合规、合理。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②会计信息准确性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通过查阅账目发现，高阳县庞口镇人民政府支付的该项目工程进度款、工程监理费（已取得相应发票）计入了“业务活动费用”科目和“应付账款”科目，费用列支渠道不正确。按照《政府会计制度》规定，支付的工程进度款、工程监理费应通过“在建工程”科目核算。待工程达到预定可使用状态或完工验收合格后，将在建工程转入固定资产。项目会计核算不尽准确。评价工作组因此将满分5分的会计信息准确性打分时，扣减了2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“资金管理”二级指标分值10分，实际得分8分。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（2）组织实施</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①管理制度健全性。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经查，高阳县庞口镇人民政府制定了《建设项目管理制度》、《预算管理制度》、《收支管理制度》、《采购管理制度》、《资产管理制度》、《合同管理制度》等内部管理制度，内容齐全、规定明确。</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2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②</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项目招投标程序合规性。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查，高阳县庞口镇人民政府能够按照《中华人民共和国政府采购法》的有关规定，于2020年1月15日委托河北汉方工程项目管理有限公司对建设项目进行公开招标，河北建设集团园林工程有限公司、恒康工程科技有限公司中标。按规定将招标结果公示无异议后，高阳县庞口镇人民政府与河北建设集团园林工程有限公司签订了《建设工程施工合同》、与恒康工程科技有限公司签订《建设工程监理合同》。</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 3 \* GB3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③</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制度执行有效性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总体上看，高阳县庞口镇人民政府能够遵守法律法规及相关行业建设规范；能够执行建设项目管理、资金收支管理、预算管理、政府采购管理、资产管理等内部管理制度的相关规定。但是在合同签订执行方面有待规范。</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查阅签订的施工合同和相关账目发现，《建设工程施工合同》中关于工程预付款、订立时间、订立地点等条款签订的不规范；工程款实际支付没有完全执行合同约定。评价工作组因此将满分4分的制度执行有效性打分时，扣减了2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“组织实施”二级指标分值10分，实际得分8分。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3.项目产出情况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产出指标分值30分、得分30分。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（1）产出数量</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主体工程于2020年10月份完工，整体项目竣工验收于2021年10月19日完成。本项目为庞口镇市场路段，已经按照要求完成合同内项目施工，包括常绿乔木、落叶灌木、花灌木等栽植工程；便道砖、混凝土、彩色混凝土等铺装工程；给排水工程；亮化工程。</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“产出数量”二级指标分值8分，实际得分8分。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（2）产出质量</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根据项目竣工验收资料显示， 项目所含合同段工程质量均合格。</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“产出质量”二级指标分值8分，实际得分8分。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（3）产出时效</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项目主体工程于2020年10月份完工，项目竣工验收于2021年10月19日完成。</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“产出时效”二级指标分值7分，实际得分7分。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（4）产出成本</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根据高阳县财政投资评审中心出具的《庞口镇庞石路市场路段景观改造提升项目EPC总承包工程合同价评审报告》，及完成的项目工程量预计，项目总投资能够控制在概算范围内。</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“产出成本”二级指标分值7分，实际得分7分。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4.项目效益情况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效益指标分值30分、得分30分。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（1）经济效益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该项目的实施，通过完善道路基础设施能够带动调整城市土地使用功能，有力地促进庞口镇的发展建设，进而促进区域经济建设。</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“经济效益”二级指标分值5分，实际得分5分。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（2）社会效益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该项目的实施，完善了高阳县庞口镇区域内路网建设，改善了项目区域内交通硬件设施，方便了附近企业职工及周围居民出行便利，改善了庞口镇的人居环境。</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“社会效益”二级指标分值5分，实际得分5分。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（3）生态效益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该项目的实施，完善了高阳县庞口镇区域内路网建设，改善了项目区域内交通硬件设施，进一步提升了当地区域面貌，为企业职工及周围居民提供良好的生活工作环境。</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“生态效益”二级指标分值5分，实际得分5分。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该项目的实施，改善了项目区域内交通硬件设施，进一步提升了当地区域面貌，有利于持续促进招商引资，从而促进区域经济发展。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“可持续影响”二级指标分值5分，实际得分5分。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（5）还本付息</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该项目一般债券安排资金800万元，纳入高阳县一般公共预算管理，以高阳县政府财政收入作为还本付息的资金来源。该项目一般债券还本付息有保障。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“还本付息”二级指标分值5分，实际得分5分。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（6）服务对象满意度</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了解“庞口镇庞石路市场路段景观改造提升项目”受益群体的满意度情况，评价工作组围绕完善路网建设、提升乡镇面貌、、改善营商环境、改善当地居民生活便利、带动沿途经济发展等方面，设计制作了满意度调查问卷表，并分别由周边企业、附近居民、项目单位职工进行填写。服务对象满意度在90%以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“服务对象满意度”二级指标分值5分，实际得分5分。</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五、经验做法及存在问题</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（一）经验做法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1.高立意凸显社会效益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项目实施前，庞石路市场路段没有规划人行道，未实施机非分离，无道路绿化及照明，无完善的排水设施，道路两侧为杂填土，环境差、出行不便、安全隐患大。项目建成后，方便了附近居民、商铺及企业员工的交通出行，保障了行人的出行安全，改善了周围环境，提高了庞口镇居民的生活质量，提升了庞口镇的整体面貌。项目建成后，改善了区域投资环境，促进了区域社会经济发展建设。庞口镇庞石路市场路段景观改造提升项目的建设，立意高远，凸显了极大的社会效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2.重管理确保工程质量</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阳县庞口镇人民政府成立了工程建设工作小组，加强调度、挂图作业、明确分工、责任到人，强化“法人单位负责、施工单位保证、监理单位控制”的质量保证体系，从施工方案、预算控制、材料质量、竣工验收等方面加强施工全过程控制管理，严把原料、配比、施工、检测、验收“五道关口”，有效地推进了项目建设进度、保证了工程质量达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（二）存在问题</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1.项目会计核算不尽准确</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通过查阅账目发现，高阳县庞口镇人民政府支付的该项目工程进度款、工程监理费（已取得相应发票）计入了“业务活动费用”科目和“应付账款”科目，费用列支渠道不正确。按照《政府会计制度》规定，支付的工程进度款、工程监理费应通过“在建工程”科目核算。待工程达到预定可使用状态或完工验收合格后，将在建工程转入固定资产。</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2.合同签订执行有待规范</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通过查阅合同和相关账目发现，《建设工程施工合同》签订的有些条款不规范：一是没有签署合同订立时间和订立地点，而合同生效条款为“本合同在以下条件全部满足之后生效：自双方签字盖章之日”，相互矛盾，容易引起纠纷；二是工程预付款条款中关于“预付款的金额为：合同签订后付至建筑安装工程费合同价的30%”，本合同没有订立时间，本条款也没有约定合同签订后多长时间预付工程款,无法执行；三是工程预付款条款中关于“预付款的抵扣方式、抵扣比例和抵扣时间安排：无”，合同应明确约定工程预付款的抵扣方式、抵扣比例和抵扣时间；四是工程款实际支付没有执行合同约定。合同计划工期2020年7月20日--2020年12月31日，主体工程于2020年10月份完工，但项目单位拨付给施工单位的第一笔工程款是在2021年2月份，与《建设工程施工合同》规定的相关付款条款不符。</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六、评价建议</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（一）规范项目会计核算</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建议高阳县庞口镇人民政府：一是尽快规范项目会计核算。进一步严格执行《政府会计制度》，纠正核算错误、规范今后有关项目建设的会计核算。</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（二）强化项目合同管理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建议高阳县庞口镇人民政府：一是认真学习《中华人民共和国民法典》第三编“合同”的相关规定；二是严格执行《中华人民共和国民法典》第三编“合同”的相关规定，合同条款</w:t>
      </w:r>
      <w:r>
        <w:rPr>
          <w:rFonts w:hint="default" w:ascii="仿宋" w:hAnsi="仿宋" w:eastAsia="仿宋" w:cs="仿宋"/>
          <w:sz w:val="30"/>
          <w:szCs w:val="30"/>
          <w:lang w:val="en-US" w:eastAsia="zh-CN"/>
        </w:rPr>
        <w:t>应当明确、肯定、完整，而且条款之间不能相互矛盾</w:t>
      </w:r>
      <w:r>
        <w:rPr>
          <w:rFonts w:hint="eastAsia" w:ascii="仿宋" w:hAnsi="仿宋" w:eastAsia="仿宋" w:cs="仿宋"/>
          <w:sz w:val="30"/>
          <w:szCs w:val="30"/>
          <w:lang w:val="en-US" w:eastAsia="zh-CN"/>
        </w:rPr>
        <w:t>，避免产出歧义或纠纷；三是要遵循诚实信用原则严格履行合同，合同生效后，有关质量、价款、结算、履行地点等内容与合同对方没有约定或者约定不明确的，可以协议补充，不能达成补充合同的，按照国家相关法律法规、合同有关条款或者交易习惯确定；四是要建立健全合同管理考核与责任追究制度。</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3900" w:firstLineChars="1300"/>
        <w:jc w:val="both"/>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3900" w:firstLineChars="13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二0二二年八月五日</w:t>
      </w:r>
    </w:p>
    <w:sectPr>
      <w:footerReference r:id="rId3" w:type="default"/>
      <w:pgSz w:w="11906" w:h="16838"/>
      <w:pgMar w:top="1667" w:right="1689" w:bottom="1667" w:left="1689"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2MTRlZjFlY2VmMmQ2ZGFjNGRjYWZmOTVmMjExZTIifQ=="/>
  </w:docVars>
  <w:rsids>
    <w:rsidRoot w:val="009813F1"/>
    <w:rsid w:val="00007FD8"/>
    <w:rsid w:val="0003692D"/>
    <w:rsid w:val="0006626E"/>
    <w:rsid w:val="000B1FD3"/>
    <w:rsid w:val="000D31E8"/>
    <w:rsid w:val="000D7A11"/>
    <w:rsid w:val="000F7996"/>
    <w:rsid w:val="00141193"/>
    <w:rsid w:val="00170479"/>
    <w:rsid w:val="001753E7"/>
    <w:rsid w:val="001A0C49"/>
    <w:rsid w:val="001B399A"/>
    <w:rsid w:val="001C10CD"/>
    <w:rsid w:val="001F61E2"/>
    <w:rsid w:val="001F7E16"/>
    <w:rsid w:val="00211BC4"/>
    <w:rsid w:val="00211BEE"/>
    <w:rsid w:val="0025102E"/>
    <w:rsid w:val="00260240"/>
    <w:rsid w:val="002610B7"/>
    <w:rsid w:val="002753FA"/>
    <w:rsid w:val="002862C6"/>
    <w:rsid w:val="002A5777"/>
    <w:rsid w:val="002C1890"/>
    <w:rsid w:val="002D4A6A"/>
    <w:rsid w:val="002F37AF"/>
    <w:rsid w:val="00305A92"/>
    <w:rsid w:val="00317AA6"/>
    <w:rsid w:val="0033517D"/>
    <w:rsid w:val="00370E12"/>
    <w:rsid w:val="0038736B"/>
    <w:rsid w:val="00391BC7"/>
    <w:rsid w:val="00393B2B"/>
    <w:rsid w:val="00393D8D"/>
    <w:rsid w:val="003954BF"/>
    <w:rsid w:val="003A11E7"/>
    <w:rsid w:val="003B1327"/>
    <w:rsid w:val="003F424D"/>
    <w:rsid w:val="0040398C"/>
    <w:rsid w:val="00413ACB"/>
    <w:rsid w:val="00427437"/>
    <w:rsid w:val="00446050"/>
    <w:rsid w:val="00456238"/>
    <w:rsid w:val="00471531"/>
    <w:rsid w:val="00482F83"/>
    <w:rsid w:val="00483672"/>
    <w:rsid w:val="00494605"/>
    <w:rsid w:val="004973D9"/>
    <w:rsid w:val="004B160B"/>
    <w:rsid w:val="004B4441"/>
    <w:rsid w:val="004D0302"/>
    <w:rsid w:val="004D2A90"/>
    <w:rsid w:val="004D47D4"/>
    <w:rsid w:val="004D7E24"/>
    <w:rsid w:val="004E7331"/>
    <w:rsid w:val="004F3217"/>
    <w:rsid w:val="00507A5C"/>
    <w:rsid w:val="005203B8"/>
    <w:rsid w:val="0055427C"/>
    <w:rsid w:val="00557674"/>
    <w:rsid w:val="005749D1"/>
    <w:rsid w:val="00580FE1"/>
    <w:rsid w:val="005C16B1"/>
    <w:rsid w:val="005D238F"/>
    <w:rsid w:val="006027CA"/>
    <w:rsid w:val="0060602E"/>
    <w:rsid w:val="006102DF"/>
    <w:rsid w:val="00647B68"/>
    <w:rsid w:val="00653215"/>
    <w:rsid w:val="006633EC"/>
    <w:rsid w:val="00672F0D"/>
    <w:rsid w:val="00690A79"/>
    <w:rsid w:val="006A225F"/>
    <w:rsid w:val="006D42C0"/>
    <w:rsid w:val="006E122C"/>
    <w:rsid w:val="006E5A61"/>
    <w:rsid w:val="006F11DC"/>
    <w:rsid w:val="00705E2F"/>
    <w:rsid w:val="00713AEC"/>
    <w:rsid w:val="0072084A"/>
    <w:rsid w:val="00723FB9"/>
    <w:rsid w:val="00733FE8"/>
    <w:rsid w:val="0074530B"/>
    <w:rsid w:val="00747BAC"/>
    <w:rsid w:val="00760C5A"/>
    <w:rsid w:val="00790B61"/>
    <w:rsid w:val="00796A01"/>
    <w:rsid w:val="007A3B21"/>
    <w:rsid w:val="007C0E87"/>
    <w:rsid w:val="007E2712"/>
    <w:rsid w:val="007F6628"/>
    <w:rsid w:val="007F69AD"/>
    <w:rsid w:val="007F7556"/>
    <w:rsid w:val="008079EE"/>
    <w:rsid w:val="00831107"/>
    <w:rsid w:val="00836920"/>
    <w:rsid w:val="00837C98"/>
    <w:rsid w:val="00866971"/>
    <w:rsid w:val="00883CEA"/>
    <w:rsid w:val="008B4EDE"/>
    <w:rsid w:val="008E57EE"/>
    <w:rsid w:val="0090747B"/>
    <w:rsid w:val="009105A0"/>
    <w:rsid w:val="00927639"/>
    <w:rsid w:val="00950766"/>
    <w:rsid w:val="00962ED0"/>
    <w:rsid w:val="00974390"/>
    <w:rsid w:val="009813F1"/>
    <w:rsid w:val="0098700D"/>
    <w:rsid w:val="009D74D0"/>
    <w:rsid w:val="00A1039A"/>
    <w:rsid w:val="00A52B43"/>
    <w:rsid w:val="00A80C97"/>
    <w:rsid w:val="00AA4BBC"/>
    <w:rsid w:val="00AB0789"/>
    <w:rsid w:val="00AE055F"/>
    <w:rsid w:val="00B304E8"/>
    <w:rsid w:val="00B41FA0"/>
    <w:rsid w:val="00B4648F"/>
    <w:rsid w:val="00B60076"/>
    <w:rsid w:val="00B776D4"/>
    <w:rsid w:val="00BA7862"/>
    <w:rsid w:val="00BB680E"/>
    <w:rsid w:val="00BB794E"/>
    <w:rsid w:val="00BF5AA2"/>
    <w:rsid w:val="00C42AAD"/>
    <w:rsid w:val="00C65AFF"/>
    <w:rsid w:val="00C66873"/>
    <w:rsid w:val="00C73D84"/>
    <w:rsid w:val="00CA475B"/>
    <w:rsid w:val="00CA5A72"/>
    <w:rsid w:val="00CD10D0"/>
    <w:rsid w:val="00CE6911"/>
    <w:rsid w:val="00D2322A"/>
    <w:rsid w:val="00D43DB1"/>
    <w:rsid w:val="00D624BC"/>
    <w:rsid w:val="00DB0864"/>
    <w:rsid w:val="00DB469C"/>
    <w:rsid w:val="00DD7039"/>
    <w:rsid w:val="00DF0A7B"/>
    <w:rsid w:val="00E14A5B"/>
    <w:rsid w:val="00E20963"/>
    <w:rsid w:val="00EA150A"/>
    <w:rsid w:val="00EC2EDD"/>
    <w:rsid w:val="00ED3AFF"/>
    <w:rsid w:val="00F0693E"/>
    <w:rsid w:val="00F321F2"/>
    <w:rsid w:val="00F54422"/>
    <w:rsid w:val="00F735BC"/>
    <w:rsid w:val="00F738B5"/>
    <w:rsid w:val="00F80ADB"/>
    <w:rsid w:val="00F84CF0"/>
    <w:rsid w:val="00F8717A"/>
    <w:rsid w:val="00F96110"/>
    <w:rsid w:val="00FA3C72"/>
    <w:rsid w:val="00FC11BD"/>
    <w:rsid w:val="00FD12EE"/>
    <w:rsid w:val="00FE14FC"/>
    <w:rsid w:val="00FF1F6F"/>
    <w:rsid w:val="013E4E0D"/>
    <w:rsid w:val="015E4AC8"/>
    <w:rsid w:val="01881751"/>
    <w:rsid w:val="01922A24"/>
    <w:rsid w:val="019707D9"/>
    <w:rsid w:val="01F37D3E"/>
    <w:rsid w:val="024175A2"/>
    <w:rsid w:val="02C17155"/>
    <w:rsid w:val="02EA2915"/>
    <w:rsid w:val="02F37B63"/>
    <w:rsid w:val="030D4F54"/>
    <w:rsid w:val="034B17A2"/>
    <w:rsid w:val="03746DB4"/>
    <w:rsid w:val="03B32A44"/>
    <w:rsid w:val="03F634BF"/>
    <w:rsid w:val="03FD0C81"/>
    <w:rsid w:val="04081906"/>
    <w:rsid w:val="04293179"/>
    <w:rsid w:val="043438BD"/>
    <w:rsid w:val="04453727"/>
    <w:rsid w:val="04FE58F9"/>
    <w:rsid w:val="05534D8F"/>
    <w:rsid w:val="055C0A97"/>
    <w:rsid w:val="05633EAA"/>
    <w:rsid w:val="05724E4C"/>
    <w:rsid w:val="058C527F"/>
    <w:rsid w:val="05B13AC1"/>
    <w:rsid w:val="060B759E"/>
    <w:rsid w:val="06125E08"/>
    <w:rsid w:val="061922C9"/>
    <w:rsid w:val="064661C4"/>
    <w:rsid w:val="06512DD1"/>
    <w:rsid w:val="066C6FCD"/>
    <w:rsid w:val="067601CC"/>
    <w:rsid w:val="06823589"/>
    <w:rsid w:val="06E415DA"/>
    <w:rsid w:val="07331BB6"/>
    <w:rsid w:val="07465F84"/>
    <w:rsid w:val="075078A7"/>
    <w:rsid w:val="07527B34"/>
    <w:rsid w:val="07E37CA9"/>
    <w:rsid w:val="081E0450"/>
    <w:rsid w:val="08A74836"/>
    <w:rsid w:val="098E1A6C"/>
    <w:rsid w:val="099A5C14"/>
    <w:rsid w:val="09A43BA2"/>
    <w:rsid w:val="09BC05EC"/>
    <w:rsid w:val="09C53074"/>
    <w:rsid w:val="0A113669"/>
    <w:rsid w:val="0A311291"/>
    <w:rsid w:val="0A6F4FBC"/>
    <w:rsid w:val="0A7A254C"/>
    <w:rsid w:val="0ABE422F"/>
    <w:rsid w:val="0AC04F7A"/>
    <w:rsid w:val="0AD727CC"/>
    <w:rsid w:val="0B001F2F"/>
    <w:rsid w:val="0B495654"/>
    <w:rsid w:val="0B5F22FF"/>
    <w:rsid w:val="0B8130AB"/>
    <w:rsid w:val="0B92405B"/>
    <w:rsid w:val="0BE013A7"/>
    <w:rsid w:val="0C7A30DA"/>
    <w:rsid w:val="0CA72DE0"/>
    <w:rsid w:val="0D37103F"/>
    <w:rsid w:val="0D4946FB"/>
    <w:rsid w:val="0D6E6B91"/>
    <w:rsid w:val="0DA438CF"/>
    <w:rsid w:val="0DD660B5"/>
    <w:rsid w:val="0DFC6427"/>
    <w:rsid w:val="0E116B8A"/>
    <w:rsid w:val="0E226E10"/>
    <w:rsid w:val="0E502008"/>
    <w:rsid w:val="0E6F5BFE"/>
    <w:rsid w:val="0E9A47A7"/>
    <w:rsid w:val="0EB63B25"/>
    <w:rsid w:val="0EC426E6"/>
    <w:rsid w:val="0ECF029C"/>
    <w:rsid w:val="0ED32FD6"/>
    <w:rsid w:val="0EFB005A"/>
    <w:rsid w:val="0F474DFC"/>
    <w:rsid w:val="0F517A28"/>
    <w:rsid w:val="0F8F4783"/>
    <w:rsid w:val="0FD52B00"/>
    <w:rsid w:val="10195D15"/>
    <w:rsid w:val="108361A8"/>
    <w:rsid w:val="109A024B"/>
    <w:rsid w:val="109C3231"/>
    <w:rsid w:val="10DF4CD6"/>
    <w:rsid w:val="10F93ED3"/>
    <w:rsid w:val="11212D1F"/>
    <w:rsid w:val="1133299C"/>
    <w:rsid w:val="11425DA0"/>
    <w:rsid w:val="11657199"/>
    <w:rsid w:val="11BE69BB"/>
    <w:rsid w:val="11C119C3"/>
    <w:rsid w:val="11CD125F"/>
    <w:rsid w:val="122F67F7"/>
    <w:rsid w:val="1284666A"/>
    <w:rsid w:val="128F3A37"/>
    <w:rsid w:val="1295148F"/>
    <w:rsid w:val="13122826"/>
    <w:rsid w:val="13AA51CB"/>
    <w:rsid w:val="13BB4679"/>
    <w:rsid w:val="13DA7A94"/>
    <w:rsid w:val="14614A0E"/>
    <w:rsid w:val="14904DA1"/>
    <w:rsid w:val="14AD5E44"/>
    <w:rsid w:val="14C13518"/>
    <w:rsid w:val="14DE0495"/>
    <w:rsid w:val="15253D51"/>
    <w:rsid w:val="15495FFE"/>
    <w:rsid w:val="15D253AE"/>
    <w:rsid w:val="15D25970"/>
    <w:rsid w:val="161F5651"/>
    <w:rsid w:val="163B5FCE"/>
    <w:rsid w:val="16532F2E"/>
    <w:rsid w:val="16797800"/>
    <w:rsid w:val="16871089"/>
    <w:rsid w:val="16B0208F"/>
    <w:rsid w:val="16D1700E"/>
    <w:rsid w:val="16D23251"/>
    <w:rsid w:val="170E4685"/>
    <w:rsid w:val="172067DB"/>
    <w:rsid w:val="17253FBD"/>
    <w:rsid w:val="1758788D"/>
    <w:rsid w:val="17623847"/>
    <w:rsid w:val="178667CF"/>
    <w:rsid w:val="17BA005B"/>
    <w:rsid w:val="17BDD848"/>
    <w:rsid w:val="17E5370B"/>
    <w:rsid w:val="18116229"/>
    <w:rsid w:val="184066B9"/>
    <w:rsid w:val="18AD129B"/>
    <w:rsid w:val="18B84674"/>
    <w:rsid w:val="18CC5932"/>
    <w:rsid w:val="18F62A77"/>
    <w:rsid w:val="192D2147"/>
    <w:rsid w:val="19750575"/>
    <w:rsid w:val="197902A7"/>
    <w:rsid w:val="19901009"/>
    <w:rsid w:val="199D5F29"/>
    <w:rsid w:val="19B96404"/>
    <w:rsid w:val="19BD0B76"/>
    <w:rsid w:val="1A097E40"/>
    <w:rsid w:val="1A3924B5"/>
    <w:rsid w:val="1A765517"/>
    <w:rsid w:val="1A8317C4"/>
    <w:rsid w:val="1B0700AB"/>
    <w:rsid w:val="1B54149B"/>
    <w:rsid w:val="1B5D53AF"/>
    <w:rsid w:val="1BC233EE"/>
    <w:rsid w:val="1BCD0437"/>
    <w:rsid w:val="1C4E2785"/>
    <w:rsid w:val="1C922026"/>
    <w:rsid w:val="1D7A64B7"/>
    <w:rsid w:val="1DA63EE9"/>
    <w:rsid w:val="1DC55869"/>
    <w:rsid w:val="1DD55681"/>
    <w:rsid w:val="1DEF370A"/>
    <w:rsid w:val="1E3B38FB"/>
    <w:rsid w:val="1E5630F9"/>
    <w:rsid w:val="1E5C1E2D"/>
    <w:rsid w:val="1EB939F0"/>
    <w:rsid w:val="1EE0155C"/>
    <w:rsid w:val="1F65724C"/>
    <w:rsid w:val="1FAA740D"/>
    <w:rsid w:val="1FB24FF4"/>
    <w:rsid w:val="1FD338B0"/>
    <w:rsid w:val="1FF8608A"/>
    <w:rsid w:val="20142AD8"/>
    <w:rsid w:val="203E01F4"/>
    <w:rsid w:val="20957F4B"/>
    <w:rsid w:val="209877E3"/>
    <w:rsid w:val="20EE3B03"/>
    <w:rsid w:val="210F4205"/>
    <w:rsid w:val="217E05D3"/>
    <w:rsid w:val="219509F0"/>
    <w:rsid w:val="21A17375"/>
    <w:rsid w:val="21A41C3A"/>
    <w:rsid w:val="21AE1ACC"/>
    <w:rsid w:val="21CD5D2C"/>
    <w:rsid w:val="224551CB"/>
    <w:rsid w:val="226D64CF"/>
    <w:rsid w:val="22A3332C"/>
    <w:rsid w:val="22CC58EC"/>
    <w:rsid w:val="230F7587"/>
    <w:rsid w:val="231604C8"/>
    <w:rsid w:val="237E5F64"/>
    <w:rsid w:val="239E2E91"/>
    <w:rsid w:val="240D5EAC"/>
    <w:rsid w:val="242500E8"/>
    <w:rsid w:val="24253F23"/>
    <w:rsid w:val="243C25B9"/>
    <w:rsid w:val="24601090"/>
    <w:rsid w:val="248D4348"/>
    <w:rsid w:val="24952167"/>
    <w:rsid w:val="24BA1EBE"/>
    <w:rsid w:val="24E211F1"/>
    <w:rsid w:val="251975AE"/>
    <w:rsid w:val="253668B6"/>
    <w:rsid w:val="25801CA3"/>
    <w:rsid w:val="25802642"/>
    <w:rsid w:val="258B3A02"/>
    <w:rsid w:val="25985D35"/>
    <w:rsid w:val="25AF2DDB"/>
    <w:rsid w:val="25B9479B"/>
    <w:rsid w:val="25DA5EA4"/>
    <w:rsid w:val="25E27F56"/>
    <w:rsid w:val="26466350"/>
    <w:rsid w:val="26601CD1"/>
    <w:rsid w:val="2671650A"/>
    <w:rsid w:val="267E0CAB"/>
    <w:rsid w:val="2695133D"/>
    <w:rsid w:val="26A20AC2"/>
    <w:rsid w:val="26AA04BC"/>
    <w:rsid w:val="26E4130A"/>
    <w:rsid w:val="27536640"/>
    <w:rsid w:val="277A3216"/>
    <w:rsid w:val="27BD0677"/>
    <w:rsid w:val="27D44786"/>
    <w:rsid w:val="280C36C8"/>
    <w:rsid w:val="280E20C7"/>
    <w:rsid w:val="281F7575"/>
    <w:rsid w:val="28283D79"/>
    <w:rsid w:val="287914D4"/>
    <w:rsid w:val="287C1323"/>
    <w:rsid w:val="288F719F"/>
    <w:rsid w:val="289166BD"/>
    <w:rsid w:val="28BC55CF"/>
    <w:rsid w:val="28D52CEF"/>
    <w:rsid w:val="28F705FB"/>
    <w:rsid w:val="29103B39"/>
    <w:rsid w:val="29380894"/>
    <w:rsid w:val="297D2D1B"/>
    <w:rsid w:val="298C5199"/>
    <w:rsid w:val="29A91706"/>
    <w:rsid w:val="29BA1078"/>
    <w:rsid w:val="29CE3CF8"/>
    <w:rsid w:val="2A136171"/>
    <w:rsid w:val="2A1A3D73"/>
    <w:rsid w:val="2A98360F"/>
    <w:rsid w:val="2AA55FF9"/>
    <w:rsid w:val="2ACC6789"/>
    <w:rsid w:val="2ADD19C5"/>
    <w:rsid w:val="2AF75572"/>
    <w:rsid w:val="2AF75C96"/>
    <w:rsid w:val="2AFE36EF"/>
    <w:rsid w:val="2B065545"/>
    <w:rsid w:val="2B195019"/>
    <w:rsid w:val="2B38374D"/>
    <w:rsid w:val="2B8314E7"/>
    <w:rsid w:val="2B8626FC"/>
    <w:rsid w:val="2B871363"/>
    <w:rsid w:val="2B9F62E5"/>
    <w:rsid w:val="2BA32F62"/>
    <w:rsid w:val="2BD070B2"/>
    <w:rsid w:val="2C5F5B39"/>
    <w:rsid w:val="2C654550"/>
    <w:rsid w:val="2C792687"/>
    <w:rsid w:val="2C8D5296"/>
    <w:rsid w:val="2C8E725A"/>
    <w:rsid w:val="2CA33F93"/>
    <w:rsid w:val="2D161056"/>
    <w:rsid w:val="2D2F381C"/>
    <w:rsid w:val="2D850644"/>
    <w:rsid w:val="2D853FBB"/>
    <w:rsid w:val="2D8D50EE"/>
    <w:rsid w:val="2D942D3E"/>
    <w:rsid w:val="2DB43632"/>
    <w:rsid w:val="2E0065CE"/>
    <w:rsid w:val="2E1702B7"/>
    <w:rsid w:val="2E627104"/>
    <w:rsid w:val="2EA74AF4"/>
    <w:rsid w:val="2EA77975"/>
    <w:rsid w:val="2F3B6369"/>
    <w:rsid w:val="2FB3698D"/>
    <w:rsid w:val="2FCB35A6"/>
    <w:rsid w:val="2FDA1F2A"/>
    <w:rsid w:val="2FF97E9E"/>
    <w:rsid w:val="2FFF158C"/>
    <w:rsid w:val="301A3AEE"/>
    <w:rsid w:val="30A8085F"/>
    <w:rsid w:val="30EB7760"/>
    <w:rsid w:val="30EE76C0"/>
    <w:rsid w:val="30F91923"/>
    <w:rsid w:val="31163C2A"/>
    <w:rsid w:val="318C4BC4"/>
    <w:rsid w:val="31910CA3"/>
    <w:rsid w:val="31B17198"/>
    <w:rsid w:val="31D06241"/>
    <w:rsid w:val="31D80F84"/>
    <w:rsid w:val="31FF2533"/>
    <w:rsid w:val="321303D6"/>
    <w:rsid w:val="323808A8"/>
    <w:rsid w:val="32A7523D"/>
    <w:rsid w:val="32D22F57"/>
    <w:rsid w:val="330E785B"/>
    <w:rsid w:val="33191CF5"/>
    <w:rsid w:val="332F60A6"/>
    <w:rsid w:val="333E40D2"/>
    <w:rsid w:val="33751688"/>
    <w:rsid w:val="33767A8A"/>
    <w:rsid w:val="33963EC1"/>
    <w:rsid w:val="339D25D4"/>
    <w:rsid w:val="33A1461E"/>
    <w:rsid w:val="33D72A06"/>
    <w:rsid w:val="342910D4"/>
    <w:rsid w:val="345E71DE"/>
    <w:rsid w:val="348440C8"/>
    <w:rsid w:val="348B4417"/>
    <w:rsid w:val="34AF6227"/>
    <w:rsid w:val="350C4F6F"/>
    <w:rsid w:val="350E718F"/>
    <w:rsid w:val="35E5478A"/>
    <w:rsid w:val="36386E2E"/>
    <w:rsid w:val="36422F62"/>
    <w:rsid w:val="36657F10"/>
    <w:rsid w:val="368F0B34"/>
    <w:rsid w:val="36FB7FBB"/>
    <w:rsid w:val="370A4123"/>
    <w:rsid w:val="3716285F"/>
    <w:rsid w:val="377F18EF"/>
    <w:rsid w:val="3839527B"/>
    <w:rsid w:val="384C60BF"/>
    <w:rsid w:val="385777FA"/>
    <w:rsid w:val="38A2604E"/>
    <w:rsid w:val="38C51096"/>
    <w:rsid w:val="38CD59D5"/>
    <w:rsid w:val="38EA6674"/>
    <w:rsid w:val="391F2846"/>
    <w:rsid w:val="3952317E"/>
    <w:rsid w:val="396134E8"/>
    <w:rsid w:val="39617102"/>
    <w:rsid w:val="399B46BD"/>
    <w:rsid w:val="39E829BA"/>
    <w:rsid w:val="3A1A0729"/>
    <w:rsid w:val="3A25523C"/>
    <w:rsid w:val="3A54702C"/>
    <w:rsid w:val="3A7342EB"/>
    <w:rsid w:val="3AB71C38"/>
    <w:rsid w:val="3AE8373F"/>
    <w:rsid w:val="3B273268"/>
    <w:rsid w:val="3B3A3273"/>
    <w:rsid w:val="3B59249C"/>
    <w:rsid w:val="3B6B5729"/>
    <w:rsid w:val="3B8B3124"/>
    <w:rsid w:val="3B967F73"/>
    <w:rsid w:val="3C2E2074"/>
    <w:rsid w:val="3C2F1A53"/>
    <w:rsid w:val="3C7447F1"/>
    <w:rsid w:val="3CDC3997"/>
    <w:rsid w:val="3CE566F8"/>
    <w:rsid w:val="3D3150BC"/>
    <w:rsid w:val="3D40413B"/>
    <w:rsid w:val="3DC66284"/>
    <w:rsid w:val="3DC9354A"/>
    <w:rsid w:val="3DCD6C0E"/>
    <w:rsid w:val="3DCE3E86"/>
    <w:rsid w:val="3DDA7006"/>
    <w:rsid w:val="3DFE2CAC"/>
    <w:rsid w:val="3E023BF1"/>
    <w:rsid w:val="3E045ADF"/>
    <w:rsid w:val="3E146FCA"/>
    <w:rsid w:val="3E1D1075"/>
    <w:rsid w:val="3E355D9B"/>
    <w:rsid w:val="3E845248"/>
    <w:rsid w:val="3E9D44ED"/>
    <w:rsid w:val="3E9E5F37"/>
    <w:rsid w:val="3ED83AF5"/>
    <w:rsid w:val="3F1F6FEE"/>
    <w:rsid w:val="3F5038A3"/>
    <w:rsid w:val="3FC9586D"/>
    <w:rsid w:val="3FF3357C"/>
    <w:rsid w:val="403E026A"/>
    <w:rsid w:val="404F3E16"/>
    <w:rsid w:val="40541C2A"/>
    <w:rsid w:val="40584076"/>
    <w:rsid w:val="40673D9D"/>
    <w:rsid w:val="40752545"/>
    <w:rsid w:val="40B02584"/>
    <w:rsid w:val="40D85028"/>
    <w:rsid w:val="4139073A"/>
    <w:rsid w:val="414A648C"/>
    <w:rsid w:val="41690512"/>
    <w:rsid w:val="41784096"/>
    <w:rsid w:val="418620F9"/>
    <w:rsid w:val="419952E7"/>
    <w:rsid w:val="41A5138A"/>
    <w:rsid w:val="41A52025"/>
    <w:rsid w:val="41CD15E4"/>
    <w:rsid w:val="41D60A6F"/>
    <w:rsid w:val="41DA54D8"/>
    <w:rsid w:val="41DB2FFE"/>
    <w:rsid w:val="421C3117"/>
    <w:rsid w:val="42295818"/>
    <w:rsid w:val="4248180C"/>
    <w:rsid w:val="425949BC"/>
    <w:rsid w:val="427670A3"/>
    <w:rsid w:val="4298079B"/>
    <w:rsid w:val="42D77C69"/>
    <w:rsid w:val="43733212"/>
    <w:rsid w:val="437B69BB"/>
    <w:rsid w:val="43BD0C0D"/>
    <w:rsid w:val="44352BD4"/>
    <w:rsid w:val="44546865"/>
    <w:rsid w:val="44BC7116"/>
    <w:rsid w:val="44FA49F2"/>
    <w:rsid w:val="45013147"/>
    <w:rsid w:val="45CA57D0"/>
    <w:rsid w:val="46392D60"/>
    <w:rsid w:val="46DE5F83"/>
    <w:rsid w:val="47204266"/>
    <w:rsid w:val="473B5C4C"/>
    <w:rsid w:val="479852A2"/>
    <w:rsid w:val="481339C3"/>
    <w:rsid w:val="483F2B64"/>
    <w:rsid w:val="48686376"/>
    <w:rsid w:val="48A95855"/>
    <w:rsid w:val="48B63E7D"/>
    <w:rsid w:val="48BA783C"/>
    <w:rsid w:val="48CA6652"/>
    <w:rsid w:val="48DF0EE8"/>
    <w:rsid w:val="49305CF2"/>
    <w:rsid w:val="49371213"/>
    <w:rsid w:val="497A5296"/>
    <w:rsid w:val="497F71B1"/>
    <w:rsid w:val="499526A8"/>
    <w:rsid w:val="49AC05B7"/>
    <w:rsid w:val="4A383A1C"/>
    <w:rsid w:val="4A544985"/>
    <w:rsid w:val="4A567283"/>
    <w:rsid w:val="4A8E3C9A"/>
    <w:rsid w:val="4A9A3B56"/>
    <w:rsid w:val="4B1A1277"/>
    <w:rsid w:val="4B3F2425"/>
    <w:rsid w:val="4B43705E"/>
    <w:rsid w:val="4B531228"/>
    <w:rsid w:val="4B8244EA"/>
    <w:rsid w:val="4B866AF4"/>
    <w:rsid w:val="4B92525C"/>
    <w:rsid w:val="4B98443E"/>
    <w:rsid w:val="4BC905B3"/>
    <w:rsid w:val="4C02337D"/>
    <w:rsid w:val="4C0E4CB5"/>
    <w:rsid w:val="4C115F9A"/>
    <w:rsid w:val="4C1B5BE1"/>
    <w:rsid w:val="4C5E6D05"/>
    <w:rsid w:val="4C6676CA"/>
    <w:rsid w:val="4C9F325E"/>
    <w:rsid w:val="4CD1201C"/>
    <w:rsid w:val="4CFC50B6"/>
    <w:rsid w:val="4D080552"/>
    <w:rsid w:val="4D1A2B63"/>
    <w:rsid w:val="4D8F5DD9"/>
    <w:rsid w:val="4DEA7AFF"/>
    <w:rsid w:val="4DEE277B"/>
    <w:rsid w:val="4EE81064"/>
    <w:rsid w:val="4F1370B1"/>
    <w:rsid w:val="4F2252E4"/>
    <w:rsid w:val="4F443E37"/>
    <w:rsid w:val="4F4812FB"/>
    <w:rsid w:val="4F587A3C"/>
    <w:rsid w:val="4F5B577E"/>
    <w:rsid w:val="4FAA4A72"/>
    <w:rsid w:val="4FB92355"/>
    <w:rsid w:val="4FE46493"/>
    <w:rsid w:val="4FFFFBF2"/>
    <w:rsid w:val="500E557E"/>
    <w:rsid w:val="50294071"/>
    <w:rsid w:val="50620829"/>
    <w:rsid w:val="507C50D0"/>
    <w:rsid w:val="5099341D"/>
    <w:rsid w:val="50AD5F50"/>
    <w:rsid w:val="50E1178F"/>
    <w:rsid w:val="50F54D71"/>
    <w:rsid w:val="50FD63CF"/>
    <w:rsid w:val="511A488C"/>
    <w:rsid w:val="51323F3D"/>
    <w:rsid w:val="51341706"/>
    <w:rsid w:val="513C37FC"/>
    <w:rsid w:val="51862CD4"/>
    <w:rsid w:val="519542D2"/>
    <w:rsid w:val="51A534A7"/>
    <w:rsid w:val="51F40DDB"/>
    <w:rsid w:val="52423250"/>
    <w:rsid w:val="52A5743C"/>
    <w:rsid w:val="52C5363A"/>
    <w:rsid w:val="532317F1"/>
    <w:rsid w:val="536B70CD"/>
    <w:rsid w:val="538F78DD"/>
    <w:rsid w:val="53BF3A02"/>
    <w:rsid w:val="53C15826"/>
    <w:rsid w:val="53C73982"/>
    <w:rsid w:val="54071C77"/>
    <w:rsid w:val="541B4B7B"/>
    <w:rsid w:val="547C74AB"/>
    <w:rsid w:val="549E0FE3"/>
    <w:rsid w:val="54FD21F4"/>
    <w:rsid w:val="550738A1"/>
    <w:rsid w:val="55753A1D"/>
    <w:rsid w:val="55AC288F"/>
    <w:rsid w:val="55DD9830"/>
    <w:rsid w:val="56222690"/>
    <w:rsid w:val="563A6057"/>
    <w:rsid w:val="563D44A1"/>
    <w:rsid w:val="566748F5"/>
    <w:rsid w:val="56725D9A"/>
    <w:rsid w:val="56A97142"/>
    <w:rsid w:val="56AE4EF7"/>
    <w:rsid w:val="56B36882"/>
    <w:rsid w:val="56C725AC"/>
    <w:rsid w:val="56D448D9"/>
    <w:rsid w:val="57246DEF"/>
    <w:rsid w:val="572811B3"/>
    <w:rsid w:val="573056E3"/>
    <w:rsid w:val="57437492"/>
    <w:rsid w:val="57483842"/>
    <w:rsid w:val="577B5669"/>
    <w:rsid w:val="57856A47"/>
    <w:rsid w:val="57DF3912"/>
    <w:rsid w:val="57E4012D"/>
    <w:rsid w:val="581D4B8F"/>
    <w:rsid w:val="587A000F"/>
    <w:rsid w:val="58BA1767"/>
    <w:rsid w:val="58E81C1F"/>
    <w:rsid w:val="58EC3CC6"/>
    <w:rsid w:val="59685E6A"/>
    <w:rsid w:val="59A342E5"/>
    <w:rsid w:val="59AD2EBB"/>
    <w:rsid w:val="59EE03B4"/>
    <w:rsid w:val="59F502A9"/>
    <w:rsid w:val="59F8702A"/>
    <w:rsid w:val="5A010301"/>
    <w:rsid w:val="5A111E08"/>
    <w:rsid w:val="5A2F3686"/>
    <w:rsid w:val="5A460B54"/>
    <w:rsid w:val="5A530A0C"/>
    <w:rsid w:val="5A5B4884"/>
    <w:rsid w:val="5A615E08"/>
    <w:rsid w:val="5AC57E95"/>
    <w:rsid w:val="5AEE3326"/>
    <w:rsid w:val="5B003110"/>
    <w:rsid w:val="5B2411FA"/>
    <w:rsid w:val="5B4B4BE9"/>
    <w:rsid w:val="5BB12206"/>
    <w:rsid w:val="5BB52900"/>
    <w:rsid w:val="5BB605BA"/>
    <w:rsid w:val="5BBD59BB"/>
    <w:rsid w:val="5BCB3CE4"/>
    <w:rsid w:val="5BD771F3"/>
    <w:rsid w:val="5BE43388"/>
    <w:rsid w:val="5BE50C44"/>
    <w:rsid w:val="5BE87485"/>
    <w:rsid w:val="5BF6F86F"/>
    <w:rsid w:val="5BFF4775"/>
    <w:rsid w:val="5C3F7541"/>
    <w:rsid w:val="5C8E2614"/>
    <w:rsid w:val="5CB77F84"/>
    <w:rsid w:val="5CDF1FA1"/>
    <w:rsid w:val="5CFC1CE7"/>
    <w:rsid w:val="5D1C02FB"/>
    <w:rsid w:val="5D315051"/>
    <w:rsid w:val="5D364593"/>
    <w:rsid w:val="5DB25ED5"/>
    <w:rsid w:val="5DC32221"/>
    <w:rsid w:val="5DE36B0D"/>
    <w:rsid w:val="5E1902A9"/>
    <w:rsid w:val="5E294417"/>
    <w:rsid w:val="5E426126"/>
    <w:rsid w:val="5E9D5C67"/>
    <w:rsid w:val="5EA214B8"/>
    <w:rsid w:val="5EC92704"/>
    <w:rsid w:val="5EEE084A"/>
    <w:rsid w:val="5EF3074C"/>
    <w:rsid w:val="5F2005C6"/>
    <w:rsid w:val="5F3A45B6"/>
    <w:rsid w:val="5F630463"/>
    <w:rsid w:val="5F852DEC"/>
    <w:rsid w:val="5F8F721D"/>
    <w:rsid w:val="5FC74064"/>
    <w:rsid w:val="5FD56E87"/>
    <w:rsid w:val="6006545E"/>
    <w:rsid w:val="60551664"/>
    <w:rsid w:val="606432BF"/>
    <w:rsid w:val="60C01F7A"/>
    <w:rsid w:val="60CA5A4A"/>
    <w:rsid w:val="61722C90"/>
    <w:rsid w:val="61A146D0"/>
    <w:rsid w:val="61E23D96"/>
    <w:rsid w:val="62113A3E"/>
    <w:rsid w:val="62214C40"/>
    <w:rsid w:val="630F445E"/>
    <w:rsid w:val="63F4149D"/>
    <w:rsid w:val="641E17B8"/>
    <w:rsid w:val="64254975"/>
    <w:rsid w:val="648134AA"/>
    <w:rsid w:val="64A56EB1"/>
    <w:rsid w:val="64B25AC5"/>
    <w:rsid w:val="6501722E"/>
    <w:rsid w:val="650C0682"/>
    <w:rsid w:val="65264168"/>
    <w:rsid w:val="65550670"/>
    <w:rsid w:val="65997814"/>
    <w:rsid w:val="65BF17ED"/>
    <w:rsid w:val="65D0653B"/>
    <w:rsid w:val="65FC0EB2"/>
    <w:rsid w:val="66006F3D"/>
    <w:rsid w:val="662B551D"/>
    <w:rsid w:val="665A5356"/>
    <w:rsid w:val="665B1DD8"/>
    <w:rsid w:val="66921B7F"/>
    <w:rsid w:val="66A530F0"/>
    <w:rsid w:val="66B7251B"/>
    <w:rsid w:val="671A443C"/>
    <w:rsid w:val="67BD61EE"/>
    <w:rsid w:val="67D40947"/>
    <w:rsid w:val="67EE2529"/>
    <w:rsid w:val="67FF7EEC"/>
    <w:rsid w:val="68633242"/>
    <w:rsid w:val="688A4CB2"/>
    <w:rsid w:val="688D02FE"/>
    <w:rsid w:val="68A358E0"/>
    <w:rsid w:val="68EF3803"/>
    <w:rsid w:val="69597679"/>
    <w:rsid w:val="696A6BE8"/>
    <w:rsid w:val="697D65C5"/>
    <w:rsid w:val="69C47EEE"/>
    <w:rsid w:val="69C75F9F"/>
    <w:rsid w:val="69C8104B"/>
    <w:rsid w:val="69E41364"/>
    <w:rsid w:val="6A5F5CCB"/>
    <w:rsid w:val="6AA85E77"/>
    <w:rsid w:val="6B0F475F"/>
    <w:rsid w:val="6B2A2FAB"/>
    <w:rsid w:val="6B347310"/>
    <w:rsid w:val="6B6126E5"/>
    <w:rsid w:val="6B8C2523"/>
    <w:rsid w:val="6C1C3624"/>
    <w:rsid w:val="6C98115A"/>
    <w:rsid w:val="6D6C2BD8"/>
    <w:rsid w:val="6D7F4977"/>
    <w:rsid w:val="6D851EEC"/>
    <w:rsid w:val="6D864955"/>
    <w:rsid w:val="6E076E1B"/>
    <w:rsid w:val="6E996FCA"/>
    <w:rsid w:val="6EA07097"/>
    <w:rsid w:val="6EAB14DE"/>
    <w:rsid w:val="6EC4566D"/>
    <w:rsid w:val="6F351F9B"/>
    <w:rsid w:val="6F644D15"/>
    <w:rsid w:val="6F6C6FA0"/>
    <w:rsid w:val="6F7E7864"/>
    <w:rsid w:val="6FA15DE9"/>
    <w:rsid w:val="6FCC3847"/>
    <w:rsid w:val="700C41FF"/>
    <w:rsid w:val="702E3A97"/>
    <w:rsid w:val="705327DC"/>
    <w:rsid w:val="70563F01"/>
    <w:rsid w:val="707B787E"/>
    <w:rsid w:val="70EA3E46"/>
    <w:rsid w:val="712A1497"/>
    <w:rsid w:val="714B247F"/>
    <w:rsid w:val="714B5D87"/>
    <w:rsid w:val="715064A5"/>
    <w:rsid w:val="71A83097"/>
    <w:rsid w:val="721B2E1F"/>
    <w:rsid w:val="724E11E1"/>
    <w:rsid w:val="726A2AAA"/>
    <w:rsid w:val="72B11E4E"/>
    <w:rsid w:val="73152AE2"/>
    <w:rsid w:val="73180C30"/>
    <w:rsid w:val="73522870"/>
    <w:rsid w:val="73683F6D"/>
    <w:rsid w:val="737D7955"/>
    <w:rsid w:val="73F830A1"/>
    <w:rsid w:val="740A1C05"/>
    <w:rsid w:val="743B6C9F"/>
    <w:rsid w:val="74557770"/>
    <w:rsid w:val="74813CA8"/>
    <w:rsid w:val="748316E6"/>
    <w:rsid w:val="74EC6197"/>
    <w:rsid w:val="750E6C6B"/>
    <w:rsid w:val="75292FF9"/>
    <w:rsid w:val="75622B13"/>
    <w:rsid w:val="75825B44"/>
    <w:rsid w:val="75D46B8E"/>
    <w:rsid w:val="75E44AB7"/>
    <w:rsid w:val="76374C68"/>
    <w:rsid w:val="76432DB0"/>
    <w:rsid w:val="76602EB7"/>
    <w:rsid w:val="769A5C1A"/>
    <w:rsid w:val="76B10415"/>
    <w:rsid w:val="76E51777"/>
    <w:rsid w:val="771C486A"/>
    <w:rsid w:val="771C7278"/>
    <w:rsid w:val="776C538E"/>
    <w:rsid w:val="776D7CFA"/>
    <w:rsid w:val="777F45C7"/>
    <w:rsid w:val="779B456E"/>
    <w:rsid w:val="77AC3B06"/>
    <w:rsid w:val="77C35020"/>
    <w:rsid w:val="77DF84E0"/>
    <w:rsid w:val="77FFACD0"/>
    <w:rsid w:val="78275375"/>
    <w:rsid w:val="788417AE"/>
    <w:rsid w:val="788F56FF"/>
    <w:rsid w:val="78EC4A64"/>
    <w:rsid w:val="7942745F"/>
    <w:rsid w:val="79481072"/>
    <w:rsid w:val="79562934"/>
    <w:rsid w:val="796B1F52"/>
    <w:rsid w:val="79ADF2CD"/>
    <w:rsid w:val="79E60A81"/>
    <w:rsid w:val="7A067B92"/>
    <w:rsid w:val="7A2C0074"/>
    <w:rsid w:val="7A312381"/>
    <w:rsid w:val="7A325236"/>
    <w:rsid w:val="7A3E16CA"/>
    <w:rsid w:val="7A5017C2"/>
    <w:rsid w:val="7A5214CB"/>
    <w:rsid w:val="7A580FEE"/>
    <w:rsid w:val="7A695F3F"/>
    <w:rsid w:val="7A7C3AF5"/>
    <w:rsid w:val="7A99459B"/>
    <w:rsid w:val="7AC633AE"/>
    <w:rsid w:val="7ADF2349"/>
    <w:rsid w:val="7AFC1129"/>
    <w:rsid w:val="7B0665F1"/>
    <w:rsid w:val="7B6F139A"/>
    <w:rsid w:val="7B7BD199"/>
    <w:rsid w:val="7BCC5788"/>
    <w:rsid w:val="7BE14743"/>
    <w:rsid w:val="7BE96E9E"/>
    <w:rsid w:val="7BF10231"/>
    <w:rsid w:val="7C040A58"/>
    <w:rsid w:val="7C0F74BB"/>
    <w:rsid w:val="7C69133E"/>
    <w:rsid w:val="7C772D2F"/>
    <w:rsid w:val="7C9043F6"/>
    <w:rsid w:val="7CE507B8"/>
    <w:rsid w:val="7D0E5476"/>
    <w:rsid w:val="7D1142C2"/>
    <w:rsid w:val="7D225061"/>
    <w:rsid w:val="7D3B32B1"/>
    <w:rsid w:val="7D7F0D86"/>
    <w:rsid w:val="7D937D0D"/>
    <w:rsid w:val="7DF206BA"/>
    <w:rsid w:val="7E2C5446"/>
    <w:rsid w:val="7EA0012F"/>
    <w:rsid w:val="7EA128FE"/>
    <w:rsid w:val="7EB0611A"/>
    <w:rsid w:val="7EC77CA3"/>
    <w:rsid w:val="7EDF290E"/>
    <w:rsid w:val="7EDF7C91"/>
    <w:rsid w:val="7F266939"/>
    <w:rsid w:val="7F2F6A68"/>
    <w:rsid w:val="7F40261D"/>
    <w:rsid w:val="7F705985"/>
    <w:rsid w:val="7F872516"/>
    <w:rsid w:val="7F8F10C5"/>
    <w:rsid w:val="7F903EE6"/>
    <w:rsid w:val="7FDE39EF"/>
    <w:rsid w:val="9FE36A38"/>
    <w:rsid w:val="AC5FB892"/>
    <w:rsid w:val="AFFDD411"/>
    <w:rsid w:val="B4F92044"/>
    <w:rsid w:val="B98D250A"/>
    <w:rsid w:val="BB3F5E17"/>
    <w:rsid w:val="BEFF962D"/>
    <w:rsid w:val="CCEFDB18"/>
    <w:rsid w:val="D7FEC898"/>
    <w:rsid w:val="DB90A756"/>
    <w:rsid w:val="DD6A06C7"/>
    <w:rsid w:val="E5EE2FFD"/>
    <w:rsid w:val="E7DB9CE6"/>
    <w:rsid w:val="EB6FDEE0"/>
    <w:rsid w:val="EF32D651"/>
    <w:rsid w:val="EFD783E1"/>
    <w:rsid w:val="F7BBA634"/>
    <w:rsid w:val="F9FE6E93"/>
    <w:rsid w:val="FDE3826E"/>
    <w:rsid w:val="FED7BCD8"/>
    <w:rsid w:val="FF5FB50A"/>
    <w:rsid w:val="FFBEB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7"/>
    <w:qFormat/>
    <w:uiPriority w:val="0"/>
    <w:pPr>
      <w:keepNext/>
      <w:keepLines/>
      <w:spacing w:before="260" w:after="260" w:line="413" w:lineRule="auto"/>
      <w:outlineLvl w:val="1"/>
    </w:pPr>
    <w:rPr>
      <w:rFonts w:ascii="Arial" w:hAnsi="Arial" w:eastAsia="黑体" w:cs="Times New Roman"/>
      <w:b/>
      <w:sz w:val="32"/>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rFonts w:ascii="Calibri" w:hAnsi="Calibri" w:eastAsia="宋体" w:cs="Times New Roman"/>
    </w:rPr>
  </w:style>
  <w:style w:type="paragraph" w:styleId="4">
    <w:name w:val="Normal Indent"/>
    <w:basedOn w:val="1"/>
    <w:qFormat/>
    <w:uiPriority w:val="0"/>
    <w:pPr>
      <w:autoSpaceDE w:val="0"/>
      <w:autoSpaceDN w:val="0"/>
      <w:ind w:firstLine="488"/>
      <w:textAlignment w:val="baseline"/>
    </w:pPr>
    <w:rPr>
      <w:rFonts w:ascii="Times New Roman" w:hAnsi="Times New Roman" w:eastAsia="宋体" w:cs="Times New Roman"/>
      <w:sz w:val="24"/>
      <w:szCs w:val="20"/>
    </w:rPr>
  </w:style>
  <w:style w:type="paragraph" w:styleId="5">
    <w:name w:val="annotation text"/>
    <w:basedOn w:val="1"/>
    <w:semiHidden/>
    <w:unhideWhenUsed/>
    <w:qFormat/>
    <w:uiPriority w:val="99"/>
    <w:pPr>
      <w:jc w:val="left"/>
    </w:pPr>
  </w:style>
  <w:style w:type="paragraph" w:styleId="6">
    <w:name w:val="Body Text"/>
    <w:basedOn w:val="1"/>
    <w:qFormat/>
    <w:uiPriority w:val="1"/>
    <w:rPr>
      <w:rFonts w:ascii="宋体" w:hAnsi="宋体" w:eastAsia="宋体" w:cs="宋体"/>
      <w:sz w:val="28"/>
      <w:szCs w:val="2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styleId="14">
    <w:name w:val="Emphasis"/>
    <w:basedOn w:val="12"/>
    <w:qFormat/>
    <w:uiPriority w:val="20"/>
    <w:rPr>
      <w:i/>
    </w:rPr>
  </w:style>
  <w:style w:type="character" w:styleId="15">
    <w:name w:val="Hyperlink"/>
    <w:basedOn w:val="12"/>
    <w:qFormat/>
    <w:uiPriority w:val="0"/>
    <w:rPr>
      <w:color w:val="0000FF"/>
      <w:u w:val="single"/>
    </w:rPr>
  </w:style>
  <w:style w:type="paragraph" w:styleId="16">
    <w:name w:val="List Paragraph"/>
    <w:basedOn w:val="1"/>
    <w:qFormat/>
    <w:uiPriority w:val="34"/>
    <w:pPr>
      <w:ind w:firstLine="420" w:firstLineChars="200"/>
    </w:pPr>
  </w:style>
  <w:style w:type="character" w:customStyle="1" w:styleId="17">
    <w:name w:val="标题 2 字符"/>
    <w:basedOn w:val="12"/>
    <w:link w:val="3"/>
    <w:qFormat/>
    <w:uiPriority w:val="0"/>
    <w:rPr>
      <w:rFonts w:ascii="Arial" w:hAnsi="Arial" w:eastAsia="黑体" w:cs="Times New Roman"/>
      <w:b/>
      <w:kern w:val="2"/>
      <w:sz w:val="32"/>
      <w:szCs w:val="24"/>
    </w:rPr>
  </w:style>
  <w:style w:type="paragraph" w:customStyle="1" w:styleId="18">
    <w:name w:val="Table Paragraph"/>
    <w:basedOn w:val="1"/>
    <w:qFormat/>
    <w:uiPriority w:val="1"/>
    <w:rPr>
      <w:rFonts w:ascii="等线" w:hAnsi="等线" w:eastAsia="等线" w:cs="等线"/>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10926</Words>
  <Characters>11390</Characters>
  <Lines>122</Lines>
  <Paragraphs>34</Paragraphs>
  <TotalTime>173</TotalTime>
  <ScaleCrop>false</ScaleCrop>
  <LinksUpToDate>false</LinksUpToDate>
  <CharactersWithSpaces>11486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2022-03-02T07:50:00Z</dcterms:created>
  <dc:creator>wangwenqi001@outlook.com</dc:creator>
  <cp:lastModifiedBy>weiz</cp:lastModifiedBy>
  <cp:lastPrinted>2022-07-07T00:42:00Z</cp:lastPrinted>
  <dcterms:modified xsi:type="dcterms:W3CDTF">2022-08-16T12:30:52Z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002920E4FB154409A6A754CB5E820629</vt:lpwstr>
  </property>
</Properties>
</file>