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ind w:firstLine="0" w:firstLineChars="0"/>
        <w:jc w:val="center"/>
        <w:outlineLvl w:val="0"/>
        <w:rPr>
          <w:rFonts w:hint="eastAsia" w:ascii="仿宋" w:hAnsi="仿宋" w:eastAsia="仿宋" w:cs="仿宋"/>
          <w:b/>
          <w:color w:val="auto"/>
          <w:sz w:val="32"/>
          <w:szCs w:val="32"/>
          <w:u w:val="single"/>
          <w:lang w:val="en-US" w:eastAsia="zh-CN"/>
        </w:rPr>
      </w:pPr>
      <w:r>
        <w:rPr>
          <w:rFonts w:hint="eastAsia" w:ascii="仿宋" w:hAnsi="仿宋" w:eastAsia="仿宋" w:cs="仿宋"/>
          <w:b/>
          <w:color w:val="auto"/>
          <w:sz w:val="52"/>
          <w:szCs w:val="52"/>
          <w:lang w:val="en-US" w:eastAsia="zh-CN"/>
        </w:rPr>
        <w:t>河北满好会计师事务所（普通合伙）</w:t>
      </w:r>
      <w:r>
        <w:rPr>
          <w:rFonts w:hint="eastAsia" w:ascii="仿宋" w:hAnsi="仿宋" w:eastAsia="仿宋" w:cs="仿宋"/>
          <w:b/>
          <w:color w:val="auto"/>
          <w:sz w:val="32"/>
          <w:szCs w:val="32"/>
          <w:u w:val="single"/>
          <w:lang w:val="en-US" w:eastAsia="zh-CN"/>
        </w:rPr>
        <w:t>HEBEI MANHAO ACCOUNTANTS FIRMS(GENERAL PARTNERSHIP)</w:t>
      </w:r>
    </w:p>
    <w:p>
      <w:pPr>
        <w:autoSpaceDE w:val="0"/>
        <w:autoSpaceDN w:val="0"/>
        <w:adjustRightInd w:val="0"/>
        <w:snapToGrid w:val="0"/>
        <w:spacing w:line="240" w:lineRule="auto"/>
        <w:jc w:val="both"/>
        <w:outlineLvl w:val="0"/>
        <w:rPr>
          <w:rFonts w:hint="eastAsia" w:ascii="仿宋" w:hAnsi="仿宋" w:eastAsia="仿宋" w:cs="仿宋"/>
          <w:b/>
          <w:color w:val="auto"/>
          <w:sz w:val="24"/>
          <w:szCs w:val="24"/>
          <w:u w:val="thick"/>
          <w:lang w:val="en-US" w:eastAsia="zh-CN"/>
        </w:rPr>
      </w:pPr>
    </w:p>
    <w:p>
      <w:pPr>
        <w:autoSpaceDE w:val="0"/>
        <w:autoSpaceDN w:val="0"/>
        <w:adjustRightInd w:val="0"/>
        <w:snapToGrid w:val="0"/>
        <w:spacing w:line="240" w:lineRule="auto"/>
        <w:jc w:val="both"/>
        <w:outlineLvl w:val="0"/>
        <w:rPr>
          <w:rFonts w:hint="default" w:ascii="仿宋" w:hAnsi="仿宋" w:eastAsia="仿宋" w:cs="仿宋"/>
          <w:b/>
          <w:color w:val="000000" w:themeColor="text1"/>
          <w:sz w:val="32"/>
          <w:szCs w:val="32"/>
          <w:u w:val="none"/>
          <w:lang w:val="en-US" w:eastAsia="zh-CN"/>
          <w14:textFill>
            <w14:solidFill>
              <w14:schemeClr w14:val="tx1"/>
            </w14:solidFill>
          </w14:textFill>
        </w:rPr>
      </w:pPr>
      <w:r>
        <w:rPr>
          <w:rFonts w:hint="eastAsia" w:ascii="仿宋" w:hAnsi="仿宋" w:eastAsia="仿宋" w:cs="仿宋"/>
          <w:b/>
          <w:color w:val="auto"/>
          <w:sz w:val="24"/>
          <w:szCs w:val="24"/>
          <w:u w:val="thick"/>
          <w:lang w:val="en-US" w:eastAsia="zh-CN"/>
        </w:rPr>
        <w:t xml:space="preserve">                    冀满好（2022）专审字第025号                             </w:t>
      </w:r>
    </w:p>
    <w:p>
      <w:pPr>
        <w:spacing w:line="400" w:lineRule="exact"/>
        <w:rPr>
          <w:rFonts w:hint="eastAsia" w:ascii="仿宋_GB2312" w:eastAsia="仿宋_GB2312"/>
          <w:spacing w:val="-26"/>
          <w:sz w:val="24"/>
          <w:u w:val="thick"/>
        </w:rPr>
      </w:pP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高阳县庞口镇人民政府</w:t>
      </w: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农村环卫作业市场化经营项目</w:t>
      </w:r>
    </w:p>
    <w:p>
      <w:pPr>
        <w:pageBreakBefore w:val="0"/>
        <w:kinsoku/>
        <w:wordWrap/>
        <w:overflowPunct/>
        <w:topLinePunct w:val="0"/>
        <w:autoSpaceDE/>
        <w:autoSpaceDN/>
        <w:bidi w:val="0"/>
        <w:snapToGrid/>
        <w:spacing w:line="580" w:lineRule="exact"/>
        <w:jc w:val="center"/>
        <w:rPr>
          <w:rFonts w:hint="eastAsia" w:ascii="仿宋" w:hAnsi="仿宋" w:eastAsia="仿宋" w:cs="仿宋"/>
          <w:b/>
          <w:color w:val="auto"/>
          <w:sz w:val="36"/>
          <w:szCs w:val="36"/>
          <w:lang w:val="en-US" w:eastAsia="zh-CN"/>
        </w:rPr>
      </w:pPr>
      <w:r>
        <w:rPr>
          <w:rFonts w:hint="eastAsia" w:ascii="仿宋" w:hAnsi="仿宋" w:eastAsia="仿宋" w:cs="仿宋"/>
          <w:b/>
          <w:color w:val="auto"/>
          <w:sz w:val="36"/>
          <w:szCs w:val="36"/>
          <w:lang w:val="en-US" w:eastAsia="zh-CN"/>
        </w:rPr>
        <w:t>绩效评价报告</w:t>
      </w:r>
    </w:p>
    <w:p>
      <w:pPr>
        <w:pageBreakBefore w:val="0"/>
        <w:kinsoku/>
        <w:wordWrap/>
        <w:overflowPunct/>
        <w:topLinePunct w:val="0"/>
        <w:autoSpaceDE/>
        <w:autoSpaceDN/>
        <w:bidi w:val="0"/>
        <w:snapToGrid/>
        <w:spacing w:line="580" w:lineRule="exact"/>
        <w:rPr>
          <w:rFonts w:hint="eastAsia" w:ascii="仿宋" w:hAnsi="仿宋" w:eastAsia="仿宋" w:cs="仿宋"/>
          <w:b/>
          <w:color w:val="auto"/>
          <w:sz w:val="24"/>
          <w:szCs w:val="24"/>
        </w:rPr>
      </w:pP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深入贯彻党的十九大精神，全面落实中央和省委、省政府关于实施预算绩效管理的决策部署，加强财政资金绩效管理，提高项目绩效管理水平，促进财政资金配置效率和使用效益提升，根据《中华人民共和国预算法》、财政部《项目支出绩效评价管理办法》（财预〔2020〕10 号）、《中共河北省委 河北省人民政府关于全面实施预算绩效管理的实施意见》(冀发〔2018〕54号)、《河北省省级预算绩效重点评价管理办法》（冀财绩〔2019〕11号）及《河北省财政厅关于加强和改进预算绩效重点评价工作进一步提高评价质量的意见》（冀财绩〔2020〕3号）、《高阳县县级预算绩效重点评价管理办法》（高财监〔2020〕7号）等有关规定，我们于2022年7月份对高阳县“庞口镇农村环卫作业市场化经营”专项资金进行了重点绩效评价，现将评价情况及结果报告如下：</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一、基本情况</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（一）项目概况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1.项目背景</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全面提升庞口镇人居环境和投资环境，提高乡村参与农村环境卫生整治工作的积极性，2021年庞口镇通过环卫市场化运作，全面引入竞争机制，将管理、检查、监督与清扫作业分离，加大监管力度，建立环卫作业考评机制，实现镇域环卫全覆盖。</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2.服务范围</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包括村庄，河、堤、渠，道路三部分。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（1）村庄部分：包含26个村庄，共计18109户，50513人，村内、村间道路清扫保洁及垃圾收运。</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（2）河、堤、渠部分：潴龙河12.73公里、小白河10公里、北庞口排支渠3.8公里日常保洁及垃圾收运。</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（3）道路部分：逄口大道12700米、庞口二号线9500米、城冯路2400米、保沧高速高阳东引线2600米日常保洁及垃圾收运。</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3.标准要求</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所有接管区域要达到“四有”标准，即：有专职的保洁人员、有垃圾收集设施、有标准的示范街道、有长效运行机制，并进行常态化管理。</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4.服务期限</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承包期限：三年。</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5.实施情况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2月高阳县庞口镇人民政府与瑞和安惠项目管理集团有限公司签订《政府采购委托代理协议书》，委托其对“庞口镇农村环卫作业市场化经营”项目进行招标。河北康瑞工程咨询有限公司确定的招标控制价为3,984,600.00元每年。</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2021年3月30日，经公开招标，保定市亮城丽都环境科技股份有限公司中标，中标价为：11,952,000.00元，3,984,000.00元/年。</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4月22日，高阳县庞口镇人民政府与保定市亮城丽都环境科技股份有限公司签订了《庞口镇农村环卫作业市场化项目合同》。服务期限：2021年4月22日-2024年4月22日；合同总价：11,952,000.00元。整个招投标过程，体现了公开、公正、自愿、平等的原则。</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（二）资金投入和使用情况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2021年4月22日-2022年4月22日，该专项资金财政预算安排3,984,000.00元，实际到位预算资金3,762,670.00元,差额221,330.00元。</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2021年4月22日-2022年4月22日，实际支出3,748,280.00元，为支付给中标单位保定市亮城丽都环境科技股份有限公司的环卫经费。根据《合同》规定应支付保定市亮城丽都环境科技股份有限公司环卫经费3,984,000.00元，差额235,720.00元为庞口镇政府（甲方）根据《合同》规定，因保定市亮城丽都环境科技股份有限公司（乙方）“保洁质量问题扣分、检查不合格、未按要求完成或完成不达标的”情形扣除的“违约金及保洁费用”款。</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（三）项目绩效目标设定</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 xml:space="preserve">高阳县庞口镇政府2021年度预算项目绩效目标，见下表：     </w:t>
      </w:r>
    </w:p>
    <w:tbl>
      <w:tblPr>
        <w:tblStyle w:val="9"/>
        <w:tblW w:w="82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5"/>
        <w:gridCol w:w="1080"/>
        <w:gridCol w:w="1990"/>
        <w:gridCol w:w="710"/>
        <w:gridCol w:w="650"/>
        <w:gridCol w:w="560"/>
        <w:gridCol w:w="1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exact"/>
          <w:jc w:val="center"/>
        </w:trPr>
        <w:tc>
          <w:tcPr>
            <w:tcW w:w="1285" w:type="dxa"/>
            <w:vMerge w:val="restart"/>
            <w:noWrap w:val="0"/>
            <w:vAlign w:val="center"/>
          </w:tcPr>
          <w:p>
            <w:pPr>
              <w:pStyle w:val="2"/>
              <w:keepNext w:val="0"/>
              <w:keepLines w:val="0"/>
              <w:pageBreakBefore w:val="0"/>
              <w:widowControl w:val="0"/>
              <w:tabs>
                <w:tab w:val="left" w:pos="649"/>
              </w:tabs>
              <w:kinsoku/>
              <w:wordWrap/>
              <w:overflowPunct/>
              <w:topLinePunct w:val="0"/>
              <w:autoSpaceDE/>
              <w:autoSpaceDN/>
              <w:bidi/>
              <w:adjustRightInd/>
              <w:snapToGrid/>
              <w:ind w:left="0" w:leftChars="0" w:right="0" w:firstLine="0" w:firstLineChars="0"/>
              <w:jc w:val="center"/>
              <w:textAlignment w:val="auto"/>
              <w:rPr>
                <w:rFonts w:hint="eastAsia" w:ascii="仿宋" w:hAnsi="仿宋" w:eastAsia="仿宋" w:cs="仿宋"/>
                <w:kern w:val="0"/>
                <w:sz w:val="21"/>
                <w:szCs w:val="21"/>
                <w:lang w:val="en-US" w:eastAsia="zh-CN"/>
              </w:rPr>
            </w:pPr>
          </w:p>
          <w:p>
            <w:pPr>
              <w:pStyle w:val="2"/>
              <w:keepNext w:val="0"/>
              <w:keepLines w:val="0"/>
              <w:pageBreakBefore w:val="0"/>
              <w:widowControl w:val="0"/>
              <w:tabs>
                <w:tab w:val="left" w:pos="649"/>
              </w:tabs>
              <w:kinsoku/>
              <w:wordWrap/>
              <w:overflowPunct/>
              <w:topLinePunct w:val="0"/>
              <w:autoSpaceDE/>
              <w:autoSpaceDN/>
              <w:bidi/>
              <w:adjustRightInd/>
              <w:snapToGrid/>
              <w:ind w:left="0" w:leftChars="0" w:right="0" w:firstLine="0" w:firstLine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bidi="ar-SA"/>
              </w:rPr>
              <w:t>一级指标</w:t>
            </w:r>
          </w:p>
          <w:p>
            <w:pPr>
              <w:keepNext w:val="0"/>
              <w:keepLines w:val="0"/>
              <w:pageBreakBefore w:val="0"/>
              <w:widowControl w:val="0"/>
              <w:kinsoku/>
              <w:wordWrap/>
              <w:overflowPunct/>
              <w:topLinePunct w:val="0"/>
              <w:autoSpaceDE/>
              <w:autoSpaceDN/>
              <w:bidi/>
              <w:adjustRightInd/>
              <w:snapToGrid/>
              <w:jc w:val="center"/>
              <w:textAlignment w:val="auto"/>
              <w:rPr>
                <w:rFonts w:hint="eastAsia" w:ascii="仿宋" w:hAnsi="仿宋" w:eastAsia="仿宋" w:cs="仿宋"/>
                <w:color w:val="333333"/>
                <w:kern w:val="0"/>
                <w:sz w:val="21"/>
                <w:szCs w:val="21"/>
                <w:lang w:eastAsia="zh-CN"/>
              </w:rPr>
            </w:pPr>
          </w:p>
        </w:tc>
        <w:tc>
          <w:tcPr>
            <w:tcW w:w="1080" w:type="dxa"/>
            <w:vMerge w:val="restart"/>
            <w:noWrap w:val="0"/>
            <w:vAlign w:val="center"/>
          </w:tcPr>
          <w:p>
            <w:pPr>
              <w:keepNext w:val="0"/>
              <w:keepLines w:val="0"/>
              <w:pageBreakBefore w:val="0"/>
              <w:widowControl w:val="0"/>
              <w:kinsoku/>
              <w:wordWrap/>
              <w:overflowPunct/>
              <w:topLinePunct w:val="0"/>
              <w:autoSpaceDE/>
              <w:autoSpaceDN/>
              <w:bidi/>
              <w:adjustRightInd/>
              <w:snapToGrid/>
              <w:jc w:val="left"/>
              <w:textAlignment w:val="auto"/>
              <w:rPr>
                <w:rFonts w:hint="eastAsia" w:ascii="仿宋" w:hAnsi="仿宋" w:eastAsia="仿宋" w:cs="仿宋"/>
                <w:kern w:val="0"/>
                <w:sz w:val="21"/>
                <w:szCs w:val="21"/>
                <w:lang w:val="en-US" w:eastAsia="zh-CN" w:bidi="ar-SA"/>
              </w:rPr>
            </w:pPr>
          </w:p>
          <w:p>
            <w:pPr>
              <w:keepNext w:val="0"/>
              <w:keepLines w:val="0"/>
              <w:pageBreakBefore w:val="0"/>
              <w:widowControl w:val="0"/>
              <w:kinsoku/>
              <w:wordWrap/>
              <w:overflowPunct/>
              <w:topLinePunct w:val="0"/>
              <w:autoSpaceDE/>
              <w:autoSpaceDN/>
              <w:bidi/>
              <w:adjustRightInd/>
              <w:snapToGrid/>
              <w:jc w:val="center"/>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二级指标</w:t>
            </w:r>
          </w:p>
          <w:p>
            <w:pPr>
              <w:keepNext w:val="0"/>
              <w:keepLines w:val="0"/>
              <w:pageBreakBefore w:val="0"/>
              <w:widowControl w:val="0"/>
              <w:kinsoku/>
              <w:wordWrap/>
              <w:overflowPunct/>
              <w:topLinePunct w:val="0"/>
              <w:autoSpaceDE/>
              <w:autoSpaceDN/>
              <w:bidi/>
              <w:adjustRightInd/>
              <w:snapToGrid/>
              <w:jc w:val="left"/>
              <w:textAlignment w:val="auto"/>
              <w:rPr>
                <w:rFonts w:hint="eastAsia" w:ascii="仿宋" w:hAnsi="仿宋" w:eastAsia="仿宋" w:cs="仿宋"/>
                <w:color w:val="333333"/>
                <w:kern w:val="0"/>
                <w:sz w:val="21"/>
                <w:szCs w:val="21"/>
                <w:lang w:eastAsia="zh-CN"/>
              </w:rPr>
            </w:pPr>
          </w:p>
        </w:tc>
        <w:tc>
          <w:tcPr>
            <w:tcW w:w="1990" w:type="dxa"/>
            <w:vMerge w:val="restart"/>
            <w:noWrap w:val="0"/>
            <w:vAlign w:val="center"/>
          </w:tcPr>
          <w:p>
            <w:pPr>
              <w:jc w:val="left"/>
              <w:rPr>
                <w:rFonts w:hint="eastAsia"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三级指标</w:t>
            </w:r>
          </w:p>
        </w:tc>
        <w:tc>
          <w:tcPr>
            <w:tcW w:w="710" w:type="dxa"/>
            <w:vMerge w:val="restart"/>
            <w:noWrap w:val="0"/>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指标分值</w:t>
            </w:r>
          </w:p>
        </w:tc>
        <w:tc>
          <w:tcPr>
            <w:tcW w:w="3154" w:type="dxa"/>
            <w:gridSpan w:val="3"/>
            <w:noWrap w:val="0"/>
            <w:vAlign w:val="bottom"/>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预期指标值</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333333"/>
                <w:kern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285" w:type="dxa"/>
            <w:vMerge w:val="continue"/>
            <w:noWrap w:val="0"/>
            <w:vAlign w:val="center"/>
          </w:tcPr>
          <w:p>
            <w:pPr>
              <w:jc w:val="center"/>
              <w:rPr>
                <w:rFonts w:hint="eastAsia" w:ascii="仿宋" w:hAnsi="仿宋" w:eastAsia="仿宋" w:cs="仿宋"/>
                <w:color w:val="333333"/>
                <w:kern w:val="0"/>
                <w:sz w:val="21"/>
                <w:szCs w:val="21"/>
                <w:lang w:eastAsia="zh-CN"/>
              </w:rPr>
            </w:pPr>
          </w:p>
        </w:tc>
        <w:tc>
          <w:tcPr>
            <w:tcW w:w="1080" w:type="dxa"/>
            <w:vMerge w:val="continue"/>
            <w:noWrap w:val="0"/>
            <w:vAlign w:val="center"/>
          </w:tcPr>
          <w:p>
            <w:pPr>
              <w:jc w:val="left"/>
              <w:rPr>
                <w:rFonts w:hint="eastAsia" w:ascii="仿宋" w:hAnsi="仿宋" w:eastAsia="仿宋" w:cs="仿宋"/>
                <w:color w:val="333333"/>
                <w:kern w:val="0"/>
                <w:sz w:val="21"/>
                <w:szCs w:val="21"/>
                <w:lang w:eastAsia="zh-CN"/>
              </w:rPr>
            </w:pPr>
          </w:p>
        </w:tc>
        <w:tc>
          <w:tcPr>
            <w:tcW w:w="1990" w:type="dxa"/>
            <w:vMerge w:val="continue"/>
            <w:noWrap w:val="0"/>
            <w:vAlign w:val="center"/>
          </w:tcPr>
          <w:p>
            <w:pPr>
              <w:jc w:val="left"/>
              <w:rPr>
                <w:rFonts w:hint="eastAsia" w:ascii="仿宋" w:hAnsi="仿宋" w:eastAsia="仿宋" w:cs="仿宋"/>
                <w:sz w:val="21"/>
                <w:szCs w:val="21"/>
                <w:lang w:val="en-US" w:eastAsia="zh-CN"/>
              </w:rPr>
            </w:pPr>
          </w:p>
        </w:tc>
        <w:tc>
          <w:tcPr>
            <w:tcW w:w="710" w:type="dxa"/>
            <w:vMerge w:val="continue"/>
            <w:noWrap w:val="0"/>
            <w:vAlign w:val="center"/>
          </w:tcPr>
          <w:p>
            <w:pPr>
              <w:jc w:val="center"/>
              <w:rPr>
                <w:rFonts w:hint="eastAsia" w:ascii="仿宋" w:hAnsi="仿宋" w:eastAsia="仿宋" w:cs="仿宋"/>
                <w:sz w:val="21"/>
                <w:szCs w:val="21"/>
                <w:lang w:val="en-US" w:eastAsia="zh-CN"/>
              </w:rPr>
            </w:pPr>
          </w:p>
        </w:tc>
        <w:tc>
          <w:tcPr>
            <w:tcW w:w="65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符号</w:t>
            </w:r>
          </w:p>
        </w:tc>
        <w:tc>
          <w:tcPr>
            <w:tcW w:w="560"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333333"/>
                <w:kern w:val="0"/>
                <w:sz w:val="21"/>
                <w:szCs w:val="21"/>
                <w:lang w:eastAsia="zh-CN"/>
              </w:rPr>
            </w:pPr>
            <w:r>
              <w:rPr>
                <w:rFonts w:hint="eastAsia" w:ascii="仿宋" w:hAnsi="仿宋" w:eastAsia="仿宋" w:cs="仿宋"/>
                <w:sz w:val="21"/>
                <w:szCs w:val="21"/>
                <w:lang w:val="en-US" w:eastAsia="zh-CN"/>
              </w:rPr>
              <w:t>值</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restart"/>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产出指标</w:t>
            </w:r>
          </w:p>
          <w:p>
            <w:pPr>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lang w:val="en-US" w:eastAsia="zh-CN"/>
              </w:rPr>
              <w:t>50</w:t>
            </w:r>
            <w:r>
              <w:rPr>
                <w:rFonts w:hint="eastAsia" w:ascii="仿宋" w:hAnsi="仿宋" w:eastAsia="仿宋" w:cs="仿宋"/>
                <w:color w:val="000000"/>
                <w:kern w:val="0"/>
                <w:sz w:val="21"/>
                <w:szCs w:val="21"/>
                <w:lang w:eastAsia="zh-CN"/>
              </w:rPr>
              <w:t>）</w:t>
            </w:r>
          </w:p>
          <w:p>
            <w:pPr>
              <w:jc w:val="center"/>
              <w:rPr>
                <w:rFonts w:hint="eastAsia" w:ascii="仿宋" w:hAnsi="仿宋" w:eastAsia="仿宋" w:cs="仿宋"/>
                <w:color w:val="000000"/>
                <w:kern w:val="0"/>
                <w:sz w:val="21"/>
                <w:szCs w:val="21"/>
                <w:lang w:eastAsia="zh-CN"/>
              </w:rPr>
            </w:pPr>
          </w:p>
          <w:p>
            <w:pPr>
              <w:jc w:val="center"/>
              <w:rPr>
                <w:rFonts w:hint="eastAsia" w:ascii="仿宋" w:hAnsi="仿宋" w:eastAsia="仿宋" w:cs="仿宋"/>
                <w:color w:val="000000"/>
                <w:kern w:val="0"/>
                <w:sz w:val="21"/>
                <w:szCs w:val="21"/>
                <w:lang w:val="en-US" w:eastAsia="zh-CN"/>
              </w:rPr>
            </w:pPr>
          </w:p>
        </w:tc>
        <w:tc>
          <w:tcPr>
            <w:tcW w:w="1080" w:type="dxa"/>
            <w:noWrap w:val="0"/>
            <w:vAlign w:val="center"/>
          </w:tcPr>
          <w:p>
            <w:pPr>
              <w:jc w:val="left"/>
              <w:rPr>
                <w:rFonts w:hint="eastAsia" w:ascii="仿宋" w:hAnsi="仿宋" w:eastAsia="仿宋" w:cs="仿宋"/>
                <w:color w:val="000000"/>
                <w:kern w:val="0"/>
                <w:sz w:val="21"/>
                <w:szCs w:val="21"/>
                <w:lang w:eastAsia="zh-CN"/>
              </w:rPr>
            </w:pPr>
            <w:r>
              <w:rPr>
                <w:rFonts w:hint="eastAsia" w:ascii="仿宋" w:hAnsi="仿宋" w:eastAsia="仿宋" w:cs="仿宋"/>
                <w:color w:val="000000"/>
                <w:sz w:val="21"/>
                <w:szCs w:val="21"/>
                <w:lang w:val="en-US" w:eastAsia="zh-CN"/>
              </w:rPr>
              <w:t>数量指标</w:t>
            </w:r>
          </w:p>
        </w:tc>
        <w:tc>
          <w:tcPr>
            <w:tcW w:w="1990" w:type="dxa"/>
            <w:noWrap w:val="0"/>
            <w:vAlign w:val="center"/>
          </w:tcPr>
          <w:p>
            <w:pPr>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四大区域管理全覆盖</w:t>
            </w:r>
          </w:p>
        </w:tc>
        <w:tc>
          <w:tcPr>
            <w:tcW w:w="710"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650" w:type="dxa"/>
            <w:noWrap w:val="0"/>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w:t>
            </w:r>
          </w:p>
        </w:tc>
        <w:tc>
          <w:tcPr>
            <w:tcW w:w="560" w:type="dxa"/>
            <w:noWrap w:val="0"/>
            <w:vAlign w:val="center"/>
          </w:tcPr>
          <w:p>
            <w:pPr>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sz w:val="21"/>
                <w:szCs w:val="21"/>
                <w:lang w:val="en-US" w:eastAsia="zh-CN"/>
              </w:rPr>
              <w:t>90</w:t>
            </w:r>
          </w:p>
        </w:tc>
        <w:tc>
          <w:tcPr>
            <w:tcW w:w="1944" w:type="dxa"/>
            <w:noWrap w:val="0"/>
            <w:vAlign w:val="center"/>
          </w:tcPr>
          <w:p>
            <w:pPr>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color w:val="000000"/>
                <w:kern w:val="0"/>
                <w:sz w:val="21"/>
                <w:szCs w:val="21"/>
                <w:lang w:eastAsia="zh-CN"/>
              </w:rPr>
            </w:pPr>
          </w:p>
        </w:tc>
        <w:tc>
          <w:tcPr>
            <w:tcW w:w="1080" w:type="dxa"/>
            <w:noWrap w:val="0"/>
            <w:vAlign w:val="center"/>
          </w:tcPr>
          <w:p>
            <w:pPr>
              <w:jc w:val="left"/>
              <w:rPr>
                <w:rFonts w:hint="eastAsia" w:ascii="仿宋" w:hAnsi="仿宋" w:eastAsia="仿宋" w:cs="仿宋"/>
                <w:color w:val="000000"/>
                <w:kern w:val="0"/>
                <w:sz w:val="21"/>
                <w:szCs w:val="21"/>
                <w:lang w:eastAsia="zh-CN"/>
              </w:rPr>
            </w:pPr>
            <w:r>
              <w:rPr>
                <w:rFonts w:hint="eastAsia" w:ascii="仿宋" w:hAnsi="仿宋" w:eastAsia="仿宋" w:cs="仿宋"/>
                <w:color w:val="000000"/>
                <w:sz w:val="21"/>
                <w:szCs w:val="21"/>
                <w:lang w:val="en-US" w:eastAsia="zh-CN"/>
              </w:rPr>
              <w:t>质量指标</w:t>
            </w:r>
          </w:p>
        </w:tc>
        <w:tc>
          <w:tcPr>
            <w:tcW w:w="1990" w:type="dxa"/>
            <w:noWrap w:val="0"/>
            <w:vAlign w:val="center"/>
          </w:tcPr>
          <w:p>
            <w:pPr>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清洁程度</w:t>
            </w:r>
          </w:p>
        </w:tc>
        <w:tc>
          <w:tcPr>
            <w:tcW w:w="710"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15</w:t>
            </w:r>
          </w:p>
        </w:tc>
        <w:tc>
          <w:tcPr>
            <w:tcW w:w="650"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w:t>
            </w:r>
          </w:p>
        </w:tc>
        <w:tc>
          <w:tcPr>
            <w:tcW w:w="560" w:type="dxa"/>
            <w:noWrap w:val="0"/>
            <w:vAlign w:val="center"/>
          </w:tcPr>
          <w:p>
            <w:pPr>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1944" w:type="dxa"/>
            <w:noWrap w:val="0"/>
            <w:vAlign w:val="center"/>
          </w:tcPr>
          <w:p>
            <w:pPr>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color w:val="000000"/>
                <w:kern w:val="0"/>
                <w:sz w:val="21"/>
                <w:szCs w:val="21"/>
                <w:lang w:eastAsia="zh-CN"/>
              </w:rPr>
            </w:pPr>
          </w:p>
        </w:tc>
        <w:tc>
          <w:tcPr>
            <w:tcW w:w="1080" w:type="dxa"/>
            <w:noWrap w:val="0"/>
            <w:vAlign w:val="center"/>
          </w:tcPr>
          <w:p>
            <w:pPr>
              <w:jc w:val="left"/>
              <w:rPr>
                <w:rFonts w:hint="eastAsia" w:ascii="仿宋" w:hAnsi="仿宋" w:eastAsia="仿宋" w:cs="仿宋"/>
                <w:color w:val="000000"/>
                <w:kern w:val="0"/>
                <w:sz w:val="21"/>
                <w:szCs w:val="21"/>
                <w:lang w:eastAsia="zh-CN"/>
              </w:rPr>
            </w:pPr>
            <w:r>
              <w:rPr>
                <w:rFonts w:hint="eastAsia" w:ascii="仿宋" w:hAnsi="仿宋" w:eastAsia="仿宋" w:cs="仿宋"/>
                <w:color w:val="000000"/>
                <w:sz w:val="21"/>
                <w:szCs w:val="21"/>
                <w:lang w:val="en-US" w:eastAsia="zh-CN"/>
              </w:rPr>
              <w:t>时效指标</w:t>
            </w:r>
          </w:p>
        </w:tc>
        <w:tc>
          <w:tcPr>
            <w:tcW w:w="1990" w:type="dxa"/>
            <w:noWrap w:val="0"/>
            <w:vAlign w:val="center"/>
          </w:tcPr>
          <w:p>
            <w:pPr>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资金支付及时性</w:t>
            </w:r>
          </w:p>
        </w:tc>
        <w:tc>
          <w:tcPr>
            <w:tcW w:w="710"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650" w:type="dxa"/>
            <w:noWrap w:val="0"/>
            <w:vAlign w:val="center"/>
          </w:tcPr>
          <w:p>
            <w:pPr>
              <w:jc w:val="center"/>
              <w:rPr>
                <w:rFonts w:hint="default" w:ascii="仿宋" w:hAnsi="仿宋" w:eastAsia="仿宋" w:cs="仿宋"/>
                <w:color w:val="000000"/>
                <w:sz w:val="21"/>
                <w:szCs w:val="21"/>
                <w:lang w:val="en-US" w:eastAsia="zh-CN"/>
              </w:rPr>
            </w:pPr>
          </w:p>
        </w:tc>
        <w:tc>
          <w:tcPr>
            <w:tcW w:w="560" w:type="dxa"/>
            <w:noWrap w:val="0"/>
            <w:vAlign w:val="center"/>
          </w:tcPr>
          <w:p>
            <w:pPr>
              <w:jc w:val="center"/>
              <w:rPr>
                <w:rFonts w:hint="eastAsia" w:ascii="仿宋" w:hAnsi="仿宋" w:eastAsia="仿宋" w:cs="仿宋"/>
                <w:color w:val="000000"/>
                <w:sz w:val="21"/>
                <w:szCs w:val="21"/>
                <w:lang w:val="en-US" w:eastAsia="zh-CN"/>
              </w:rPr>
            </w:pPr>
          </w:p>
        </w:tc>
        <w:tc>
          <w:tcPr>
            <w:tcW w:w="1944" w:type="dxa"/>
            <w:noWrap w:val="0"/>
            <w:vAlign w:val="center"/>
          </w:tcPr>
          <w:p>
            <w:pPr>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及时拨付环卫工人工资、老旧设备及时更新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color w:val="000000"/>
                <w:kern w:val="0"/>
                <w:sz w:val="21"/>
                <w:szCs w:val="21"/>
                <w:lang w:val="en-US" w:eastAsia="zh-CN"/>
              </w:rPr>
            </w:pPr>
          </w:p>
        </w:tc>
        <w:tc>
          <w:tcPr>
            <w:tcW w:w="1080" w:type="dxa"/>
            <w:noWrap w:val="0"/>
            <w:vAlign w:val="center"/>
          </w:tcPr>
          <w:p>
            <w:pPr>
              <w:jc w:val="left"/>
              <w:rPr>
                <w:rFonts w:hint="eastAsia" w:ascii="仿宋" w:hAnsi="仿宋" w:eastAsia="仿宋" w:cs="仿宋"/>
                <w:color w:val="000000"/>
                <w:kern w:val="0"/>
                <w:sz w:val="21"/>
                <w:szCs w:val="21"/>
                <w:lang w:val="en-US" w:eastAsia="zh-CN"/>
              </w:rPr>
            </w:pPr>
            <w:r>
              <w:rPr>
                <w:rFonts w:hint="eastAsia" w:ascii="仿宋" w:hAnsi="仿宋" w:eastAsia="仿宋" w:cs="仿宋"/>
                <w:color w:val="000000"/>
                <w:sz w:val="21"/>
                <w:szCs w:val="21"/>
                <w:lang w:val="en-US" w:eastAsia="zh-CN"/>
              </w:rPr>
              <w:t>成本指标</w:t>
            </w:r>
          </w:p>
        </w:tc>
        <w:tc>
          <w:tcPr>
            <w:tcW w:w="1990" w:type="dxa"/>
            <w:noWrap w:val="0"/>
            <w:vAlign w:val="center"/>
          </w:tcPr>
          <w:p>
            <w:pPr>
              <w:jc w:val="lef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成本控制率</w:t>
            </w:r>
          </w:p>
        </w:tc>
        <w:tc>
          <w:tcPr>
            <w:tcW w:w="710" w:type="dxa"/>
            <w:noWrap w:val="0"/>
            <w:vAlign w:val="center"/>
          </w:tcPr>
          <w:p>
            <w:pPr>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w:t>
            </w:r>
          </w:p>
        </w:tc>
        <w:tc>
          <w:tcPr>
            <w:tcW w:w="650" w:type="dxa"/>
            <w:noWrap w:val="0"/>
            <w:vAlign w:val="center"/>
          </w:tcPr>
          <w:p>
            <w:pPr>
              <w:jc w:val="center"/>
              <w:rPr>
                <w:rFonts w:hint="default" w:ascii="仿宋" w:hAnsi="仿宋" w:eastAsia="仿宋" w:cs="仿宋"/>
                <w:color w:val="000000"/>
                <w:sz w:val="21"/>
                <w:szCs w:val="21"/>
                <w:lang w:val="en-US" w:eastAsia="zh-CN"/>
              </w:rPr>
            </w:pPr>
          </w:p>
        </w:tc>
        <w:tc>
          <w:tcPr>
            <w:tcW w:w="560" w:type="dxa"/>
            <w:noWrap w:val="0"/>
            <w:vAlign w:val="center"/>
          </w:tcPr>
          <w:p>
            <w:pPr>
              <w:jc w:val="center"/>
              <w:rPr>
                <w:rFonts w:hint="default" w:ascii="仿宋" w:hAnsi="仿宋" w:eastAsia="仿宋" w:cs="仿宋"/>
                <w:color w:val="000000"/>
                <w:kern w:val="0"/>
                <w:sz w:val="21"/>
                <w:szCs w:val="21"/>
                <w:lang w:val="en-US" w:eastAsia="zh-CN"/>
              </w:rPr>
            </w:pPr>
          </w:p>
        </w:tc>
        <w:tc>
          <w:tcPr>
            <w:tcW w:w="1944" w:type="dxa"/>
            <w:noWrap w:val="0"/>
            <w:vAlign w:val="center"/>
          </w:tcPr>
          <w:p>
            <w:pPr>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成本控制在预算资金内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restart"/>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效益指标（30）</w:t>
            </w:r>
          </w:p>
        </w:tc>
        <w:tc>
          <w:tcPr>
            <w:tcW w:w="108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经济效益指标</w:t>
            </w:r>
          </w:p>
        </w:tc>
        <w:tc>
          <w:tcPr>
            <w:tcW w:w="1990" w:type="dxa"/>
            <w:noWrap w:val="0"/>
            <w:vAlign w:val="center"/>
          </w:tcPr>
          <w:p>
            <w:pPr>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改善生活环境，优化营商环境，促进社会经济综合发展</w:t>
            </w:r>
          </w:p>
        </w:tc>
        <w:tc>
          <w:tcPr>
            <w:tcW w:w="71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650" w:type="dxa"/>
            <w:noWrap w:val="0"/>
            <w:vAlign w:val="center"/>
          </w:tcPr>
          <w:p>
            <w:pPr>
              <w:jc w:val="center"/>
              <w:rPr>
                <w:rFonts w:hint="default" w:ascii="仿宋" w:hAnsi="仿宋" w:eastAsia="仿宋" w:cs="仿宋"/>
                <w:sz w:val="21"/>
                <w:szCs w:val="21"/>
                <w:lang w:val="en-US" w:eastAsia="zh-CN"/>
              </w:rPr>
            </w:pPr>
          </w:p>
        </w:tc>
        <w:tc>
          <w:tcPr>
            <w:tcW w:w="560" w:type="dxa"/>
            <w:noWrap w:val="0"/>
            <w:vAlign w:val="center"/>
          </w:tcPr>
          <w:p>
            <w:pPr>
              <w:jc w:val="center"/>
              <w:rPr>
                <w:rFonts w:hint="default" w:ascii="仿宋" w:hAnsi="仿宋" w:eastAsia="仿宋" w:cs="仿宋"/>
                <w:sz w:val="21"/>
                <w:szCs w:val="21"/>
                <w:lang w:val="en-US" w:eastAsia="zh-CN"/>
              </w:rPr>
            </w:pPr>
          </w:p>
        </w:tc>
        <w:tc>
          <w:tcPr>
            <w:tcW w:w="1944" w:type="dxa"/>
            <w:noWrap w:val="0"/>
            <w:vAlign w:val="center"/>
          </w:tcPr>
          <w:p>
            <w:pPr>
              <w:jc w:val="center"/>
              <w:rPr>
                <w:rFonts w:hint="default" w:ascii="仿宋" w:hAnsi="仿宋" w:eastAsia="仿宋" w:cs="仿宋"/>
                <w:color w:val="333333"/>
                <w:kern w:val="0"/>
                <w:sz w:val="21"/>
                <w:szCs w:val="21"/>
                <w:lang w:val="en-US" w:eastAsia="zh-CN"/>
              </w:rPr>
            </w:pPr>
            <w:r>
              <w:rPr>
                <w:rFonts w:hint="default" w:ascii="仿宋" w:hAnsi="仿宋" w:eastAsia="仿宋" w:cs="仿宋"/>
                <w:color w:val="333333"/>
                <w:kern w:val="0"/>
                <w:sz w:val="21"/>
                <w:szCs w:val="21"/>
                <w:lang w:val="en-US" w:eastAsia="zh-CN"/>
              </w:rPr>
              <w:t>改善生活环境，优化营商环境，促进社会经济综合发展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sz w:val="21"/>
                <w:szCs w:val="21"/>
                <w:lang w:val="en-US" w:eastAsia="zh-CN"/>
              </w:rPr>
            </w:pPr>
          </w:p>
        </w:tc>
        <w:tc>
          <w:tcPr>
            <w:tcW w:w="108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社会效益指标</w:t>
            </w:r>
          </w:p>
        </w:tc>
        <w:tc>
          <w:tcPr>
            <w:tcW w:w="199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建设绿色家园，提升居民的生活质量和幸福指数</w:t>
            </w:r>
          </w:p>
        </w:tc>
        <w:tc>
          <w:tcPr>
            <w:tcW w:w="71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650" w:type="dxa"/>
            <w:noWrap w:val="0"/>
            <w:vAlign w:val="center"/>
          </w:tcPr>
          <w:p>
            <w:pPr>
              <w:jc w:val="center"/>
              <w:rPr>
                <w:rFonts w:hint="eastAsia" w:ascii="仿宋" w:hAnsi="仿宋" w:eastAsia="仿宋" w:cs="仿宋"/>
                <w:sz w:val="21"/>
                <w:szCs w:val="21"/>
                <w:lang w:val="en-US" w:eastAsia="zh-CN"/>
              </w:rPr>
            </w:pPr>
          </w:p>
        </w:tc>
        <w:tc>
          <w:tcPr>
            <w:tcW w:w="560" w:type="dxa"/>
            <w:noWrap w:val="0"/>
            <w:vAlign w:val="center"/>
          </w:tcPr>
          <w:p>
            <w:pPr>
              <w:jc w:val="center"/>
              <w:rPr>
                <w:rFonts w:hint="eastAsia" w:ascii="仿宋" w:hAnsi="仿宋" w:eastAsia="仿宋" w:cs="仿宋"/>
                <w:sz w:val="21"/>
                <w:szCs w:val="21"/>
                <w:lang w:val="en-US" w:eastAsia="zh-CN"/>
              </w:rPr>
            </w:pPr>
          </w:p>
        </w:tc>
        <w:tc>
          <w:tcPr>
            <w:tcW w:w="1944" w:type="dxa"/>
            <w:noWrap w:val="0"/>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建设绿色家园，提升居民的生活质量和幸福指数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sz w:val="21"/>
                <w:szCs w:val="21"/>
                <w:lang w:val="en-US" w:eastAsia="zh-CN"/>
              </w:rPr>
            </w:pPr>
          </w:p>
        </w:tc>
        <w:tc>
          <w:tcPr>
            <w:tcW w:w="108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生态效益指标</w:t>
            </w:r>
          </w:p>
        </w:tc>
        <w:tc>
          <w:tcPr>
            <w:tcW w:w="199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保持村庄环境卫生和美观</w:t>
            </w:r>
          </w:p>
        </w:tc>
        <w:tc>
          <w:tcPr>
            <w:tcW w:w="71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650" w:type="dxa"/>
            <w:noWrap w:val="0"/>
            <w:vAlign w:val="center"/>
          </w:tcPr>
          <w:p>
            <w:pPr>
              <w:jc w:val="center"/>
              <w:rPr>
                <w:rFonts w:hint="eastAsia" w:ascii="仿宋" w:hAnsi="仿宋" w:eastAsia="仿宋" w:cs="仿宋"/>
                <w:sz w:val="21"/>
                <w:szCs w:val="21"/>
                <w:lang w:val="en-US" w:eastAsia="zh-CN"/>
              </w:rPr>
            </w:pPr>
          </w:p>
        </w:tc>
        <w:tc>
          <w:tcPr>
            <w:tcW w:w="560" w:type="dxa"/>
            <w:noWrap w:val="0"/>
            <w:vAlign w:val="center"/>
          </w:tcPr>
          <w:p>
            <w:pPr>
              <w:jc w:val="center"/>
              <w:rPr>
                <w:rFonts w:hint="eastAsia" w:ascii="仿宋" w:hAnsi="仿宋" w:eastAsia="仿宋" w:cs="仿宋"/>
                <w:sz w:val="21"/>
                <w:szCs w:val="21"/>
                <w:lang w:val="en-US" w:eastAsia="zh-CN"/>
              </w:rPr>
            </w:pPr>
          </w:p>
        </w:tc>
        <w:tc>
          <w:tcPr>
            <w:tcW w:w="1944" w:type="dxa"/>
            <w:noWrap w:val="0"/>
            <w:vAlign w:val="center"/>
          </w:tcPr>
          <w:p>
            <w:pPr>
              <w:jc w:val="center"/>
              <w:rPr>
                <w:rFonts w:hint="eastAsia"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及时处理垃圾，减少垃圾焚烧，维护村庄环境卫生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vMerge w:val="continue"/>
            <w:noWrap w:val="0"/>
            <w:vAlign w:val="center"/>
          </w:tcPr>
          <w:p>
            <w:pPr>
              <w:jc w:val="center"/>
              <w:rPr>
                <w:rFonts w:hint="eastAsia" w:ascii="仿宋" w:hAnsi="仿宋" w:eastAsia="仿宋" w:cs="仿宋"/>
                <w:sz w:val="21"/>
                <w:szCs w:val="21"/>
                <w:lang w:val="en-US" w:eastAsia="zh-CN"/>
              </w:rPr>
            </w:pPr>
          </w:p>
        </w:tc>
        <w:tc>
          <w:tcPr>
            <w:tcW w:w="108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可持续影响指标</w:t>
            </w:r>
          </w:p>
        </w:tc>
        <w:tc>
          <w:tcPr>
            <w:tcW w:w="199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生态环境持续优化</w:t>
            </w:r>
          </w:p>
        </w:tc>
        <w:tc>
          <w:tcPr>
            <w:tcW w:w="71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650" w:type="dxa"/>
            <w:noWrap w:val="0"/>
            <w:vAlign w:val="center"/>
          </w:tcPr>
          <w:p>
            <w:pPr>
              <w:jc w:val="center"/>
              <w:rPr>
                <w:rFonts w:hint="eastAsia" w:ascii="仿宋" w:hAnsi="仿宋" w:eastAsia="仿宋" w:cs="仿宋"/>
                <w:sz w:val="21"/>
                <w:szCs w:val="21"/>
                <w:lang w:val="en-US" w:eastAsia="zh-CN"/>
              </w:rPr>
            </w:pPr>
          </w:p>
        </w:tc>
        <w:tc>
          <w:tcPr>
            <w:tcW w:w="560" w:type="dxa"/>
            <w:noWrap w:val="0"/>
            <w:vAlign w:val="center"/>
          </w:tcPr>
          <w:p>
            <w:pPr>
              <w:jc w:val="center"/>
              <w:rPr>
                <w:rFonts w:hint="eastAsia" w:ascii="仿宋" w:hAnsi="仿宋" w:eastAsia="仿宋" w:cs="仿宋"/>
                <w:sz w:val="21"/>
                <w:szCs w:val="21"/>
                <w:lang w:val="en-US" w:eastAsia="zh-CN"/>
              </w:rPr>
            </w:pPr>
          </w:p>
        </w:tc>
        <w:tc>
          <w:tcPr>
            <w:tcW w:w="1944" w:type="dxa"/>
            <w:noWrap w:val="0"/>
            <w:vAlign w:val="center"/>
          </w:tcPr>
          <w:p>
            <w:pPr>
              <w:jc w:val="center"/>
              <w:rPr>
                <w:rFonts w:hint="eastAsia"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减少环境污染和影响，生态环境持续优化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满意度指标（10）</w:t>
            </w:r>
          </w:p>
        </w:tc>
        <w:tc>
          <w:tcPr>
            <w:tcW w:w="1080" w:type="dxa"/>
            <w:noWrap w:val="0"/>
            <w:vAlign w:val="center"/>
          </w:tcPr>
          <w:p>
            <w:pPr>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满意度指标</w:t>
            </w:r>
          </w:p>
        </w:tc>
        <w:tc>
          <w:tcPr>
            <w:tcW w:w="1990" w:type="dxa"/>
            <w:noWrap w:val="0"/>
            <w:vAlign w:val="center"/>
          </w:tcPr>
          <w:p>
            <w:pPr>
              <w:jc w:val="left"/>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村民满意度</w:t>
            </w:r>
          </w:p>
        </w:tc>
        <w:tc>
          <w:tcPr>
            <w:tcW w:w="71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50" w:type="dxa"/>
            <w:noWrap w:val="0"/>
            <w:vAlign w:val="center"/>
          </w:tcPr>
          <w:p>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560" w:type="dxa"/>
            <w:noWrap w:val="0"/>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1944" w:type="dxa"/>
            <w:noWrap w:val="0"/>
            <w:vAlign w:val="center"/>
          </w:tcPr>
          <w:p>
            <w:pPr>
              <w:jc w:val="center"/>
              <w:rPr>
                <w:rFonts w:hint="default" w:ascii="仿宋" w:hAnsi="仿宋" w:eastAsia="仿宋" w:cs="仿宋"/>
                <w:color w:val="333333"/>
                <w:kern w:val="0"/>
                <w:sz w:val="21"/>
                <w:szCs w:val="21"/>
                <w:lang w:val="en-US" w:eastAsia="zh-CN"/>
              </w:rPr>
            </w:pPr>
            <w:r>
              <w:rPr>
                <w:rFonts w:hint="eastAsia" w:ascii="仿宋" w:hAnsi="仿宋" w:eastAsia="仿宋" w:cs="仿宋"/>
                <w:color w:val="333333"/>
                <w:kern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85"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预算执行率（10）</w:t>
            </w:r>
          </w:p>
        </w:tc>
        <w:tc>
          <w:tcPr>
            <w:tcW w:w="1080" w:type="dxa"/>
            <w:noWrap w:val="0"/>
            <w:vAlign w:val="center"/>
          </w:tcPr>
          <w:p>
            <w:pPr>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预算执行率</w:t>
            </w:r>
          </w:p>
        </w:tc>
        <w:tc>
          <w:tcPr>
            <w:tcW w:w="1990" w:type="dxa"/>
            <w:noWrap w:val="0"/>
            <w:vAlign w:val="center"/>
          </w:tcPr>
          <w:p>
            <w:pPr>
              <w:jc w:val="center"/>
              <w:rPr>
                <w:rFonts w:hint="eastAsia" w:ascii="仿宋" w:hAnsi="仿宋" w:eastAsia="仿宋" w:cs="仿宋"/>
                <w:sz w:val="21"/>
                <w:szCs w:val="21"/>
                <w:lang w:val="en-US" w:eastAsia="zh-CN"/>
              </w:rPr>
            </w:pPr>
          </w:p>
        </w:tc>
        <w:tc>
          <w:tcPr>
            <w:tcW w:w="710" w:type="dxa"/>
            <w:noWrap w:val="0"/>
            <w:vAlign w:val="center"/>
          </w:tcPr>
          <w:p>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50" w:type="dxa"/>
            <w:noWrap w:val="0"/>
            <w:vAlign w:val="top"/>
          </w:tcPr>
          <w:p>
            <w:pPr>
              <w:keepNext w:val="0"/>
              <w:keepLines w:val="0"/>
              <w:widowControl/>
              <w:suppressLineNumbers w:val="0"/>
              <w:jc w:val="center"/>
              <w:textAlignment w:val="top"/>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560" w:type="dxa"/>
            <w:noWrap w:val="0"/>
            <w:vAlign w:val="top"/>
          </w:tcPr>
          <w:p>
            <w:pPr>
              <w:keepNext w:val="0"/>
              <w:keepLines w:val="0"/>
              <w:widowControl/>
              <w:suppressLineNumbers w:val="0"/>
              <w:jc w:val="center"/>
              <w:textAlignment w:val="top"/>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944" w:type="dxa"/>
            <w:noWrap w:val="0"/>
            <w:vAlign w:val="top"/>
          </w:tcPr>
          <w:p>
            <w:pPr>
              <w:keepNext w:val="0"/>
              <w:keepLines w:val="0"/>
              <w:widowControl/>
              <w:suppressLineNumbers w:val="0"/>
              <w:jc w:val="center"/>
              <w:textAlignment w:val="top"/>
              <w:rPr>
                <w:rFonts w:hint="eastAsia" w:ascii="仿宋" w:hAnsi="仿宋" w:eastAsia="仿宋" w:cs="仿宋"/>
                <w:color w:val="333333"/>
                <w:kern w:val="0"/>
                <w:sz w:val="21"/>
                <w:szCs w:val="21"/>
                <w:lang w:val="en-US" w:eastAsia="zh-CN"/>
              </w:rPr>
            </w:pPr>
            <w:r>
              <w:rPr>
                <w:rFonts w:hint="eastAsia" w:ascii="宋体" w:hAnsi="宋体" w:eastAsia="宋体" w:cs="宋体"/>
                <w:i w:val="0"/>
                <w:iCs w:val="0"/>
                <w:color w:val="000000"/>
                <w:kern w:val="0"/>
                <w:sz w:val="18"/>
                <w:szCs w:val="18"/>
                <w:u w:val="none"/>
                <w:lang w:val="en-US" w:eastAsia="zh-CN" w:bidi="ar"/>
              </w:rPr>
              <w:t>%</w:t>
            </w:r>
          </w:p>
        </w:tc>
      </w:tr>
    </w:tbl>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二、绩效评价工作开展情况</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为做好此项评价，成立了高阳县财政局预算绩效管理工作领导小组，并聘请河北满好会计师事务所专业人员参加绩效评价工作。工作组认真进行前期调研，搜集、查找、学习相关政策、行业标准、专业知识，并组织评价组成员与主管部门进行多次讨论与研究。根据财政资金绩效评价的基本要求和规定，结合高阳县庞口镇农村环卫作业市场化项目工作特点，从评价对象、评价依据、评价工作组织、评价方法及程序、评价时间安排、评价保障措施等六方面研究制定了绩效评价工作方案。设计了满意度调查问卷表，以镇监管人员、保洁人员和社会公众为对象，发放15份满意度调查问卷表，对该项目工作进行满意度调查。</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评价组通过实地核实相关原始账页、支出凭证10份；管理制度6份等相关原始资料、现场查验、公众满意度调查等方式，按照绩效评价指标体系的评分办法从项目决策、管理、产出、效益等方面进行实地监督评价。</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项目绩效评价指标体系分值共100分，一级指标4项：决策、管理、产出、效益；二级指标7项；三级指标14项，各分项指标及分值详见附件1。</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评价等级：根据河北省财政厅颁发的《河北省省级预算绩效重点评价管理办法》第十七条：“重点评价结果采取评级形式,以优、良、中、差四个等级来反映;评价结果能量化的,也可以分值来表述,在评价总分设置为 100 分情况下,一般得分与等级对应关系为:90 分以上为优、80-90 分为良、 60-80 分为中、 60 分以下为差”的规定。</w:t>
      </w:r>
    </w:p>
    <w:p>
      <w:pPr>
        <w:pageBreakBefore w:val="0"/>
        <w:widowControl w:val="0"/>
        <w:tabs>
          <w:tab w:val="left" w:pos="4860"/>
        </w:tabs>
        <w:kinsoku/>
        <w:wordWrap/>
        <w:overflowPunct/>
        <w:topLinePunct w:val="0"/>
        <w:autoSpaceDE/>
        <w:autoSpaceDN/>
        <w:bidi w:val="0"/>
        <w:adjustRightInd/>
        <w:snapToGrid/>
        <w:spacing w:line="580" w:lineRule="exact"/>
        <w:ind w:firstLine="562" w:firstLineChars="200"/>
        <w:textAlignment w:val="auto"/>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三、综合评价情况及评价结论</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高阳县庞口镇人民政府为进一步做好农村人居环境工作，提高乡村参与农村环境卫生工作的积极性，通过县政府批准，将镇农村环卫作业纳入市场化运营管理。通过公司化运作，自主经营，自负盈亏，自负责任，将机械化清扫、道路洗扫、洒水降尘、人工清扫保洁都无条件的服从镇政府迎检、重大活动、公共事件、极端天气和临时应急工作安排；服从镇政府的统一管理和调度，坚决支持配合镇环境卫生工作。同时，庞口镇政府还制定了“农村环境卫生市场化清扫考核标准”及“市场化保洁百分制评分标准”，作为拨付服务费用的依据。以上举措切实改善了庞口镇农村人居环境，提升了居民的生活质量和幸福指数。</w:t>
      </w:r>
    </w:p>
    <w:p>
      <w:pPr>
        <w:pageBreakBefore w:val="0"/>
        <w:widowControl w:val="0"/>
        <w:tabs>
          <w:tab w:val="left" w:pos="4860"/>
        </w:tabs>
        <w:kinsoku/>
        <w:wordWrap/>
        <w:overflowPunct/>
        <w:topLinePunct w:val="0"/>
        <w:autoSpaceDE/>
        <w:autoSpaceDN/>
        <w:bidi w:val="0"/>
        <w:adjustRightInd/>
        <w:snapToGrid/>
        <w:spacing w:line="580" w:lineRule="exact"/>
        <w:ind w:firstLine="560" w:firstLineChars="200"/>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项目绩效评价综合得分91.50分。综合评价结论为“优”。</w:t>
      </w:r>
    </w:p>
    <w:p>
      <w:pPr>
        <w:pageBreakBefore w:val="0"/>
        <w:widowControl w:val="0"/>
        <w:tabs>
          <w:tab w:val="left" w:pos="4860"/>
        </w:tabs>
        <w:kinsoku/>
        <w:wordWrap/>
        <w:overflowPunct/>
        <w:topLinePunct w:val="0"/>
        <w:autoSpaceDE/>
        <w:autoSpaceDN/>
        <w:bidi w:val="0"/>
        <w:adjustRightInd/>
        <w:snapToGrid/>
        <w:spacing w:line="580" w:lineRule="exact"/>
        <w:ind w:firstLine="1680" w:firstLineChars="600"/>
        <w:jc w:val="both"/>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表1：绩效评价具体得分情况表</w:t>
      </w:r>
    </w:p>
    <w:p>
      <w:pPr>
        <w:pStyle w:val="2"/>
        <w:rPr>
          <w:rFonts w:hint="eastAsia"/>
          <w:lang w:val="en-US" w:eastAsia="zh-CN"/>
        </w:rPr>
      </w:pPr>
    </w:p>
    <w:tbl>
      <w:tblPr>
        <w:tblStyle w:val="9"/>
        <w:tblW w:w="0" w:type="auto"/>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1691"/>
        <w:gridCol w:w="3230"/>
        <w:gridCol w:w="738"/>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一级指标</w:t>
            </w: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二级指标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三级指标</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分值</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决策（5分）</w:t>
            </w:r>
          </w:p>
        </w:tc>
        <w:tc>
          <w:tcPr>
            <w:tcW w:w="1691"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项目立项</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立项依据充分性</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合计</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restart"/>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管理（15）</w:t>
            </w:r>
          </w:p>
        </w:tc>
        <w:tc>
          <w:tcPr>
            <w:tcW w:w="1691" w:type="dxa"/>
            <w:vMerge w:val="restart"/>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组织实施</w:t>
            </w:r>
          </w:p>
        </w:tc>
        <w:tc>
          <w:tcPr>
            <w:tcW w:w="3230"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内控制度健全性</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3230"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制度执行有效性</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招标采购合规性</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合计</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restart"/>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产出(32分)</w:t>
            </w: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数量</w:t>
            </w:r>
            <w:r>
              <w:rPr>
                <w:rFonts w:hint="eastAsia" w:ascii="仿宋" w:hAnsi="仿宋" w:eastAsia="仿宋" w:cs="仿宋"/>
                <w:sz w:val="21"/>
                <w:szCs w:val="21"/>
                <w:vertAlign w:val="baseline"/>
                <w:lang w:val="en-US" w:eastAsia="zh-CN"/>
              </w:rPr>
              <w:t>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四大区域管理全覆盖</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782"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质量</w:t>
            </w:r>
            <w:r>
              <w:rPr>
                <w:rFonts w:hint="eastAsia" w:ascii="仿宋" w:hAnsi="仿宋" w:eastAsia="仿宋" w:cs="仿宋"/>
                <w:sz w:val="21"/>
                <w:szCs w:val="21"/>
                <w:vertAlign w:val="baseline"/>
                <w:lang w:val="en-US" w:eastAsia="zh-CN"/>
              </w:rPr>
              <w:t>指标</w:t>
            </w: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清洁程度</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时效指标</w:t>
            </w: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资金支付及时性</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成本指标</w:t>
            </w: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成本控制率</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合计</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32</w:t>
            </w:r>
          </w:p>
        </w:tc>
        <w:tc>
          <w:tcPr>
            <w:tcW w:w="782"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699" w:type="dxa"/>
            <w:vMerge w:val="restart"/>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效益(48分)</w:t>
            </w:r>
          </w:p>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经济效益指标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促进社会经济综合发展</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699"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691"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社会效益</w:t>
            </w:r>
            <w:r>
              <w:rPr>
                <w:rFonts w:hint="eastAsia" w:ascii="仿宋" w:hAnsi="仿宋" w:eastAsia="仿宋" w:cs="仿宋"/>
                <w:sz w:val="21"/>
                <w:szCs w:val="21"/>
                <w:vertAlign w:val="baseline"/>
                <w:lang w:val="en-US" w:eastAsia="zh-CN"/>
              </w:rPr>
              <w:t>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提升居民的生活质量和幸福指数</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生态效益指标</w:t>
            </w:r>
          </w:p>
        </w:tc>
        <w:tc>
          <w:tcPr>
            <w:tcW w:w="323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保持村庄环境卫生和美观</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ind w:firstLine="420" w:firstLineChars="200"/>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满意度指标</w:t>
            </w:r>
          </w:p>
        </w:tc>
        <w:tc>
          <w:tcPr>
            <w:tcW w:w="323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村民满意度</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782"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vMerge w:val="continue"/>
            <w:noWrap w:val="0"/>
            <w:vAlign w:val="top"/>
          </w:tcPr>
          <w:p>
            <w:pPr>
              <w:numPr>
                <w:ilvl w:val="0"/>
                <w:numId w:val="0"/>
              </w:numPr>
              <w:ind w:firstLine="420" w:firstLineChars="200"/>
              <w:rPr>
                <w:rFonts w:hint="eastAsia" w:ascii="仿宋" w:hAnsi="仿宋" w:eastAsia="仿宋" w:cs="仿宋"/>
                <w:sz w:val="21"/>
                <w:szCs w:val="21"/>
                <w:lang w:val="en-US" w:eastAsia="zh-CN"/>
              </w:rPr>
            </w:pPr>
          </w:p>
        </w:tc>
        <w:tc>
          <w:tcPr>
            <w:tcW w:w="1691"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可持续影响指标</w:t>
            </w:r>
          </w:p>
        </w:tc>
        <w:tc>
          <w:tcPr>
            <w:tcW w:w="3230"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可持续性</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99"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69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预算执行率</w:t>
            </w:r>
          </w:p>
        </w:tc>
        <w:tc>
          <w:tcPr>
            <w:tcW w:w="3230" w:type="dxa"/>
            <w:noWrap w:val="0"/>
            <w:vAlign w:val="top"/>
          </w:tcPr>
          <w:p>
            <w:pPr>
              <w:numPr>
                <w:ilvl w:val="0"/>
                <w:numId w:val="0"/>
              </w:numPr>
              <w:ind w:left="0" w:leftChars="0" w:firstLine="0" w:firstLineChars="0"/>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预算执行率</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782"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合计</w:t>
            </w:r>
          </w:p>
        </w:tc>
        <w:tc>
          <w:tcPr>
            <w:tcW w:w="738"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48</w:t>
            </w:r>
          </w:p>
        </w:tc>
        <w:tc>
          <w:tcPr>
            <w:tcW w:w="782"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0" w:type="dxa"/>
            <w:gridSpan w:val="3"/>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总计</w:t>
            </w:r>
          </w:p>
        </w:tc>
        <w:tc>
          <w:tcPr>
            <w:tcW w:w="738"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782"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91.5</w:t>
            </w:r>
          </w:p>
        </w:tc>
      </w:tr>
    </w:tbl>
    <w:p>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四、绩效评价指标分析</w:t>
      </w:r>
    </w:p>
    <w:p>
      <w:pPr>
        <w:numPr>
          <w:ilvl w:val="0"/>
          <w:numId w:val="0"/>
        </w:numPr>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（一）决策情况</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决策指标分值5分，实际得分5分。</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1.项目立项</w:t>
      </w:r>
      <w:r>
        <w:rPr>
          <w:rFonts w:hint="eastAsia" w:ascii="仿宋" w:hAnsi="仿宋" w:eastAsia="仿宋" w:cs="仿宋"/>
          <w:sz w:val="28"/>
          <w:szCs w:val="28"/>
          <w:lang w:val="en-US" w:eastAsia="zh-CN"/>
        </w:rPr>
        <w:tab/>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（1）立项依据充分性</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2020年11月30日，高阳县城市管理综合行政执法局、庞口镇人民政府《关于将庞口镇农村环卫作业市场化经费列入庞口镇2021年县财政预算的请示》（县城执呈字【2020】55号文）联合向县政府提出申请，经县领导《呈批文件专用单》（编号：X1235）批示：“拟请财政局提出意见”。</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2020年12月15日，高阳县财政局向县政府提出《关于将庞口镇农村环卫作业市场化经费列入庞口镇2021年县财政预算的建议》（高财呈字【2020】463号文）。当日，经高阳县领导《呈批文件专用单》（编号：X1323）批复同意。</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“项目立项”二级指标分值5分，实际得分5分。</w:t>
      </w:r>
    </w:p>
    <w:p>
      <w:pPr>
        <w:numPr>
          <w:ilvl w:val="0"/>
          <w:numId w:val="0"/>
        </w:numPr>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（二）管理情况</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管理指标分值15分，得分14.5分。</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1、组织实施</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（1）内控制度健全性</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经查，高阳县庞口镇政府制定了《收支管理制度》、《合同管理制度》、《建设项目管理规定》、《政府采购管理制度》、《资产管理制度》、《预算管理制度》，内部控制制度的建立相对比较合理。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（2）制度执行有效性</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总体上看，高阳县民政局能够遵守法律法规、资金收支管理、合同管理、政府采购管理、资产管理等内部管理制度的相关规定。但在合同执行方面，存在缺少“签订日期”的缺陷，因此扣0.5分。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（3）招标采购合规性</w:t>
      </w:r>
    </w:p>
    <w:p>
      <w:pPr>
        <w:pStyle w:val="2"/>
        <w:numPr>
          <w:ilvl w:val="0"/>
          <w:numId w:val="0"/>
        </w:numPr>
        <w:ind w:firstLine="6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阳县庞口镇政府严格按照《中华人民共和国政府采购法》的有关规定，于2021年2月高阳县庞口镇人民政府与瑞和安惠项目管理集团有限公司签订《政府采购委托代理协议书》，委托其对“庞口镇农村环卫作业市场化经营”项目进行招标。</w:t>
      </w:r>
    </w:p>
    <w:p>
      <w:pPr>
        <w:pStyle w:val="2"/>
        <w:numPr>
          <w:ilvl w:val="0"/>
          <w:numId w:val="0"/>
        </w:numPr>
        <w:ind w:firstLine="6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2021年3月30日，经公开招标，保定市亮城丽都环境科技股份有限公司中标。2021年4月22日，高阳县庞口镇人民政府与保定市亮城丽都环境科技股份有限公司签订了《庞口镇农村环卫作业市场化项目》合同。合同对甲乙双方的权责利划分清晰，体现了公平原则。</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“组织实施”二级指标分值15分，实际得分14.5分。</w:t>
      </w:r>
    </w:p>
    <w:p>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（三）产出情况</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产出指标分值32分，得分26分。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1.数量指标</w:t>
      </w:r>
      <w:r>
        <w:rPr>
          <w:rFonts w:hint="eastAsia" w:ascii="仿宋" w:hAnsi="仿宋" w:eastAsia="仿宋" w:cs="仿宋"/>
          <w:sz w:val="28"/>
          <w:szCs w:val="28"/>
          <w:lang w:val="en-US" w:eastAsia="zh-CN"/>
        </w:rPr>
        <w:tab/>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（1）四大区域管理全覆盖</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河面、河堤、村庄、道路虽然实施了全面管理，达到了全覆盖，但是根据“庞口镇农村环卫市场化运营考核办法”规定，“庞口镇市场化保洁考核评分表”以及自评表显示，管理还存在着不足之处，因此扣1分。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“数量指标”二级指标分值8分，实际得分7分。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2.质量指标</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（1）清洁程度</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根据“庞口镇农村环卫市场化运营考核办法”规定，“庞口镇市场化保洁考核评分表”以及自评表显示，考核分在90分左右，清洁程度有待提高，因此扣1分。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“质量指标”二级指标分值8分，实际得分7分。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3.时效指标</w:t>
      </w:r>
      <w:r>
        <w:rPr>
          <w:rFonts w:hint="eastAsia" w:ascii="仿宋" w:hAnsi="仿宋" w:eastAsia="仿宋" w:cs="仿宋"/>
          <w:sz w:val="28"/>
          <w:szCs w:val="28"/>
          <w:lang w:val="en-US" w:eastAsia="zh-CN"/>
        </w:rPr>
        <w:tab/>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（1）资金支付及时性</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庞口镇农村环卫作业市场化项目合同》规定：“付款月15号前，甲方根据考核结果核定金额，由乙方出具合格正规发票后支付上一个季度的保洁服务费”。经查，2021年7月27日、10月22日、12月16日，庞口镇政府分别向保定市亮城丽都环境科技股份有限公司拨付环卫经费3笔，均在15号之后，资金支付不及时，因此扣4分。</w:t>
      </w:r>
    </w:p>
    <w:p>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“时效指标”二级指标分值8分，实际得分4分。</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4.成本指标</w:t>
      </w:r>
      <w:r>
        <w:rPr>
          <w:rFonts w:hint="eastAsia" w:ascii="仿宋" w:hAnsi="仿宋" w:eastAsia="仿宋" w:cs="仿宋"/>
          <w:sz w:val="28"/>
          <w:szCs w:val="28"/>
          <w:lang w:val="en-US" w:eastAsia="zh-CN"/>
        </w:rPr>
        <w:tab/>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（1）成本控制率</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高阳县庞口镇政府在2021年4月22-2022年4月22日承包期内，能够严格控制成本不超预算，成本控制率达100%。</w:t>
      </w:r>
    </w:p>
    <w:p>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“成本指标”二级指标分值8分，实际得分8分。</w:t>
      </w:r>
    </w:p>
    <w:p>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（四）效益情况</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效益指标分值48分，得分46分。</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1.经济效益指标</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（1）促进社会经济综合发展</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庞口镇为全国农机配件的集散地，通过“庞口镇农村环卫作业市场化运营项目”的实施，较大的改善了人们的生活工作环境，创造了较好的营商环境，促进了高阳县社会经济的综合发展。</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“经济效益”二级指标分值8分，实际得分8分。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2.社会效益指标</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（1）提升居民的生活质量和幸福指数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庞口镇为全国农机配件的集散地，通过“庞口镇农村环卫作业市场化运营项目”的实施，建设绿色家园，大大改善了人居环境，能显著提高人民的生活品质和幸福指数，满足人民生活的全面发展需要。</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“社会效益”二级指标分值8分，实际得分8分。</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3.生态效益指标</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（1）保持村庄环境卫生和美观</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通过“庞口镇农村环卫作业市场化运营项目”的实施，有利于提高农村人民生活质量，拉动沿线地区经济，使沿途和周边大气环境明显改善。及时处理垃圾，减少垃圾焚烧，维护村庄环境卫生，扎实推进大气污染治理，切实改善环境质量，推动绿色发展，为建设美丽高阳加砖添瓦。</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“生态效益”二级指标分值8分，实际得分8分。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4.满意度情况</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（1）村民满意度</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围绕高阳县庞口镇农村环卫作业市场化运营工作设计制作了“满意度调查问卷表”，并发放给庞口镇村民，对该项目进行满意度调查。</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满意度调查问卷表共计发放15份，收回15份，满意率达90%以上，个别村民认为有些地方、有些时候打扫卫生不彻底、不及时，因此扣1分。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“满意度”二级指标分值8分，实际得分7分。</w:t>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5.可持续影响指标</w:t>
      </w:r>
      <w:r>
        <w:rPr>
          <w:rFonts w:hint="eastAsia" w:ascii="仿宋" w:hAnsi="仿宋" w:eastAsia="仿宋" w:cs="仿宋"/>
          <w:sz w:val="28"/>
          <w:szCs w:val="28"/>
          <w:lang w:val="en-US" w:eastAsia="zh-CN"/>
        </w:rPr>
        <w:tab/>
      </w:r>
    </w:p>
    <w:p>
      <w:pPr>
        <w:numPr>
          <w:ilvl w:val="0"/>
          <w:numId w:val="0"/>
        </w:numPr>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（1）可持续性</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庞口镇农村环卫作业市场化运营项目为期三年，今年是项目执行的第二年，该项目的实施能够减少环境污染和影响，使生态环境持续优化。</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“可持续性”二级指标分值8分，实际得分8分。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6.预算执行情况</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截至2022年4月22日，庞口镇政府共收到财政预算拨款3,762,670.00元，与应拨付预算3,984,000.00元，差额221,330.00元未到账，说明财政预算拨付与实际支出不匹配，因此扣1分。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“预算执行情况”二级指标分值8分，实际得分7分。</w:t>
      </w:r>
    </w:p>
    <w:p>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五、经验做法及存在的问题</w:t>
      </w:r>
    </w:p>
    <w:p>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（一）经验做法</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阳县庞口镇通过推进农村生活垃圾市场化运行。2021年4月22日，该镇与公开招标中标企业保定市亮城丽都环境科技股份有限公司签订了协议，实现了26个行政村生活垃圾市场化运行全覆盖。同时，为保障市场化运行取得实效，充分利用中标单位的智慧环卫系统。智慧环卫管理云平台采用了云平台+移动互联网+智能终端“三合一”技术手段，结合环卫智能手表、车载视频终端等硬件设备，实时反馈环卫工人、车辆的工作状态、工作信息、工作历时,实现环卫作业的透明化管理和精细化管理；通过规范作业、自动考核，提升环卫作业质量。</w:t>
      </w:r>
    </w:p>
    <w:p>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1.预算管理工作有待强化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根据预算安排，农村环境卫生市场化项目经费为每年3,984,000.00元，截至2022年4月21日，高阳县庞口镇政府申请财政拨付的预算金额为3,762,670.00元，差额221,330.00元，实际预算到位率为94.44%。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2.合同管理有待加强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经查，2021年2月，庞口镇人民政府与瑞和安惠项目管理集团有限公司签订的《政府采购委托代理协议书》无双方的签字日期。但合同约定“双方签字盖章之日起生效”。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3.农村环境卫生作业质量有待加强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从“庞口镇市场化保洁考核评分表”来看，各村历次考核得分情况均在90分上下。乡村道路清扫保洁、村庄净化保洁、机械化清扫降尘、垃圾清运、工作纪律等方面均有不同程度的扣分；从村民满意度调查方面看，个别地段、个别时段清扫不彻底的情况时有发生，作业质量距标准要求有待提高。</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4.资金支付不及时</w:t>
      </w:r>
    </w:p>
    <w:p>
      <w:pPr>
        <w:numPr>
          <w:ilvl w:val="0"/>
          <w:numId w:val="0"/>
        </w:numPr>
        <w:ind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庞口镇农村环卫作业市场化项目合同》规定：“付款月15号前，甲方根据考核结果核定金额，由乙方出具合格正规发票后支付上一个季度的保洁服务费”。经查，2021年度庞口镇政府共向保定市亮城丽都环境科技股份有限公司拨付环卫经费3笔，均在15号之后，资金支付不及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六、相关建议</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（一）加强预算管理工作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是严格执行预算管理制度，严格按照时间要求、进度要求积极向财政申办预算资金，确保资金及时足额到位；二是严格执行资金支付审核审批流程及审核审批权限，对于大额资金支出严格执行集体决策程序，确保资金使用合法合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（二）强化合同管理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庞口镇人民政府虽然制定了《合同管理制度》，但该内部控制制度执行的有效性存在缺陷，需要按照制度规定严格执行，真正做到有规可依，执规必严。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（三）加强作业质量的监督检查力度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庞口镇政府应加大清扫保洁作业质量的监督检查工作力度，该扣分的不留情面，该整改的必须到位，确保全镇农村环境卫生作业质量再上新台阶。</w:t>
      </w:r>
    </w:p>
    <w:p>
      <w:pPr>
        <w:pStyle w:val="2"/>
        <w:numPr>
          <w:ilvl w:val="0"/>
          <w:numId w:val="0"/>
        </w:numPr>
        <w:ind w:leftChars="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（四）确保资金及时足额发放</w:t>
      </w:r>
    </w:p>
    <w:p>
      <w:pPr>
        <w:pStyle w:val="2"/>
        <w:numPr>
          <w:ilvl w:val="0"/>
          <w:numId w:val="0"/>
        </w:numPr>
        <w:ind w:leftChars="0"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严格执行合同管理制度，严格按照《庞口镇农村环卫作业市场化项目合同》的规定，及时足额发放环卫经费，杜绝拖欠企业及农民工资。</w:t>
      </w:r>
    </w:p>
    <w:p>
      <w:pPr>
        <w:pStyle w:val="2"/>
        <w:rPr>
          <w:rFonts w:hint="eastAsia" w:ascii="仿宋" w:hAnsi="仿宋" w:eastAsia="仿宋" w:cs="仿宋"/>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附件1：绩效评价具体得分情况表</w:t>
      </w: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Style w:val="2"/>
        <w:rPr>
          <w:rFonts w:hint="eastAsia"/>
          <w:lang w:val="en-US" w:eastAsia="zh-CN"/>
        </w:rPr>
      </w:pPr>
      <w:bookmarkStart w:id="0" w:name="_GoBack"/>
      <w:bookmarkEnd w:id="0"/>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河北满好会计师事务所（普通合伙）</w:t>
      </w:r>
    </w:p>
    <w:p>
      <w:pPr>
        <w:pageBreakBefore w:val="0"/>
        <w:widowControl w:val="0"/>
        <w:tabs>
          <w:tab w:val="left" w:pos="4860"/>
        </w:tabs>
        <w:kinsoku/>
        <w:wordWrap/>
        <w:overflowPunct/>
        <w:topLinePunct w:val="0"/>
        <w:autoSpaceDE/>
        <w:autoSpaceDN/>
        <w:bidi w:val="0"/>
        <w:adjustRightInd/>
        <w:snapToGrid/>
        <w:spacing w:line="580" w:lineRule="exact"/>
        <w:jc w:val="righ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2022年8月10日</w:t>
      </w:r>
    </w:p>
    <w:p>
      <w:pPr>
        <w:pStyle w:val="2"/>
        <w:rPr>
          <w:rFonts w:hint="eastAsia" w:ascii="仿宋" w:hAnsi="仿宋" w:eastAsia="仿宋" w:cs="仿宋"/>
          <w:b w:val="0"/>
          <w:bCs/>
          <w:color w:val="auto"/>
          <w:sz w:val="24"/>
          <w:szCs w:val="24"/>
          <w:lang w:val="en-US" w:eastAsia="zh-CN"/>
        </w:rPr>
      </w:pPr>
    </w:p>
    <w:p>
      <w:pPr>
        <w:pStyle w:val="2"/>
        <w:rPr>
          <w:rFonts w:hint="eastAsia" w:ascii="仿宋" w:hAnsi="仿宋" w:eastAsia="仿宋" w:cs="仿宋"/>
          <w:b w:val="0"/>
          <w:bCs/>
          <w:color w:val="auto"/>
          <w:sz w:val="24"/>
          <w:szCs w:val="24"/>
          <w:lang w:val="en-US" w:eastAsia="zh-CN"/>
        </w:rPr>
      </w:pPr>
    </w:p>
    <w:p>
      <w:pPr>
        <w:pStyle w:val="2"/>
        <w:rPr>
          <w:rFonts w:hint="eastAsia" w:ascii="仿宋" w:hAnsi="仿宋" w:eastAsia="仿宋" w:cs="仿宋"/>
          <w:b w:val="0"/>
          <w:bCs/>
          <w:color w:val="auto"/>
          <w:sz w:val="24"/>
          <w:szCs w:val="24"/>
          <w:lang w:val="en-US" w:eastAsia="zh-CN"/>
        </w:rPr>
      </w:pPr>
    </w:p>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绩效评价具体得分情况表：</w:t>
      </w:r>
    </w:p>
    <w:tbl>
      <w:tblPr>
        <w:tblStyle w:val="9"/>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710"/>
        <w:gridCol w:w="3311"/>
        <w:gridCol w:w="81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一级指标</w:t>
            </w:r>
          </w:p>
        </w:tc>
        <w:tc>
          <w:tcPr>
            <w:tcW w:w="171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二级指标</w:t>
            </w:r>
          </w:p>
        </w:tc>
        <w:tc>
          <w:tcPr>
            <w:tcW w:w="331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三级指标</w:t>
            </w:r>
          </w:p>
        </w:tc>
        <w:tc>
          <w:tcPr>
            <w:tcW w:w="817"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分值</w:t>
            </w:r>
          </w:p>
        </w:tc>
        <w:tc>
          <w:tcPr>
            <w:tcW w:w="85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决策（5分）</w:t>
            </w:r>
          </w:p>
        </w:tc>
        <w:tc>
          <w:tcPr>
            <w:tcW w:w="171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项目立项</w:t>
            </w:r>
          </w:p>
        </w:tc>
        <w:tc>
          <w:tcPr>
            <w:tcW w:w="331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立项依据充分性</w:t>
            </w:r>
          </w:p>
        </w:tc>
        <w:tc>
          <w:tcPr>
            <w:tcW w:w="817"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50"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8" w:type="dxa"/>
            <w:gridSpan w:val="3"/>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合计</w:t>
            </w:r>
          </w:p>
        </w:tc>
        <w:tc>
          <w:tcPr>
            <w:tcW w:w="817"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50"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restart"/>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管理（15）</w:t>
            </w:r>
          </w:p>
        </w:tc>
        <w:tc>
          <w:tcPr>
            <w:tcW w:w="1710" w:type="dxa"/>
            <w:vMerge w:val="restart"/>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组织实施</w:t>
            </w:r>
          </w:p>
        </w:tc>
        <w:tc>
          <w:tcPr>
            <w:tcW w:w="3311"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内控制度健全性</w:t>
            </w:r>
          </w:p>
        </w:tc>
        <w:tc>
          <w:tcPr>
            <w:tcW w:w="817"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50"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710"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3311"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制度执行有效性</w:t>
            </w:r>
          </w:p>
        </w:tc>
        <w:tc>
          <w:tcPr>
            <w:tcW w:w="817"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50"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710"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331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招标采购合规性</w:t>
            </w:r>
          </w:p>
        </w:tc>
        <w:tc>
          <w:tcPr>
            <w:tcW w:w="817"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850"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8" w:type="dxa"/>
            <w:gridSpan w:val="3"/>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合计</w:t>
            </w:r>
          </w:p>
        </w:tc>
        <w:tc>
          <w:tcPr>
            <w:tcW w:w="817"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850"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restart"/>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产出(32分)</w:t>
            </w:r>
          </w:p>
        </w:tc>
        <w:tc>
          <w:tcPr>
            <w:tcW w:w="171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数量</w:t>
            </w:r>
            <w:r>
              <w:rPr>
                <w:rFonts w:hint="eastAsia" w:ascii="仿宋" w:hAnsi="仿宋" w:eastAsia="仿宋" w:cs="仿宋"/>
                <w:sz w:val="21"/>
                <w:szCs w:val="21"/>
                <w:vertAlign w:val="baseline"/>
                <w:lang w:val="en-US" w:eastAsia="zh-CN"/>
              </w:rPr>
              <w:t>指标</w:t>
            </w:r>
          </w:p>
        </w:tc>
        <w:tc>
          <w:tcPr>
            <w:tcW w:w="331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四大区域管理全覆盖</w:t>
            </w:r>
          </w:p>
        </w:tc>
        <w:tc>
          <w:tcPr>
            <w:tcW w:w="817"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50"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71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质量</w:t>
            </w:r>
            <w:r>
              <w:rPr>
                <w:rFonts w:hint="eastAsia" w:ascii="仿宋" w:hAnsi="仿宋" w:eastAsia="仿宋" w:cs="仿宋"/>
                <w:sz w:val="21"/>
                <w:szCs w:val="21"/>
                <w:vertAlign w:val="baseline"/>
                <w:lang w:val="en-US" w:eastAsia="zh-CN"/>
              </w:rPr>
              <w:t>指标</w:t>
            </w:r>
          </w:p>
        </w:tc>
        <w:tc>
          <w:tcPr>
            <w:tcW w:w="3311"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清洁程度</w:t>
            </w:r>
          </w:p>
        </w:tc>
        <w:tc>
          <w:tcPr>
            <w:tcW w:w="817"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5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71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时效指标</w:t>
            </w:r>
          </w:p>
        </w:tc>
        <w:tc>
          <w:tcPr>
            <w:tcW w:w="3311"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资金支付及时性</w:t>
            </w:r>
          </w:p>
        </w:tc>
        <w:tc>
          <w:tcPr>
            <w:tcW w:w="817"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50"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71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成本指标</w:t>
            </w:r>
          </w:p>
        </w:tc>
        <w:tc>
          <w:tcPr>
            <w:tcW w:w="3311"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成本控制率</w:t>
            </w:r>
          </w:p>
        </w:tc>
        <w:tc>
          <w:tcPr>
            <w:tcW w:w="817"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50"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8" w:type="dxa"/>
            <w:gridSpan w:val="3"/>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合计</w:t>
            </w:r>
          </w:p>
        </w:tc>
        <w:tc>
          <w:tcPr>
            <w:tcW w:w="817"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32</w:t>
            </w:r>
          </w:p>
        </w:tc>
        <w:tc>
          <w:tcPr>
            <w:tcW w:w="850"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87" w:type="dxa"/>
            <w:vMerge w:val="restart"/>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效益(48分)</w:t>
            </w:r>
          </w:p>
          <w:p>
            <w:pPr>
              <w:numPr>
                <w:ilvl w:val="0"/>
                <w:numId w:val="0"/>
              </w:numPr>
              <w:rPr>
                <w:rFonts w:hint="eastAsia" w:ascii="仿宋" w:hAnsi="仿宋" w:eastAsia="仿宋" w:cs="仿宋"/>
                <w:sz w:val="21"/>
                <w:szCs w:val="21"/>
                <w:vertAlign w:val="baseline"/>
                <w:lang w:val="en-US" w:eastAsia="zh-CN"/>
              </w:rPr>
            </w:pPr>
          </w:p>
        </w:tc>
        <w:tc>
          <w:tcPr>
            <w:tcW w:w="1710"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经济效益指标</w:t>
            </w:r>
          </w:p>
        </w:tc>
        <w:tc>
          <w:tcPr>
            <w:tcW w:w="331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促进社会经济综合发展</w:t>
            </w:r>
          </w:p>
        </w:tc>
        <w:tc>
          <w:tcPr>
            <w:tcW w:w="817"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5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87" w:type="dxa"/>
            <w:vMerge w:val="continue"/>
            <w:noWrap w:val="0"/>
            <w:vAlign w:val="top"/>
          </w:tcPr>
          <w:p>
            <w:pPr>
              <w:numPr>
                <w:ilvl w:val="0"/>
                <w:numId w:val="0"/>
              </w:numPr>
              <w:rPr>
                <w:rFonts w:hint="eastAsia" w:ascii="仿宋" w:hAnsi="仿宋" w:eastAsia="仿宋" w:cs="仿宋"/>
                <w:sz w:val="21"/>
                <w:szCs w:val="21"/>
                <w:lang w:val="en-US" w:eastAsia="zh-CN"/>
              </w:rPr>
            </w:pPr>
          </w:p>
        </w:tc>
        <w:tc>
          <w:tcPr>
            <w:tcW w:w="171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社会效益</w:t>
            </w:r>
            <w:r>
              <w:rPr>
                <w:rFonts w:hint="eastAsia" w:ascii="仿宋" w:hAnsi="仿宋" w:eastAsia="仿宋" w:cs="仿宋"/>
                <w:sz w:val="21"/>
                <w:szCs w:val="21"/>
                <w:vertAlign w:val="baseline"/>
                <w:lang w:val="en-US" w:eastAsia="zh-CN"/>
              </w:rPr>
              <w:t>指标</w:t>
            </w:r>
          </w:p>
        </w:tc>
        <w:tc>
          <w:tcPr>
            <w:tcW w:w="331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提升居民的生活质量和幸福指数</w:t>
            </w:r>
          </w:p>
        </w:tc>
        <w:tc>
          <w:tcPr>
            <w:tcW w:w="817"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50"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710"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生态效益指标</w:t>
            </w:r>
          </w:p>
        </w:tc>
        <w:tc>
          <w:tcPr>
            <w:tcW w:w="3311"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保持村庄环境卫生和美观</w:t>
            </w:r>
          </w:p>
        </w:tc>
        <w:tc>
          <w:tcPr>
            <w:tcW w:w="817"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5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top"/>
          </w:tcPr>
          <w:p>
            <w:pPr>
              <w:numPr>
                <w:ilvl w:val="0"/>
                <w:numId w:val="0"/>
              </w:numPr>
              <w:ind w:firstLine="420" w:firstLineChars="200"/>
              <w:rPr>
                <w:rFonts w:hint="eastAsia" w:ascii="仿宋" w:hAnsi="仿宋" w:eastAsia="仿宋" w:cs="仿宋"/>
                <w:sz w:val="21"/>
                <w:szCs w:val="21"/>
                <w:vertAlign w:val="baseline"/>
                <w:lang w:val="en-US" w:eastAsia="zh-CN"/>
              </w:rPr>
            </w:pPr>
          </w:p>
        </w:tc>
        <w:tc>
          <w:tcPr>
            <w:tcW w:w="171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满意度指标</w:t>
            </w:r>
          </w:p>
        </w:tc>
        <w:tc>
          <w:tcPr>
            <w:tcW w:w="3311"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村民满意度</w:t>
            </w:r>
          </w:p>
        </w:tc>
        <w:tc>
          <w:tcPr>
            <w:tcW w:w="817"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50" w:type="dxa"/>
            <w:noWrap w:val="0"/>
            <w:vAlign w:val="top"/>
          </w:tcPr>
          <w:p>
            <w:pPr>
              <w:numPr>
                <w:ilvl w:val="0"/>
                <w:numId w:val="0"/>
              </w:numPr>
              <w:rPr>
                <w:rFonts w:hint="default"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 w:type="dxa"/>
            <w:vMerge w:val="continue"/>
            <w:noWrap w:val="0"/>
            <w:vAlign w:val="top"/>
          </w:tcPr>
          <w:p>
            <w:pPr>
              <w:numPr>
                <w:ilvl w:val="0"/>
                <w:numId w:val="0"/>
              </w:numPr>
              <w:ind w:firstLine="420" w:firstLineChars="200"/>
              <w:rPr>
                <w:rFonts w:hint="eastAsia" w:ascii="仿宋" w:hAnsi="仿宋" w:eastAsia="仿宋" w:cs="仿宋"/>
                <w:sz w:val="21"/>
                <w:szCs w:val="21"/>
                <w:lang w:val="en-US" w:eastAsia="zh-CN"/>
              </w:rPr>
            </w:pPr>
          </w:p>
        </w:tc>
        <w:tc>
          <w:tcPr>
            <w:tcW w:w="1710"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可持续影响指标</w:t>
            </w:r>
          </w:p>
        </w:tc>
        <w:tc>
          <w:tcPr>
            <w:tcW w:w="3311"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可持续性</w:t>
            </w:r>
          </w:p>
        </w:tc>
        <w:tc>
          <w:tcPr>
            <w:tcW w:w="817"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50"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87" w:type="dxa"/>
            <w:vMerge w:val="continue"/>
            <w:noWrap w:val="0"/>
            <w:vAlign w:val="top"/>
          </w:tcPr>
          <w:p>
            <w:pPr>
              <w:numPr>
                <w:ilvl w:val="0"/>
                <w:numId w:val="0"/>
              </w:numPr>
              <w:rPr>
                <w:rFonts w:hint="eastAsia" w:ascii="仿宋" w:hAnsi="仿宋" w:eastAsia="仿宋" w:cs="仿宋"/>
                <w:sz w:val="21"/>
                <w:szCs w:val="21"/>
                <w:vertAlign w:val="baseline"/>
                <w:lang w:val="en-US" w:eastAsia="zh-CN"/>
              </w:rPr>
            </w:pPr>
          </w:p>
        </w:tc>
        <w:tc>
          <w:tcPr>
            <w:tcW w:w="171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预算执行率</w:t>
            </w:r>
          </w:p>
        </w:tc>
        <w:tc>
          <w:tcPr>
            <w:tcW w:w="3311" w:type="dxa"/>
            <w:noWrap w:val="0"/>
            <w:vAlign w:val="top"/>
          </w:tcPr>
          <w:p>
            <w:pPr>
              <w:numPr>
                <w:ilvl w:val="0"/>
                <w:numId w:val="0"/>
              </w:numPr>
              <w:ind w:left="0" w:leftChars="0" w:firstLine="0" w:firstLineChars="0"/>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预算执行率</w:t>
            </w:r>
          </w:p>
        </w:tc>
        <w:tc>
          <w:tcPr>
            <w:tcW w:w="817"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850" w:type="dxa"/>
            <w:noWrap w:val="0"/>
            <w:vAlign w:val="top"/>
          </w:tcPr>
          <w:p>
            <w:pPr>
              <w:numPr>
                <w:ilvl w:val="0"/>
                <w:numId w:val="0"/>
              </w:numP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8" w:type="dxa"/>
            <w:gridSpan w:val="3"/>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合计</w:t>
            </w:r>
          </w:p>
        </w:tc>
        <w:tc>
          <w:tcPr>
            <w:tcW w:w="817"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48</w:t>
            </w:r>
          </w:p>
        </w:tc>
        <w:tc>
          <w:tcPr>
            <w:tcW w:w="850" w:type="dxa"/>
            <w:noWrap w:val="0"/>
            <w:vAlign w:val="top"/>
          </w:tcPr>
          <w:p>
            <w:pPr>
              <w:numPr>
                <w:ilvl w:val="0"/>
                <w:numId w:val="0"/>
              </w:numP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8" w:type="dxa"/>
            <w:gridSpan w:val="3"/>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总计</w:t>
            </w:r>
          </w:p>
        </w:tc>
        <w:tc>
          <w:tcPr>
            <w:tcW w:w="817"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850" w:type="dxa"/>
            <w:noWrap w:val="0"/>
            <w:vAlign w:val="top"/>
          </w:tcPr>
          <w:p>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91.5</w:t>
            </w:r>
          </w:p>
        </w:tc>
      </w:tr>
    </w:tbl>
    <w:p>
      <w:pPr>
        <w:pageBreakBefore w:val="0"/>
        <w:widowControl w:val="0"/>
        <w:tabs>
          <w:tab w:val="left" w:pos="4860"/>
        </w:tabs>
        <w:kinsoku/>
        <w:wordWrap/>
        <w:overflowPunct/>
        <w:topLinePunct w:val="0"/>
        <w:autoSpaceDE/>
        <w:autoSpaceDN/>
        <w:bidi w:val="0"/>
        <w:adjustRightInd/>
        <w:snapToGrid/>
        <w:spacing w:line="580" w:lineRule="exact"/>
        <w:textAlignment w:val="auto"/>
        <w:rPr>
          <w:rFonts w:hint="eastAsia" w:ascii="仿宋" w:hAnsi="仿宋" w:eastAsia="仿宋" w:cs="仿宋"/>
          <w:b w:val="0"/>
          <w:bCs/>
          <w:color w:val="auto"/>
          <w:sz w:val="28"/>
          <w:szCs w:val="28"/>
          <w:lang w:val="en-US" w:eastAsia="zh-CN"/>
        </w:rPr>
      </w:pPr>
    </w:p>
    <w:p>
      <w:pPr>
        <w:pStyle w:val="2"/>
        <w:rPr>
          <w:rFonts w:hint="eastAsia" w:ascii="仿宋" w:hAnsi="仿宋" w:eastAsia="仿宋" w:cs="仿宋"/>
          <w:b w:val="0"/>
          <w:bCs/>
          <w:color w:val="auto"/>
          <w:sz w:val="24"/>
          <w:szCs w:val="24"/>
          <w:lang w:val="en-US" w:eastAsia="zh-CN"/>
        </w:rPr>
      </w:pPr>
    </w:p>
    <w:p>
      <w:pPr>
        <w:pStyle w:val="2"/>
        <w:rPr>
          <w:rFonts w:hint="eastAsia" w:ascii="仿宋" w:hAnsi="仿宋" w:eastAsia="仿宋" w:cs="仿宋"/>
          <w:b w:val="0"/>
          <w:bCs/>
          <w:color w:val="auto"/>
          <w:sz w:val="24"/>
          <w:szCs w:val="24"/>
          <w:lang w:val="en-US" w:eastAsia="zh-CN"/>
        </w:rPr>
      </w:pPr>
    </w:p>
    <w:p>
      <w:pPr>
        <w:pStyle w:val="2"/>
        <w:rPr>
          <w:rFonts w:hint="eastAsia"/>
          <w:lang w:val="en-US" w:eastAsia="zh-CN"/>
        </w:rPr>
      </w:pPr>
    </w:p>
    <w:p>
      <w:pPr>
        <w:pStyle w:val="2"/>
        <w:rPr>
          <w:rFonts w:hint="default" w:ascii="仿宋" w:hAnsi="仿宋" w:eastAsia="仿宋" w:cs="仿宋"/>
          <w:b w:val="0"/>
          <w:bCs/>
          <w:color w:val="auto"/>
          <w:sz w:val="24"/>
          <w:szCs w:val="24"/>
          <w:lang w:val="en-US" w:eastAsia="zh-CN"/>
        </w:rPr>
      </w:pPr>
    </w:p>
    <w:sectPr>
      <w:footerReference r:id="rId3" w:type="default"/>
      <w:footerReference r:id="rId4" w:type="even"/>
      <w:pgSz w:w="11906" w:h="16838"/>
      <w:pgMar w:top="1304" w:right="1797" w:bottom="1304"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bidi w:val="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22225</wp:posOffset>
              </wp:positionV>
              <wp:extent cx="56007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pt;margin-top:1.75pt;height:0pt;width:441pt;z-index:251660288;mso-width-relative:page;mso-height-relative:page;" filled="f" stroked="t" coordsize="21600,21600" o:gfxdata="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FJN5HWAAAABwEAAA8AAAAAAAAAAQAgAAAAIgAAAGRycy9kb3ducmV2LnhtbFBLAQIUABQA&#10;AAAIAIdO4kDdzKno8gEAAOUDAAAOAAAAAAAAAAEAIAAAACUBAABkcnMvZTJvRG9jLnhtbFBLBQYA&#10;AAAABgAGAFkBAACJBQAAAAA=&#10;">
              <v:fill on="f" focussize="0,0"/>
              <v:stroke weight="1pt" color="#000000" joinstyle="round"/>
              <v:imagedata o:title=""/>
              <o:lock v:ext="edit" aspectratio="f"/>
            </v:line>
          </w:pict>
        </mc:Fallback>
      </mc:AlternateContent>
    </w:r>
  </w:p>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2594610</wp:posOffset>
              </wp:positionH>
              <wp:positionV relativeFrom="paragraph">
                <wp:posOffset>139700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1"/>
                            </w:rPr>
                          </w:pPr>
                          <w:r>
                            <w:fldChar w:fldCharType="begin"/>
                          </w:r>
                          <w:r>
                            <w:rPr>
                              <w:rStyle w:val="11"/>
                            </w:rPr>
                            <w:instrText xml:space="preserve">PAGE  </w:instrText>
                          </w:r>
                          <w:r>
                            <w:fldChar w:fldCharType="separate"/>
                          </w:r>
                          <w:r>
                            <w:rPr>
                              <w:rStyle w:val="11"/>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4.3pt;margin-top:11pt;height:144pt;width:144pt;mso-position-horizontal-relative:margin;mso-wrap-style:none;z-index:251659264;mso-width-relative:page;mso-height-relative:page;" filled="f" stroked="f" coordsize="21600,21600" o:gfxdata="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AL3/8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11</w:t>
                    </w:r>
                    <w:r>
                      <w:fldChar w:fldCharType="end"/>
                    </w:r>
                  </w:p>
                </w:txbxContent>
              </v:textbox>
            </v:shape>
          </w:pict>
        </mc:Fallback>
      </mc:AlternateContent>
    </w:r>
    <w:r>
      <w:rPr>
        <w:rFonts w:hint="eastAsia"/>
      </w:rPr>
      <w:t>地　址：河北省石家庄市裕华路</w:t>
    </w:r>
    <w:r>
      <w:rPr>
        <w:rFonts w:hint="eastAsia"/>
        <w:lang w:val="en-US" w:eastAsia="zh-CN"/>
      </w:rPr>
      <w:t>与时光街东南角世纪公馆170</w:t>
    </w:r>
    <w:r>
      <w:rPr>
        <w:rFonts w:hint="eastAsia"/>
      </w:rPr>
      <w:t>9室　　　　</w:t>
    </w:r>
    <w:r>
      <w:rPr>
        <w:rFonts w:hint="eastAsia"/>
        <w:lang w:val="en-US" w:eastAsia="zh-CN"/>
      </w:rPr>
      <w:t xml:space="preserve">     </w:t>
    </w:r>
    <w:r>
      <w:rPr>
        <w:rFonts w:hint="eastAsia"/>
      </w:rPr>
      <w:t xml:space="preserve"> 邮 编：0500</w:t>
    </w:r>
    <w:r>
      <w:rPr>
        <w:rFonts w:hint="eastAsia"/>
        <w:lang w:val="en-US" w:eastAsia="zh-CN"/>
      </w:rPr>
      <w:t>81</w:t>
    </w:r>
    <w:r>
      <w:rPr>
        <w:rFonts w:hint="eastAsia"/>
      </w:rPr>
      <w:t>电　话：0311－8</w:t>
    </w:r>
    <w:r>
      <w:rPr>
        <w:rFonts w:hint="eastAsia"/>
        <w:lang w:val="en-US" w:eastAsia="zh-CN"/>
      </w:rPr>
      <w:t>77</w:t>
    </w:r>
    <w:r>
      <w:rPr>
        <w:rFonts w:hint="eastAsia"/>
      </w:rPr>
      <w:t>5</w:t>
    </w:r>
    <w:r>
      <w:rPr>
        <w:rFonts w:hint="eastAsia"/>
        <w:lang w:val="en-US" w:eastAsia="zh-CN"/>
      </w:rPr>
      <w:t>030</w:t>
    </w:r>
    <w:r>
      <w:rPr>
        <w:rFonts w:hint="eastAsia"/>
      </w:rPr>
      <w:t xml:space="preserve">8　　　                        </w:t>
    </w:r>
    <w:r>
      <w:rPr>
        <w:rFonts w:hint="eastAsia"/>
        <w:lang w:val="en-US" w:eastAsia="zh-CN"/>
      </w:rPr>
      <w:t xml:space="preserve">         </w:t>
    </w:r>
    <w:r>
      <w:rPr>
        <w:rFonts w:hint="eastAsia"/>
      </w:rPr>
      <w:t xml:space="preserve"> E－mail：</w:t>
    </w:r>
    <w:r>
      <w:rPr>
        <w:rFonts w:hint="eastAsia"/>
        <w:lang w:val="en-US" w:eastAsia="zh-CN"/>
      </w:rPr>
      <w:t>1078595448</w:t>
    </w:r>
    <w:r>
      <w:rPr>
        <w:rFonts w:hint="eastAsia"/>
      </w:rPr>
      <w:t>@</w:t>
    </w:r>
    <w:r>
      <w:rPr>
        <w:rFonts w:hint="eastAsia"/>
        <w:lang w:val="en-US" w:eastAsia="zh-CN"/>
      </w:rPr>
      <w:t>qq</w:t>
    </w:r>
    <w:r>
      <w:rPr>
        <w:rFonts w:hint="eastAsia"/>
      </w:rPr>
      <w:t>.com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OTI4YzdiNDlmNjU1NjAwNDVjMDc5NzBkNTk3MWYifQ=="/>
  </w:docVars>
  <w:rsids>
    <w:rsidRoot w:val="00000000"/>
    <w:rsid w:val="02550B00"/>
    <w:rsid w:val="039B3DC0"/>
    <w:rsid w:val="04EA6DAD"/>
    <w:rsid w:val="062A6544"/>
    <w:rsid w:val="08123F24"/>
    <w:rsid w:val="09675A81"/>
    <w:rsid w:val="09795CD6"/>
    <w:rsid w:val="09F066FE"/>
    <w:rsid w:val="0B33653A"/>
    <w:rsid w:val="0B923CFA"/>
    <w:rsid w:val="0BA26D33"/>
    <w:rsid w:val="0BD35CF5"/>
    <w:rsid w:val="0C5D51E2"/>
    <w:rsid w:val="1044741D"/>
    <w:rsid w:val="106519DD"/>
    <w:rsid w:val="10770CCE"/>
    <w:rsid w:val="10C34956"/>
    <w:rsid w:val="114E06C3"/>
    <w:rsid w:val="11E00810"/>
    <w:rsid w:val="12561CD3"/>
    <w:rsid w:val="13B97BD2"/>
    <w:rsid w:val="14200276"/>
    <w:rsid w:val="16447F44"/>
    <w:rsid w:val="17D36DFD"/>
    <w:rsid w:val="1A266FAF"/>
    <w:rsid w:val="1A3E7A9C"/>
    <w:rsid w:val="1AF71484"/>
    <w:rsid w:val="1B0B620E"/>
    <w:rsid w:val="1F052485"/>
    <w:rsid w:val="1FE64257"/>
    <w:rsid w:val="21E60A72"/>
    <w:rsid w:val="262E1FE7"/>
    <w:rsid w:val="27CC3D95"/>
    <w:rsid w:val="286757C2"/>
    <w:rsid w:val="2BD61589"/>
    <w:rsid w:val="2C412EA7"/>
    <w:rsid w:val="2F1D7476"/>
    <w:rsid w:val="31B84FB9"/>
    <w:rsid w:val="32674F9C"/>
    <w:rsid w:val="32BF157C"/>
    <w:rsid w:val="352B1B30"/>
    <w:rsid w:val="353709FE"/>
    <w:rsid w:val="358D3E89"/>
    <w:rsid w:val="36783969"/>
    <w:rsid w:val="37070849"/>
    <w:rsid w:val="38A277A2"/>
    <w:rsid w:val="3AAA0DF4"/>
    <w:rsid w:val="3B5A122F"/>
    <w:rsid w:val="3CD852EC"/>
    <w:rsid w:val="3D8E46B0"/>
    <w:rsid w:val="408D67ED"/>
    <w:rsid w:val="413849D4"/>
    <w:rsid w:val="4266392E"/>
    <w:rsid w:val="431B5DA8"/>
    <w:rsid w:val="44052E08"/>
    <w:rsid w:val="44D132C3"/>
    <w:rsid w:val="451334D2"/>
    <w:rsid w:val="45C02C36"/>
    <w:rsid w:val="47541586"/>
    <w:rsid w:val="477E70EA"/>
    <w:rsid w:val="499215B5"/>
    <w:rsid w:val="49960820"/>
    <w:rsid w:val="4A5A318B"/>
    <w:rsid w:val="4ADF3B5F"/>
    <w:rsid w:val="4AF610E5"/>
    <w:rsid w:val="4B7778F3"/>
    <w:rsid w:val="4C016FA7"/>
    <w:rsid w:val="4D205230"/>
    <w:rsid w:val="4E2C66A1"/>
    <w:rsid w:val="4ECF1425"/>
    <w:rsid w:val="519B2EB6"/>
    <w:rsid w:val="51BC2D2C"/>
    <w:rsid w:val="521F6F37"/>
    <w:rsid w:val="54A53632"/>
    <w:rsid w:val="55017FFD"/>
    <w:rsid w:val="559472F3"/>
    <w:rsid w:val="564927D4"/>
    <w:rsid w:val="56DF0075"/>
    <w:rsid w:val="582A4450"/>
    <w:rsid w:val="584903DD"/>
    <w:rsid w:val="58D90DFB"/>
    <w:rsid w:val="597B383E"/>
    <w:rsid w:val="59B658B2"/>
    <w:rsid w:val="5BB808C0"/>
    <w:rsid w:val="5BF62EC5"/>
    <w:rsid w:val="5C095213"/>
    <w:rsid w:val="5C48392F"/>
    <w:rsid w:val="5D0B3370"/>
    <w:rsid w:val="5D6B7377"/>
    <w:rsid w:val="5D885E93"/>
    <w:rsid w:val="5F0929D1"/>
    <w:rsid w:val="604C77EF"/>
    <w:rsid w:val="616C031B"/>
    <w:rsid w:val="61750921"/>
    <w:rsid w:val="617A4F02"/>
    <w:rsid w:val="62355309"/>
    <w:rsid w:val="625A57A9"/>
    <w:rsid w:val="62D022B3"/>
    <w:rsid w:val="639838BD"/>
    <w:rsid w:val="6C204E0B"/>
    <w:rsid w:val="6C38036A"/>
    <w:rsid w:val="6D9F6B14"/>
    <w:rsid w:val="6EE956BC"/>
    <w:rsid w:val="708B2F97"/>
    <w:rsid w:val="711E68DF"/>
    <w:rsid w:val="741B2C62"/>
    <w:rsid w:val="75B5492C"/>
    <w:rsid w:val="76734E71"/>
    <w:rsid w:val="77955421"/>
    <w:rsid w:val="782F4457"/>
    <w:rsid w:val="785141DE"/>
    <w:rsid w:val="79120FBB"/>
    <w:rsid w:val="7A92512F"/>
    <w:rsid w:val="7DB5470D"/>
    <w:rsid w:val="7DE464AD"/>
    <w:rsid w:val="7FBC0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tLeast"/>
      <w:outlineLvl w:val="1"/>
    </w:pPr>
    <w:rPr>
      <w:rFonts w:ascii="Cambria" w:hAnsi="Cambria" w:eastAsia="宋体"/>
      <w:b/>
      <w:bCs/>
      <w:kern w:val="0"/>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50" w:after="50"/>
      <w:ind w:firstLine="200" w:firstLineChars="20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qFormat/>
    <w:uiPriority w:val="1"/>
    <w:rPr>
      <w:rFonts w:ascii="宋体" w:hAnsi="宋体" w:eastAsia="宋体" w:cs="宋体"/>
      <w:sz w:val="28"/>
      <w:szCs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NormalCharacter"/>
    <w:semiHidden/>
    <w:qFormat/>
    <w:uiPriority w:val="0"/>
  </w:style>
  <w:style w:type="paragraph" w:customStyle="1" w:styleId="13">
    <w:name w:val="Table Paragraph"/>
    <w:basedOn w:val="1"/>
    <w:qFormat/>
    <w:uiPriority w:val="1"/>
    <w:pPr>
      <w:spacing w:line="230" w:lineRule="exact"/>
      <w:jc w:val="right"/>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9023</Words>
  <Characters>10058</Characters>
  <Lines>0</Lines>
  <Paragraphs>0</Paragraphs>
  <TotalTime>29</TotalTime>
  <ScaleCrop>false</ScaleCrop>
  <LinksUpToDate>false</LinksUpToDate>
  <CharactersWithSpaces>10290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2021-12-14T05:10:00Z</dcterms:created>
  <dc:creator>86155</dc:creator>
  <cp:lastModifiedBy>86155</cp:lastModifiedBy>
  <cp:lastPrinted>2022-03-03T06:58:00Z</cp:lastPrinted>
  <dcterms:modified xsi:type="dcterms:W3CDTF">2022-08-10T04:07:32Z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12BC179F9CE449D9B112ACBD8184FB60</vt:lpwstr>
  </property>
</Properties>
</file>