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val="en-US" w:eastAsia="zh-CN"/>
        </w:rPr>
      </w:pPr>
      <w:bookmarkStart w:id="0" w:name="_GoBack"/>
      <w:bookmarkEnd w:id="0"/>
      <w:r>
        <w:rPr>
          <w:rFonts w:hint="eastAsia" w:ascii="宋体" w:hAnsi="宋体" w:eastAsia="宋体" w:cs="宋体"/>
          <w:b/>
          <w:bCs/>
          <w:sz w:val="44"/>
          <w:szCs w:val="44"/>
          <w:lang w:eastAsia="zh-CN"/>
        </w:rPr>
        <w:t>高阳县残联</w:t>
      </w:r>
      <w:r>
        <w:rPr>
          <w:rFonts w:hint="eastAsia" w:ascii="宋体" w:hAnsi="宋体" w:eastAsia="宋体" w:cs="宋体"/>
          <w:b/>
          <w:bCs/>
          <w:sz w:val="44"/>
          <w:szCs w:val="44"/>
          <w:lang w:val="en-US" w:eastAsia="zh-CN"/>
        </w:rPr>
        <w:t>2021年</w:t>
      </w:r>
    </w:p>
    <w:p>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部门</w:t>
      </w:r>
      <w:r>
        <w:rPr>
          <w:rFonts w:hint="eastAsia" w:ascii="宋体" w:hAnsi="宋体" w:eastAsia="宋体" w:cs="宋体"/>
          <w:b/>
          <w:bCs/>
          <w:sz w:val="44"/>
          <w:szCs w:val="44"/>
        </w:rPr>
        <w:t>预算</w:t>
      </w:r>
      <w:r>
        <w:rPr>
          <w:rFonts w:hint="eastAsia" w:ascii="宋体" w:hAnsi="宋体" w:eastAsia="宋体" w:cs="宋体"/>
          <w:b/>
          <w:bCs/>
          <w:sz w:val="44"/>
          <w:szCs w:val="44"/>
          <w:lang w:eastAsia="zh-CN"/>
        </w:rPr>
        <w:t>项目</w:t>
      </w:r>
      <w:r>
        <w:rPr>
          <w:rFonts w:hint="eastAsia" w:ascii="宋体" w:hAnsi="宋体" w:eastAsia="宋体" w:cs="宋体"/>
          <w:b/>
          <w:bCs/>
          <w:sz w:val="44"/>
          <w:szCs w:val="44"/>
        </w:rPr>
        <w:t>绩效</w:t>
      </w:r>
      <w:r>
        <w:rPr>
          <w:rFonts w:hint="eastAsia" w:ascii="宋体" w:hAnsi="宋体" w:eastAsia="宋体" w:cs="宋体"/>
          <w:b/>
          <w:bCs/>
          <w:sz w:val="44"/>
          <w:szCs w:val="44"/>
          <w:lang w:eastAsia="zh-CN"/>
        </w:rPr>
        <w:t>自评</w:t>
      </w:r>
      <w:r>
        <w:rPr>
          <w:rFonts w:hint="eastAsia" w:ascii="宋体" w:hAnsi="宋体" w:eastAsia="宋体" w:cs="宋体"/>
          <w:b/>
          <w:bCs/>
          <w:sz w:val="44"/>
          <w:szCs w:val="44"/>
        </w:rPr>
        <w:t>报告</w:t>
      </w:r>
    </w:p>
    <w:p>
      <w:pPr>
        <w:jc w:val="center"/>
        <w:rPr>
          <w:rFonts w:ascii="方正仿宋_GBK" w:hAnsi="Times New Roman" w:eastAsia="方正仿宋_GBK" w:cs="Times New Roman"/>
          <w:sz w:val="32"/>
          <w:szCs w:val="32"/>
        </w:rPr>
      </w:pPr>
    </w:p>
    <w:p>
      <w:pPr>
        <w:ind w:firstLine="320" w:firstLineChars="100"/>
        <w:rPr>
          <w:rFonts w:ascii="Times New Roman" w:hAnsi="Times New Roman" w:eastAsia="方正黑体_GBK" w:cs="Times New Roman"/>
          <w:sz w:val="32"/>
          <w:szCs w:val="32"/>
        </w:rPr>
      </w:pPr>
      <w:r>
        <w:rPr>
          <w:rFonts w:ascii="Times New Roman" w:hAnsi="Times New Roman" w:eastAsia="方正黑体_GBK" w:cs="Times New Roman"/>
          <w:sz w:val="32"/>
          <w:szCs w:val="32"/>
        </w:rPr>
        <w:t>一、</w:t>
      </w:r>
      <w:r>
        <w:rPr>
          <w:rFonts w:hint="eastAsia" w:ascii="Times New Roman" w:hAnsi="Times New Roman" w:eastAsia="方正黑体_GBK" w:cs="Times New Roman"/>
          <w:sz w:val="32"/>
          <w:szCs w:val="32"/>
        </w:rPr>
        <w:t>预算绩效</w:t>
      </w:r>
      <w:r>
        <w:rPr>
          <w:rFonts w:hint="eastAsia" w:ascii="Times New Roman" w:hAnsi="Times New Roman" w:eastAsia="方正黑体_GBK" w:cs="Times New Roman"/>
          <w:sz w:val="32"/>
          <w:szCs w:val="32"/>
          <w:lang w:eastAsia="zh-CN"/>
        </w:rPr>
        <w:t>自评</w:t>
      </w:r>
      <w:r>
        <w:rPr>
          <w:rFonts w:hint="eastAsia" w:ascii="Times New Roman" w:hAnsi="Times New Roman" w:eastAsia="方正黑体_GBK" w:cs="Times New Roman"/>
          <w:sz w:val="32"/>
          <w:szCs w:val="32"/>
        </w:rPr>
        <w:t>工作</w:t>
      </w:r>
      <w:r>
        <w:rPr>
          <w:rFonts w:ascii="Times New Roman" w:hAnsi="Times New Roman" w:eastAsia="方正黑体_GBK" w:cs="Times New Roman"/>
          <w:sz w:val="32"/>
          <w:szCs w:val="32"/>
        </w:rPr>
        <w:t>组织开展情况</w:t>
      </w:r>
    </w:p>
    <w:p>
      <w:pPr>
        <w:spacing w:line="580" w:lineRule="exact"/>
        <w:ind w:firstLine="640" w:firstLineChars="200"/>
        <w:rPr>
          <w:rFonts w:hint="eastAsia" w:ascii="仿宋" w:hAnsi="仿宋" w:eastAsia="仿宋" w:cs="Times New Roman"/>
          <w:sz w:val="32"/>
          <w:szCs w:val="32"/>
          <w:lang w:val="en-US" w:eastAsia="zh-CN"/>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部门</w:t>
      </w:r>
      <w:r>
        <w:rPr>
          <w:rFonts w:ascii="Times New Roman" w:hAnsi="Times New Roman" w:eastAsia="方正仿宋_GBK" w:cs="Times New Roman"/>
          <w:color w:val="000000" w:themeColor="text1"/>
          <w:sz w:val="32"/>
          <w:szCs w:val="32"/>
          <w14:textFill>
            <w14:solidFill>
              <w14:schemeClr w14:val="tx1"/>
            </w14:solidFill>
          </w14:textFill>
        </w:rPr>
        <w:t>资金</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预算安排及拨付</w:t>
      </w:r>
      <w:r>
        <w:rPr>
          <w:rFonts w:ascii="Times New Roman" w:hAnsi="Times New Roman" w:eastAsia="方正仿宋_GBK" w:cs="Times New Roman"/>
          <w:color w:val="000000" w:themeColor="text1"/>
          <w:sz w:val="32"/>
          <w:szCs w:val="32"/>
          <w14:textFill>
            <w14:solidFill>
              <w14:schemeClr w14:val="tx1"/>
            </w14:solidFill>
          </w14:textFill>
        </w:rPr>
        <w:t>情况：</w:t>
      </w:r>
      <w:r>
        <w:rPr>
          <w:rFonts w:hint="eastAsia" w:ascii="仿宋" w:hAnsi="仿宋" w:eastAsia="仿宋" w:cs="Times New Roman"/>
          <w:color w:val="000000" w:themeColor="text1"/>
          <w:sz w:val="32"/>
          <w:szCs w:val="32"/>
          <w:lang w:val="en-US" w:eastAsia="zh-CN"/>
          <w14:textFill>
            <w14:solidFill>
              <w14:schemeClr w14:val="tx1"/>
            </w14:solidFill>
          </w14:textFill>
        </w:rPr>
        <w:t>2021</w:t>
      </w:r>
      <w:r>
        <w:rPr>
          <w:rFonts w:hint="eastAsia" w:ascii="仿宋" w:hAnsi="仿宋" w:eastAsia="仿宋" w:cs="Times New Roman"/>
          <w:color w:val="000000" w:themeColor="text1"/>
          <w:sz w:val="32"/>
          <w:szCs w:val="32"/>
          <w14:textFill>
            <w14:solidFill>
              <w14:schemeClr w14:val="tx1"/>
            </w14:solidFill>
          </w14:textFill>
        </w:rPr>
        <w:t>年度</w:t>
      </w:r>
      <w:r>
        <w:rPr>
          <w:rFonts w:hint="eastAsia" w:ascii="仿宋" w:hAnsi="仿宋" w:eastAsia="仿宋" w:cs="Times New Roman"/>
          <w:color w:val="000000" w:themeColor="text1"/>
          <w:sz w:val="32"/>
          <w:szCs w:val="32"/>
          <w:lang w:eastAsia="zh-CN"/>
          <w14:textFill>
            <w14:solidFill>
              <w14:schemeClr w14:val="tx1"/>
            </w14:solidFill>
          </w14:textFill>
        </w:rPr>
        <w:t>县级</w:t>
      </w:r>
      <w:r>
        <w:rPr>
          <w:rFonts w:hint="eastAsia" w:ascii="仿宋" w:hAnsi="仿宋" w:eastAsia="仿宋" w:cs="Times New Roman"/>
          <w:color w:val="000000" w:themeColor="text1"/>
          <w:sz w:val="32"/>
          <w:szCs w:val="32"/>
          <w14:textFill>
            <w14:solidFill>
              <w14:schemeClr w14:val="tx1"/>
            </w14:solidFill>
          </w14:textFill>
        </w:rPr>
        <w:t>预算安排</w:t>
      </w:r>
      <w:r>
        <w:rPr>
          <w:rFonts w:hint="eastAsia" w:ascii="仿宋" w:hAnsi="仿宋" w:eastAsia="仿宋" w:cs="Times New Roman"/>
          <w:color w:val="000000" w:themeColor="text1"/>
          <w:sz w:val="32"/>
          <w:szCs w:val="32"/>
          <w:lang w:val="en-US" w:eastAsia="zh-CN"/>
          <w14:textFill>
            <w14:solidFill>
              <w14:schemeClr w14:val="tx1"/>
            </w14:solidFill>
          </w14:textFill>
        </w:rPr>
        <w:t>6个预算</w:t>
      </w:r>
      <w:r>
        <w:rPr>
          <w:rFonts w:hint="eastAsia" w:ascii="仿宋" w:hAnsi="仿宋" w:eastAsia="仿宋" w:cs="Times New Roman"/>
          <w:color w:val="000000" w:themeColor="text1"/>
          <w:sz w:val="32"/>
          <w:szCs w:val="32"/>
          <w14:textFill>
            <w14:solidFill>
              <w14:schemeClr w14:val="tx1"/>
            </w14:solidFill>
          </w14:textFill>
        </w:rPr>
        <w:t>项目</w:t>
      </w:r>
      <w:r>
        <w:rPr>
          <w:rFonts w:hint="eastAsia" w:ascii="仿宋" w:hAnsi="仿宋" w:eastAsia="仿宋" w:cs="Times New Roman"/>
          <w:color w:val="000000" w:themeColor="text1"/>
          <w:sz w:val="32"/>
          <w:szCs w:val="32"/>
          <w:lang w:eastAsia="zh-CN"/>
          <w14:textFill>
            <w14:solidFill>
              <w14:schemeClr w14:val="tx1"/>
            </w14:solidFill>
          </w14:textFill>
        </w:rPr>
        <w:t>涉及</w:t>
      </w:r>
      <w:r>
        <w:rPr>
          <w:rFonts w:hint="eastAsia" w:ascii="仿宋" w:hAnsi="仿宋" w:eastAsia="仿宋" w:cs="Times New Roman"/>
          <w:color w:val="000000" w:themeColor="text1"/>
          <w:sz w:val="32"/>
          <w:szCs w:val="32"/>
          <w14:textFill>
            <w14:solidFill>
              <w14:schemeClr w14:val="tx1"/>
            </w14:solidFill>
          </w14:textFill>
        </w:rPr>
        <w:t>资金</w:t>
      </w:r>
      <w:r>
        <w:rPr>
          <w:rFonts w:hint="eastAsia" w:ascii="仿宋" w:hAnsi="仿宋" w:eastAsia="仿宋" w:cs="Times New Roman"/>
          <w:color w:val="000000" w:themeColor="text1"/>
          <w:sz w:val="32"/>
          <w:szCs w:val="32"/>
          <w:lang w:val="en-US" w:eastAsia="zh-CN"/>
          <w14:textFill>
            <w14:solidFill>
              <w14:schemeClr w14:val="tx1"/>
            </w14:solidFill>
          </w14:textFill>
        </w:rPr>
        <w:t>97.2万元。其中县级预算项目1个安排资金19.2万元，残疾人就业保障金安排项目5个资金78万元。2021年度实际拨付资金共计87.314万元。</w:t>
      </w:r>
    </w:p>
    <w:p>
      <w:pPr>
        <w:numPr>
          <w:ilvl w:val="0"/>
          <w:numId w:val="0"/>
        </w:numPr>
        <w:spacing w:before="0" w:after="0" w:line="500" w:lineRule="exact"/>
        <w:ind w:firstLine="640" w:firstLineChars="200"/>
        <w:jc w:val="both"/>
        <w:outlineLvl w:val="9"/>
        <w:rPr>
          <w:rFonts w:hint="eastAsia" w:ascii="仿宋" w:hAnsi="仿宋" w:eastAsia="仿宋" w:cs="Times New Roman"/>
          <w:sz w:val="32"/>
          <w:szCs w:val="32"/>
          <w:lang w:val="en-US" w:eastAsia="zh-CN"/>
        </w:rPr>
      </w:pPr>
      <w:r>
        <w:rPr>
          <w:rFonts w:hint="eastAsia" w:ascii="Times New Roman" w:hAnsi="Times New Roman" w:eastAsia="方正仿宋_GBK" w:cs="Times New Roman"/>
          <w:sz w:val="32"/>
          <w:szCs w:val="32"/>
          <w:lang w:val="en-US" w:eastAsia="zh-CN"/>
        </w:rPr>
        <w:t>2、部门绩效自评工作组织情况：</w:t>
      </w:r>
      <w:r>
        <w:rPr>
          <w:rFonts w:hint="eastAsia" w:ascii="仿宋" w:hAnsi="仿宋" w:eastAsia="仿宋" w:cs="Times New Roman"/>
          <w:sz w:val="32"/>
          <w:szCs w:val="32"/>
          <w:lang w:val="en-US" w:eastAsia="zh-CN"/>
        </w:rPr>
        <w:t>全面实施预算绩效管理是中共中央、国务院一项制度性安排，高阳县残联高度重视，由单位一把手负总责，财务主管和财务室牵头，各业务部室负责对本业务股室项目开展绩效自评，最后报财务室汇总审核，根据部室预算项目绩效目标和绩效指标自评结果，财务室对预算项目对应资金安排使用情况进行总体自评，填写绩效自评表并形成绩效自评报告上报财政局。绩效自评工作范围为2021年度列入预算的所有项目，评价计算方法：预算项目自评总分由各单项指标的自评得分合计而成，满分为100分；原则上，一级指标权重统一设置为：产出指标50分、效益指标30分、满意度指标10分、预算执行率10分。如某类指标未设定，其分值可合理调至其他指标，预算执行率指标权重占比固定10%，三级指标所占权重，应根据指标重要程度、项目实施阶段等因素综合确定。各项指标权重占比之和为100%。</w:t>
      </w:r>
    </w:p>
    <w:p>
      <w:p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二、绩效目标实现情况</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1、部门总体工作开展情况：</w:t>
      </w:r>
      <w:r>
        <w:rPr>
          <w:rFonts w:hint="eastAsia" w:ascii="仿宋" w:hAnsi="仿宋" w:eastAsia="仿宋" w:cs="Times New Roman"/>
          <w:sz w:val="32"/>
          <w:szCs w:val="32"/>
          <w:lang w:val="en-US" w:eastAsia="zh-CN"/>
        </w:rPr>
        <w:t>2021年，高阳县残疾人联合会在县委、县政府的正确领导下，认真学习习近平新时代中国特色社会主义思想、党的十九大和十九届历次全会精神，坚决贯彻省、市、县委的安排部署，按照上级残联的要求，做好残疾人事业发展工作，其一对全县残疾人的康复、就业、培训、托养、辅具等需求进行大范围摸底排查，摸清服务对象底码；在此基础上，与相关部门和机构对接：和每个项目的承接方进行对接：与涿州世博康、高阳县第三人民医院、保定市残疾人职业技能培训学校、高阳县新起点劳务派遣有限公司等相关单位协商残疾人服务的实施办法；考察以上单位的营业资质和服务能力等；由残疾人或残疾人家长向县残联提出申请，根据前期考察，依据残疾人本人情况，确定承接残疾人康复、培训、托养等机构；其二我单位2021年度设立具体的预期分项绩效目标如加大对残疾人的就业培训、实用技能培训力度，对60名处于就业年龄段的残疾人开展实用技术培训，组织5人参加订单式培训；开展残疾人康复服务。为听力、肢体、精神、智力到康复机构进行康复的残障儿童提供支持；对肢体缺失的残疾人免费进行假肢安装；为困难残疾人免费适配轮椅、坐便椅、腋杖等基本辅助器具；开展第31次“全国助残日”活动，优化社会扶残助残氛围；为10户需要改造且符合要求的困难残疾人家庭实施无障碍改造；开展残疾人证办理和十年到期换发新残疾人证工作。加大宣传力度，宣传办证政策和十年到期换证政策，对不能到县残联来办理或换发新证的（疑似）残疾人做到上门服务；配合县民政局做好残疾人两项补贴中残疾人证的审核工作。每月及时向县民政局推送残疾人证办理信息；定期与县民政局进行“两项补贴”信息比对，让符合两项补贴条件的残疾人实现惠残政策应享尽享；开展河北省残疾人基本服务状况和需求信息数据动态更新工作，实现残疾人需求与服务供给的对接，提高残疾人工作的精准化和精细化水平；做好对当年考入高等院校的贫困残疾大中专以上学生和贫困残疾人家庭子女大中专以上学生摸底调查、上报和救助工作；开展第十九次“阳光行动”救助活动，救助困难残疾人228人。</w:t>
      </w:r>
    </w:p>
    <w:p>
      <w:pPr>
        <w:spacing w:line="58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2、预期绩效目标完成情况、存在问题及评价结论</w:t>
      </w:r>
    </w:p>
    <w:p>
      <w:pPr>
        <w:spacing w:line="58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预期绩效目标完成情况及评价结论：2021年县级项目绩效目标实现程度达到50%的项目有6个，绩效目标实现程度在30%以下的项目有0个，工作未开展的项目有0个。具体统计表如下：</w:t>
      </w:r>
    </w:p>
    <w:p>
      <w:pPr>
        <w:spacing w:line="580" w:lineRule="exact"/>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残联2021年度部门预算项目整体支出绩效自评汇总表</w:t>
      </w:r>
    </w:p>
    <w:tbl>
      <w:tblPr>
        <w:tblStyle w:val="4"/>
        <w:tblpPr w:leftFromText="180" w:rightFromText="180" w:vertAnchor="text" w:horzAnchor="page" w:tblpX="1557" w:tblpY="145"/>
        <w:tblOverlap w:val="never"/>
        <w:tblW w:w="8478" w:type="dxa"/>
        <w:tblInd w:w="0" w:type="dxa"/>
        <w:tblLayout w:type="fixed"/>
        <w:tblCellMar>
          <w:top w:w="0" w:type="dxa"/>
          <w:left w:w="108" w:type="dxa"/>
          <w:bottom w:w="0" w:type="dxa"/>
          <w:right w:w="108" w:type="dxa"/>
        </w:tblCellMar>
      </w:tblPr>
      <w:tblGrid>
        <w:gridCol w:w="912"/>
        <w:gridCol w:w="3771"/>
        <w:gridCol w:w="1163"/>
        <w:gridCol w:w="1316"/>
        <w:gridCol w:w="1316"/>
      </w:tblGrid>
      <w:tr>
        <w:tblPrEx>
          <w:tblCellMar>
            <w:top w:w="0" w:type="dxa"/>
            <w:left w:w="108" w:type="dxa"/>
            <w:bottom w:w="0" w:type="dxa"/>
            <w:right w:w="108" w:type="dxa"/>
          </w:tblCellMar>
        </w:tblPrEx>
        <w:trPr>
          <w:trHeight w:val="1387" w:hRule="atLeast"/>
        </w:trPr>
        <w:tc>
          <w:tcPr>
            <w:tcW w:w="9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rPr>
            </w:p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部门名称</w:t>
            </w:r>
          </w:p>
        </w:tc>
        <w:tc>
          <w:tcPr>
            <w:tcW w:w="377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项目名称</w:t>
            </w:r>
          </w:p>
        </w:tc>
        <w:tc>
          <w:tcPr>
            <w:tcW w:w="11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预算</w:t>
            </w:r>
            <w:r>
              <w:rPr>
                <w:rFonts w:hint="eastAsia" w:ascii="宋体" w:hAnsi="宋体" w:eastAsia="宋体" w:cs="宋体"/>
                <w:color w:val="000000"/>
                <w:kern w:val="0"/>
                <w:sz w:val="22"/>
              </w:rPr>
              <w:t>资金数额（万元）</w:t>
            </w:r>
          </w:p>
        </w:tc>
        <w:tc>
          <w:tcPr>
            <w:tcW w:w="1316"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资金</w:t>
            </w:r>
            <w:r>
              <w:rPr>
                <w:rFonts w:hint="eastAsia" w:ascii="宋体" w:hAnsi="宋体" w:eastAsia="宋体" w:cs="宋体"/>
                <w:color w:val="000000"/>
                <w:kern w:val="0"/>
                <w:sz w:val="22"/>
                <w:lang w:eastAsia="zh-CN"/>
              </w:rPr>
              <w:t>拨付</w:t>
            </w:r>
            <w:r>
              <w:rPr>
                <w:rFonts w:hint="eastAsia" w:ascii="宋体" w:hAnsi="宋体" w:eastAsia="宋体" w:cs="宋体"/>
                <w:color w:val="000000"/>
                <w:kern w:val="0"/>
                <w:sz w:val="22"/>
              </w:rPr>
              <w:t>数额（万元））</w:t>
            </w:r>
          </w:p>
        </w:tc>
        <w:tc>
          <w:tcPr>
            <w:tcW w:w="1316"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绩效目标实现程度（%）</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残联残疾人康复-保财社[2019]50号</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19.2</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19.2</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rPr>
              <w:t>　</w:t>
            </w:r>
            <w:r>
              <w:rPr>
                <w:rFonts w:hint="eastAsia" w:ascii="宋体" w:hAnsi="宋体" w:eastAsia="宋体" w:cs="宋体"/>
                <w:color w:val="000000"/>
                <w:kern w:val="0"/>
                <w:sz w:val="22"/>
                <w:lang w:val="en-US" w:eastAsia="zh-CN"/>
              </w:rPr>
              <w:t>100</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残联困难残疾人家庭无障碍改造</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3.5</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3.5</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残联残疾人综合业务管理</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38.4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34.51</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89.87</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残联残疾人就业和扶贫</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8.3</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8.3</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100</w:t>
            </w:r>
          </w:p>
        </w:tc>
      </w:tr>
      <w:tr>
        <w:tblPrEx>
          <w:tblCellMar>
            <w:top w:w="0" w:type="dxa"/>
            <w:left w:w="108" w:type="dxa"/>
            <w:bottom w:w="0" w:type="dxa"/>
            <w:right w:w="108" w:type="dxa"/>
          </w:tblCellMar>
        </w:tblPrEx>
        <w:trPr>
          <w:trHeight w:val="68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残联残疾人康复</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23.3</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20.86</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89.53</w:t>
            </w:r>
          </w:p>
        </w:tc>
      </w:tr>
      <w:tr>
        <w:tblPrEx>
          <w:tblCellMar>
            <w:top w:w="0" w:type="dxa"/>
            <w:left w:w="108" w:type="dxa"/>
            <w:bottom w:w="0" w:type="dxa"/>
            <w:right w:w="108" w:type="dxa"/>
          </w:tblCellMar>
        </w:tblPrEx>
        <w:trPr>
          <w:trHeight w:val="697" w:hRule="atLeast"/>
        </w:trPr>
        <w:tc>
          <w:tcPr>
            <w:tcW w:w="91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eastAsia="zh-CN"/>
              </w:rPr>
              <w:t>高阳县残联</w:t>
            </w:r>
          </w:p>
        </w:tc>
        <w:tc>
          <w:tcPr>
            <w:tcW w:w="377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残联残疾人宣传文体</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lang w:val="en-US" w:eastAsia="zh-CN"/>
              </w:rPr>
              <w:t>4.5</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3.34</w:t>
            </w:r>
          </w:p>
        </w:tc>
        <w:tc>
          <w:tcPr>
            <w:tcW w:w="131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74.22</w:t>
            </w:r>
          </w:p>
        </w:tc>
      </w:tr>
    </w:tbl>
    <w:p>
      <w:pPr>
        <w:spacing w:line="580" w:lineRule="exact"/>
        <w:rPr>
          <w:rFonts w:hint="eastAsia" w:ascii="仿宋" w:hAnsi="仿宋" w:eastAsia="仿宋" w:cs="Times New Roman"/>
          <w:sz w:val="32"/>
          <w:szCs w:val="32"/>
          <w:lang w:val="en-US" w:eastAsia="zh-CN"/>
        </w:rPr>
      </w:pPr>
    </w:p>
    <w:p>
      <w:pPr>
        <w:spacing w:line="58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存在问题及综合评价结论：县级项目资金支出率均达到了89%以上，整体绩效目标实现程度良好。</w:t>
      </w:r>
    </w:p>
    <w:p>
      <w:pPr>
        <w:numPr>
          <w:ilvl w:val="0"/>
          <w:numId w:val="1"/>
        </w:numPr>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绩效目标设定质量情况</w:t>
      </w:r>
    </w:p>
    <w:p>
      <w:pPr>
        <w:spacing w:line="580" w:lineRule="exact"/>
        <w:ind w:firstLine="321" w:firstLineChars="100"/>
        <w:rPr>
          <w:rFonts w:hint="eastAsia" w:ascii="楷体_GB2312" w:hAnsi="宋体" w:eastAsia="楷体_GB2312" w:cs="Times New Roman"/>
          <w:b/>
          <w:sz w:val="32"/>
          <w:szCs w:val="32"/>
        </w:rPr>
      </w:pPr>
      <w:r>
        <w:rPr>
          <w:rFonts w:hint="eastAsia" w:ascii="楷体_GB2312" w:hAnsi="宋体" w:eastAsia="楷体_GB2312" w:cs="Times New Roman"/>
          <w:b/>
          <w:sz w:val="32"/>
          <w:szCs w:val="32"/>
        </w:rPr>
        <w:t>（一）全部项目评价指标优良率</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残联残疾人康复项目评价指标6个评价等级为优的指标数6个，评优率 = 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残联残疾人就业和扶贫项目评价指标6个评价等级为优的指标数6个，评优率 = 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残联残疾人综合业务管理评价指标6个评价等级为优的指标数6个，评优率 = 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残联残疾人康复-保财社[2019]50号评价指标4个评价等级为优的指标数6个，评优率 = 66.67%，评价等级为中的指标数2个评中率 = 33.33%</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残联残疾人宣传文体评价指标6个评价等级为优的指标数6个，评优率 = 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残联困难残疾人家庭无障碍改造项目评价指标6个评价等级为优的指标数6个，评优率 = 100%</w:t>
      </w:r>
    </w:p>
    <w:p>
      <w:pPr>
        <w:keepNext w:val="0"/>
        <w:keepLines w:val="0"/>
        <w:widowControl/>
        <w:suppressLineNumbers w:val="0"/>
        <w:shd w:val="clear" w:fill="FFFFFF"/>
        <w:wordWrap/>
        <w:bidi w:val="0"/>
        <w:spacing w:before="0" w:beforeAutospacing="0" w:after="0" w:afterAutospacing="0" w:line="600" w:lineRule="atLeast"/>
        <w:ind w:left="0" w:right="0" w:firstLine="64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（二）整体绩效目标、指标设定情况：通过以上分析，本部门2021年预算项目绩效目标设定清晰准确，绩效指标全面完整、科学合理，绩效标准恰当适宜、易于评价。</w:t>
      </w:r>
    </w:p>
    <w:p>
      <w:pPr>
        <w:numPr>
          <w:ilvl w:val="0"/>
          <w:numId w:val="2"/>
        </w:numPr>
        <w:spacing w:line="580" w:lineRule="exact"/>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整改措施及结果应用</w:t>
      </w:r>
    </w:p>
    <w:p>
      <w:p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lang w:eastAsia="zh-CN"/>
        </w:rPr>
        <w:t>今后残联将对预算项目进行细化，会同相关专家组，定期到承接机构进行检查，对各项目服务进行更深入全面的专项督导，使服务机构在服务质量上更上一个台阶，使服务对象满意度进一步提升，会同各乡镇残联，对接受服务的残疾人进行回访，以保证服务质量，提高服务水平，确保预算资金项目效益尽可能最大化。</w:t>
      </w:r>
    </w:p>
    <w:p>
      <w:pPr>
        <w:numPr>
          <w:ilvl w:val="0"/>
          <w:numId w:val="0"/>
        </w:numPr>
        <w:spacing w:line="580" w:lineRule="exact"/>
        <w:ind w:firstLine="640" w:firstLineChars="200"/>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lang w:eastAsia="zh-CN"/>
        </w:rPr>
        <w:t>我们也将继续深入残疾人家庭，宣传目前各项惠及残疾人的政策，走访残疾人，及时学习上级残联工作新要求及其他兄弟市县残疾人工作的好做法好经验，继续扎实开展好我县残疾人各项工作。</w:t>
      </w:r>
    </w:p>
    <w:p>
      <w:pPr>
        <w:spacing w:line="580" w:lineRule="exact"/>
        <w:rPr>
          <w:rFonts w:hint="eastAsia" w:ascii="仿宋" w:hAnsi="仿宋" w:eastAsia="仿宋" w:cs="Times New Roman"/>
          <w:sz w:val="32"/>
          <w:szCs w:val="32"/>
          <w:lang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eastAsia" w:ascii="仿宋" w:hAnsi="仿宋" w:eastAsia="仿宋" w:cs="Times New Roman"/>
          <w:sz w:val="32"/>
          <w:szCs w:val="32"/>
          <w:lang w:val="en-US" w:eastAsia="zh-CN"/>
        </w:rPr>
      </w:pPr>
    </w:p>
    <w:p>
      <w:pPr>
        <w:spacing w:line="580" w:lineRule="exact"/>
        <w:jc w:val="righ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2022年3月25日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FB141"/>
    <w:multiLevelType w:val="singleLevel"/>
    <w:tmpl w:val="B43FB141"/>
    <w:lvl w:ilvl="0" w:tentative="0">
      <w:start w:val="3"/>
      <w:numFmt w:val="chineseCounting"/>
      <w:suff w:val="nothing"/>
      <w:lvlText w:val="%1、"/>
      <w:lvlJc w:val="left"/>
      <w:rPr>
        <w:rFonts w:hint="eastAsia"/>
      </w:rPr>
    </w:lvl>
  </w:abstractNum>
  <w:abstractNum w:abstractNumId="1">
    <w:nsid w:val="4ADAE3AD"/>
    <w:multiLevelType w:val="singleLevel"/>
    <w:tmpl w:val="4ADAE3A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D7446F"/>
    <w:rsid w:val="00005A6E"/>
    <w:rsid w:val="000431DD"/>
    <w:rsid w:val="0005201C"/>
    <w:rsid w:val="00065E0B"/>
    <w:rsid w:val="00084A85"/>
    <w:rsid w:val="00153AC5"/>
    <w:rsid w:val="00170408"/>
    <w:rsid w:val="00174AF1"/>
    <w:rsid w:val="001A011C"/>
    <w:rsid w:val="001B32FF"/>
    <w:rsid w:val="001B58C3"/>
    <w:rsid w:val="001F31B7"/>
    <w:rsid w:val="002013A3"/>
    <w:rsid w:val="002405B6"/>
    <w:rsid w:val="00287144"/>
    <w:rsid w:val="00295063"/>
    <w:rsid w:val="002A1E10"/>
    <w:rsid w:val="00305792"/>
    <w:rsid w:val="003C0790"/>
    <w:rsid w:val="003C726B"/>
    <w:rsid w:val="00411C7B"/>
    <w:rsid w:val="0042177A"/>
    <w:rsid w:val="00431424"/>
    <w:rsid w:val="004400A3"/>
    <w:rsid w:val="00450BE1"/>
    <w:rsid w:val="00482F97"/>
    <w:rsid w:val="00490557"/>
    <w:rsid w:val="004B3CF5"/>
    <w:rsid w:val="004C284A"/>
    <w:rsid w:val="004C4F56"/>
    <w:rsid w:val="004C653B"/>
    <w:rsid w:val="004C7EA4"/>
    <w:rsid w:val="004F3AE2"/>
    <w:rsid w:val="0054000A"/>
    <w:rsid w:val="00547C19"/>
    <w:rsid w:val="005828C9"/>
    <w:rsid w:val="005B3170"/>
    <w:rsid w:val="005C6FDB"/>
    <w:rsid w:val="005F1272"/>
    <w:rsid w:val="005F4727"/>
    <w:rsid w:val="0061139B"/>
    <w:rsid w:val="006130F0"/>
    <w:rsid w:val="00632C58"/>
    <w:rsid w:val="00635191"/>
    <w:rsid w:val="0064111A"/>
    <w:rsid w:val="00655E95"/>
    <w:rsid w:val="006D605E"/>
    <w:rsid w:val="006F5044"/>
    <w:rsid w:val="007437A6"/>
    <w:rsid w:val="007447F9"/>
    <w:rsid w:val="00784F9A"/>
    <w:rsid w:val="00797A4E"/>
    <w:rsid w:val="007C60CF"/>
    <w:rsid w:val="007E6C71"/>
    <w:rsid w:val="00825151"/>
    <w:rsid w:val="00853A3E"/>
    <w:rsid w:val="008C0B77"/>
    <w:rsid w:val="008E0BCC"/>
    <w:rsid w:val="008E6902"/>
    <w:rsid w:val="00915109"/>
    <w:rsid w:val="009317BD"/>
    <w:rsid w:val="00945A64"/>
    <w:rsid w:val="00990698"/>
    <w:rsid w:val="009A5048"/>
    <w:rsid w:val="009D5A0D"/>
    <w:rsid w:val="00A03993"/>
    <w:rsid w:val="00A11E3C"/>
    <w:rsid w:val="00A34C6F"/>
    <w:rsid w:val="00A503F8"/>
    <w:rsid w:val="00A74A72"/>
    <w:rsid w:val="00A771B0"/>
    <w:rsid w:val="00A7792E"/>
    <w:rsid w:val="00A947F0"/>
    <w:rsid w:val="00AB08FD"/>
    <w:rsid w:val="00AC73CA"/>
    <w:rsid w:val="00AF73D6"/>
    <w:rsid w:val="00B04FFC"/>
    <w:rsid w:val="00B852DD"/>
    <w:rsid w:val="00BB128C"/>
    <w:rsid w:val="00BD2C96"/>
    <w:rsid w:val="00C05BA6"/>
    <w:rsid w:val="00C1496B"/>
    <w:rsid w:val="00C22B70"/>
    <w:rsid w:val="00C8776B"/>
    <w:rsid w:val="00CA367C"/>
    <w:rsid w:val="00CD0D5A"/>
    <w:rsid w:val="00CE084A"/>
    <w:rsid w:val="00CF3A50"/>
    <w:rsid w:val="00D04D3C"/>
    <w:rsid w:val="00D42884"/>
    <w:rsid w:val="00D52E3A"/>
    <w:rsid w:val="00D54A56"/>
    <w:rsid w:val="00D7446F"/>
    <w:rsid w:val="00D95429"/>
    <w:rsid w:val="00DB4197"/>
    <w:rsid w:val="00E21A08"/>
    <w:rsid w:val="00E37F65"/>
    <w:rsid w:val="00E41D97"/>
    <w:rsid w:val="00E620E9"/>
    <w:rsid w:val="00E7640E"/>
    <w:rsid w:val="00E769F6"/>
    <w:rsid w:val="00EA0E92"/>
    <w:rsid w:val="00EB30FF"/>
    <w:rsid w:val="00EC001C"/>
    <w:rsid w:val="00ED573B"/>
    <w:rsid w:val="00EE1F5F"/>
    <w:rsid w:val="00F017B5"/>
    <w:rsid w:val="00F1091C"/>
    <w:rsid w:val="00F92B0E"/>
    <w:rsid w:val="00F9543E"/>
    <w:rsid w:val="00FC4380"/>
    <w:rsid w:val="00FC700A"/>
    <w:rsid w:val="00FE30F8"/>
    <w:rsid w:val="01243EE0"/>
    <w:rsid w:val="090832F7"/>
    <w:rsid w:val="0D0403E3"/>
    <w:rsid w:val="1CD14D0B"/>
    <w:rsid w:val="1E324835"/>
    <w:rsid w:val="23651DB1"/>
    <w:rsid w:val="26A336EE"/>
    <w:rsid w:val="26C6263C"/>
    <w:rsid w:val="279C2835"/>
    <w:rsid w:val="28006AFD"/>
    <w:rsid w:val="2856154E"/>
    <w:rsid w:val="2A145A58"/>
    <w:rsid w:val="31627920"/>
    <w:rsid w:val="32CA7838"/>
    <w:rsid w:val="34CD7BFA"/>
    <w:rsid w:val="36881281"/>
    <w:rsid w:val="3A840932"/>
    <w:rsid w:val="3C39409A"/>
    <w:rsid w:val="3E083EF3"/>
    <w:rsid w:val="43360C96"/>
    <w:rsid w:val="44441B7F"/>
    <w:rsid w:val="44ED5E95"/>
    <w:rsid w:val="45173F87"/>
    <w:rsid w:val="577A441A"/>
    <w:rsid w:val="58907E48"/>
    <w:rsid w:val="5AA821AE"/>
    <w:rsid w:val="5B070C7B"/>
    <w:rsid w:val="62EE771F"/>
    <w:rsid w:val="6456094B"/>
    <w:rsid w:val="64CB2A16"/>
    <w:rsid w:val="664C7651"/>
    <w:rsid w:val="6797039C"/>
    <w:rsid w:val="684466D4"/>
    <w:rsid w:val="6A58785A"/>
    <w:rsid w:val="712132BA"/>
    <w:rsid w:val="71213AE5"/>
    <w:rsid w:val="7123127F"/>
    <w:rsid w:val="758227AD"/>
    <w:rsid w:val="75F4087F"/>
    <w:rsid w:val="79D97CCD"/>
    <w:rsid w:val="7ABB30DB"/>
    <w:rsid w:val="7B0F188E"/>
    <w:rsid w:val="7B2920AC"/>
    <w:rsid w:val="7ECC0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页眉 Char"/>
    <w:basedOn w:val="5"/>
    <w:link w:val="3"/>
    <w:autoRedefine/>
    <w:qFormat/>
    <w:uiPriority w:val="99"/>
    <w:rPr>
      <w:sz w:val="18"/>
      <w:szCs w:val="18"/>
    </w:rPr>
  </w:style>
  <w:style w:type="character" w:customStyle="1" w:styleId="8">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94</Words>
  <Characters>538</Characters>
  <Lines>4</Lines>
  <Paragraphs>1</Paragraphs>
  <TotalTime>14</TotalTime>
  <ScaleCrop>false</ScaleCrop>
  <LinksUpToDate>false</LinksUpToDate>
  <CharactersWithSpaces>631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2020-07-06T09:58:00Z</dcterms:created>
  <dc:creator>user</dc:creator>
  <cp:lastModifiedBy>Administrator</cp:lastModifiedBy>
  <cp:lastPrinted>2022-03-24T07:51:00Z</cp:lastPrinted>
  <dcterms:modified xsi:type="dcterms:W3CDTF">2023-12-29T02:18:34Z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70172C58ECBF4CD5B41C25CDA24C1E5E</vt:lpwstr>
  </property>
</Properties>
</file>