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高阳县人力资源和社会保障局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2022年法治政府建设年度报告</w:t>
      </w:r>
    </w:p>
    <w:p>
      <w:pPr>
        <w:rPr>
          <w:rFonts w:ascii="微软雅黑" w:hAnsi="微软雅黑" w:eastAsia="微软雅黑" w:cs="微软雅黑"/>
          <w:color w:val="000000"/>
          <w:sz w:val="27"/>
          <w:szCs w:val="27"/>
        </w:rPr>
      </w:pP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2022年，高阳县人社局认真贯彻落实习近平法治思想及中央、省、市、县法治政府建设的重要决策，法治人社建设迈向新台阶，现将主要工作汇报如下：</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一、主要工作开展情况</w:t>
      </w:r>
    </w:p>
    <w:p>
      <w:pPr>
        <w:pStyle w:val="2"/>
        <w:spacing w:after="0"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（一）强化党建引领，夯实法治政府建设工作责任</w:t>
      </w:r>
    </w:p>
    <w:p>
      <w:pPr>
        <w:pStyle w:val="6"/>
        <w:widowControl/>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是坚持党对法治人社建设的领导，切实履行推进法治建设第一责任人的职责，推动法治工作与业务工作同谋划、同部署、同检查，构建人人肩上有担子、个个身上有压力的法治人社工作格局；二是健全组织领导和机构设置，夯实法治建设工作根基。三是建立健全党员领导干部学法制度，将习近平法治思想纳入人社局</w:t>
      </w:r>
      <w:bookmarkStart w:id="0" w:name="_GoBack"/>
      <w:bookmarkEnd w:id="0"/>
      <w:r>
        <w:rPr>
          <w:rFonts w:hint="eastAsia" w:ascii="仿宋_GB2312" w:hAnsi="仿宋_GB2312" w:eastAsia="仿宋_GB2312" w:cs="仿宋_GB2312"/>
          <w:color w:val="000000"/>
          <w:kern w:val="2"/>
          <w:sz w:val="32"/>
          <w:szCs w:val="32"/>
          <w:lang w:eastAsia="zh-CN"/>
        </w:rPr>
        <w:t>理论学习中心组</w:t>
      </w:r>
      <w:r>
        <w:rPr>
          <w:rFonts w:hint="eastAsia" w:ascii="仿宋_GB2312" w:hAnsi="仿宋_GB2312" w:eastAsia="仿宋_GB2312" w:cs="仿宋_GB2312"/>
          <w:color w:val="000000"/>
          <w:kern w:val="2"/>
          <w:sz w:val="32"/>
          <w:szCs w:val="32"/>
        </w:rPr>
        <w:t>学习计划，纳入党课学习内容，党员领导干部做到先学一步深学一层，更加自觉地用新时代党的创新理论武装头脑、指导实践、推动工作。</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（二）依法履职尽责，全面优化营商环境</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治引领，提升人社服务效能。全面推广全省人社一体化公共服务平台，实现了线上一张网，线下一扇窗，只进人社一扇门，能办人社所有事。加强系统行风建设，群众满意度明显提高。巩固提升“双随机、一公开”监管和信用监管成果，推进平台之外无抽查、清单之外无检查、后续处置无例外。建立了“一平台+三制度”的欠薪案件快速处理机制，在全市率先研发出高阳县劳动保障监察举报投诉“二维码”，通过线上举报投诉，实行“不见面”办理，进一步打通欠薪维权“最初一公里”。</w:t>
      </w:r>
    </w:p>
    <w:p>
      <w:pPr>
        <w:pStyle w:val="6"/>
        <w:widowControl/>
        <w:spacing w:beforeAutospacing="0" w:afterAutospacing="0" w:line="560" w:lineRule="exact"/>
        <w:ind w:firstLine="640" w:firstLineChars="200"/>
        <w:rPr>
          <w:rFonts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（三）严格重大决策程序，保障决策科学合法</w:t>
      </w:r>
    </w:p>
    <w:p>
      <w:pPr>
        <w:pStyle w:val="6"/>
        <w:widowControl/>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健全《高阳县人社局“三重一大”事项集体决策制度》等制定，坚决落实民主集中制、主要领导末位表态制及“三重一大”议事规则，凡涉及“三重一大”事项，均按规定提交局党组会集体讨论作出决策，保证决策权限合法、程序合法、内容合法。严格执行重大决策执行合法性审核机制，实行重大行政决策公开制度（依法应当保密的除外）。设立了法律顾问，实行合法性法律咨询，发挥其在重大行政决策中的有效作用。建立了重大行政决策全过程记录、材料归档和档案管理制度，实现重大行政决策年度目录事项全部立卷归档。</w:t>
      </w:r>
    </w:p>
    <w:p>
      <w:pPr>
        <w:pStyle w:val="6"/>
        <w:widowControl/>
        <w:spacing w:beforeAutospacing="0" w:afterAutospacing="0" w:line="560" w:lineRule="exact"/>
        <w:ind w:firstLine="640" w:firstLineChars="200"/>
        <w:rPr>
          <w:rFonts w:ascii="微软雅黑" w:hAnsi="微软雅黑" w:eastAsia="微软雅黑" w:cs="微软雅黑"/>
          <w:color w:val="000000"/>
          <w:sz w:val="27"/>
          <w:szCs w:val="27"/>
        </w:rPr>
      </w:pPr>
      <w:r>
        <w:rPr>
          <w:rFonts w:hint="eastAsia" w:ascii="楷体_GB2312" w:hAnsi="楷体_GB2312" w:eastAsia="楷体_GB2312" w:cs="楷体_GB2312"/>
          <w:color w:val="000000"/>
          <w:kern w:val="2"/>
          <w:sz w:val="32"/>
          <w:szCs w:val="32"/>
        </w:rPr>
        <w:t>（四）严格规范执法，切实维护法治公信力</w:t>
      </w:r>
    </w:p>
    <w:p>
      <w:pPr>
        <w:pStyle w:val="3"/>
        <w:widowControl/>
        <w:spacing w:line="560" w:lineRule="exact"/>
        <w:ind w:firstLine="640" w:firstLineChars="200"/>
        <w:rPr>
          <w:rFonts w:ascii="仿宋_GB2312" w:hAnsi="仿宋_GB2312" w:eastAsia="仿宋_GB2312" w:cs="仿宋_GB2312"/>
          <w:b/>
          <w:bCs/>
          <w:color w:val="000000"/>
          <w:sz w:val="32"/>
          <w:szCs w:val="32"/>
        </w:rPr>
      </w:pPr>
      <w:r>
        <w:rPr>
          <w:rFonts w:ascii="仿宋_GB2312" w:hAnsi="仿宋_GB2312" w:eastAsia="仿宋_GB2312" w:cs="仿宋_GB2312"/>
          <w:color w:val="000000"/>
          <w:sz w:val="32"/>
          <w:szCs w:val="32"/>
        </w:rPr>
        <w:t>严格执行省行政处罚文书标准、案卷标准、评查标准，行政执法主体、权限、依据、程序、救济渠道和随机抽查事项清单等全部主动公开；</w:t>
      </w:r>
      <w:r>
        <w:rPr>
          <w:rFonts w:hint="default" w:ascii="仿宋_GB2312" w:hAnsi="仿宋_GB2312" w:eastAsia="仿宋_GB2312" w:cs="仿宋_GB2312"/>
          <w:color w:val="000000"/>
          <w:sz w:val="32"/>
          <w:szCs w:val="32"/>
        </w:rPr>
        <w:t>严格执行2人以上执法</w:t>
      </w:r>
      <w:r>
        <w:rPr>
          <w:rFonts w:ascii="仿宋_GB2312" w:hAnsi="仿宋_GB2312" w:eastAsia="仿宋_GB2312" w:cs="仿宋_GB2312"/>
          <w:color w:val="000000"/>
          <w:sz w:val="32"/>
          <w:szCs w:val="32"/>
        </w:rPr>
        <w:t>，</w:t>
      </w:r>
      <w:r>
        <w:rPr>
          <w:rFonts w:hint="default" w:ascii="仿宋_GB2312" w:hAnsi="仿宋_GB2312" w:eastAsia="仿宋_GB2312" w:cs="仿宋_GB2312"/>
          <w:color w:val="000000"/>
          <w:sz w:val="32"/>
          <w:szCs w:val="32"/>
        </w:rPr>
        <w:t>严格执行“亮证执法”，主动出示执法证件</w:t>
      </w:r>
      <w:r>
        <w:rPr>
          <w:rFonts w:ascii="仿宋_GB2312" w:hAnsi="仿宋_GB2312" w:eastAsia="仿宋_GB2312" w:cs="仿宋_GB2312"/>
          <w:color w:val="000000"/>
          <w:sz w:val="32"/>
          <w:szCs w:val="32"/>
        </w:rPr>
        <w:t>，</w:t>
      </w:r>
      <w:r>
        <w:rPr>
          <w:rFonts w:hint="default" w:ascii="仿宋_GB2312" w:hAnsi="仿宋_GB2312" w:eastAsia="仿宋_GB2312" w:cs="仿宋_GB2312"/>
          <w:color w:val="000000"/>
          <w:sz w:val="32"/>
          <w:szCs w:val="32"/>
        </w:rPr>
        <w:t>出具执法文书，主动告知当事人执法事由、执法依据、权利义务、救济渠道等</w:t>
      </w:r>
      <w:r>
        <w:rPr>
          <w:rFonts w:ascii="仿宋_GB2312" w:hAnsi="仿宋_GB2312" w:eastAsia="仿宋_GB2312" w:cs="仿宋_GB2312"/>
          <w:color w:val="000000"/>
          <w:sz w:val="32"/>
          <w:szCs w:val="32"/>
        </w:rPr>
        <w:t>；严格贯彻落实执法全过程记录制度。</w:t>
      </w:r>
      <w:r>
        <w:rPr>
          <w:rFonts w:hint="default" w:ascii="仿宋_GB2312" w:hAnsi="仿宋_GB2312" w:eastAsia="仿宋_GB2312" w:cs="仿宋_GB2312"/>
          <w:color w:val="000000"/>
          <w:sz w:val="32"/>
          <w:szCs w:val="32"/>
        </w:rPr>
        <w:t>通过文字、音像等记录形式，对行政执法启动、调查取证、审核决定、送达执行等实行全过程记录，并实现全面系统归档保存，做到执法全过程留痕和可回溯管理</w:t>
      </w:r>
      <w:r>
        <w:rPr>
          <w:rFonts w:ascii="仿宋_GB2312" w:hAnsi="仿宋_GB2312" w:eastAsia="仿宋_GB2312" w:cs="仿宋_GB2312"/>
          <w:color w:val="000000"/>
          <w:sz w:val="32"/>
          <w:szCs w:val="32"/>
        </w:rPr>
        <w:t>。</w:t>
      </w:r>
      <w:r>
        <w:rPr>
          <w:rFonts w:hint="default" w:ascii="仿宋_GB2312" w:hAnsi="仿宋_GB2312" w:eastAsia="仿宋_GB2312" w:cs="仿宋_GB2312"/>
          <w:color w:val="000000"/>
          <w:sz w:val="32"/>
          <w:szCs w:val="32"/>
        </w:rPr>
        <w:t>根据上级机关行政执法文书格式文本，结合本地实际完善有关文书格式，做到行政执法活动文字记录合法规范、客观全面、及时准确，执法案卷和执法文书要素齐备、填写规范、归档完整。我单位对于执法全过程记录资料严格依法依规归档保存，对同一执法对象的文字、</w:t>
      </w:r>
      <w:r>
        <w:rPr>
          <w:rFonts w:hint="default" w:ascii="仿宋_GB2312" w:hAnsi="仿宋_GB2312" w:eastAsia="仿宋_GB2312" w:cs="仿宋_GB2312"/>
          <w:sz w:val="32"/>
          <w:szCs w:val="40"/>
        </w:rPr>
        <w:t>音像记录进行集中存储，推行“一户式”集中存储。</w:t>
      </w:r>
      <w:r>
        <w:rPr>
          <w:rFonts w:ascii="仿宋_GB2312" w:hAnsi="仿宋_GB2312" w:eastAsia="仿宋_GB2312" w:cs="仿宋_GB2312"/>
          <w:color w:val="000000"/>
          <w:sz w:val="32"/>
          <w:szCs w:val="32"/>
        </w:rPr>
        <w:t>建立了行政执法日常检查监督机制，每年至少组织1次行政执法案卷评查、抽查或者其他形式的检查工作并接受上级机关的检查评估。</w:t>
      </w:r>
    </w:p>
    <w:p>
      <w:pPr>
        <w:pStyle w:val="6"/>
        <w:widowControl/>
        <w:spacing w:beforeAutospacing="0" w:afterAutospacing="0" w:line="560" w:lineRule="exact"/>
        <w:ind w:firstLine="640" w:firstLineChars="200"/>
        <w:rPr>
          <w:rFonts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（五）注重权力制约，全面提升法制监督力</w:t>
      </w:r>
    </w:p>
    <w:p>
      <w:pPr>
        <w:pStyle w:val="6"/>
        <w:widowControl/>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是认真履行党风廉政建设职责，扎实开展作风专项整治行动，推进全面从严治党向纵深发展。二是自觉接受监督。认真办理人大代表建议和政协委员提案。积极引入“第三方”财务内审，推动自我加压、硬核监督。三是落实财务政务公开，自觉接受党内监督、人大监督、民主监督、司法监督和社会监督。四是自觉配合监察机关开展的监督工作。做到了组织严密、结构合理、配置科学、制约有力，把权力牢牢关进制度的笼子，做到权责一致、相互协调、运行顺畅，切实增强监督合力和实效。</w:t>
      </w:r>
    </w:p>
    <w:p>
      <w:pPr>
        <w:pStyle w:val="6"/>
        <w:widowControl/>
        <w:spacing w:beforeAutospacing="0" w:afterAutospacing="0" w:line="560" w:lineRule="exact"/>
        <w:ind w:firstLine="640" w:firstLineChars="200"/>
        <w:rPr>
          <w:rFonts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（六）加强普法宣传，营造浓厚法治氛围</w:t>
      </w:r>
    </w:p>
    <w:p>
      <w:pPr>
        <w:pStyle w:val="6"/>
        <w:widowControl/>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广泛开展形式多样、生动活泼的法治宣传教育活动，突出重要普法时间节点和重点普法对象，组织开展“4·15”全民国家安全教育日、国家宪法日、民法典主题法治宣传周、宪法宣传周、“人社政策进千企入万家”等专项普法活动，营造浓厚法治氛围。今年以来组织普法宣传活动</w:t>
      </w:r>
      <w:r>
        <w:rPr>
          <w:rFonts w:ascii="仿宋_GB2312" w:hAnsi="仿宋_GB2312" w:eastAsia="仿宋_GB2312" w:cs="仿宋_GB2312"/>
          <w:color w:val="000000"/>
          <w:kern w:val="2"/>
          <w:sz w:val="32"/>
          <w:szCs w:val="32"/>
        </w:rPr>
        <w:t>7</w:t>
      </w:r>
      <w:r>
        <w:rPr>
          <w:rFonts w:hint="eastAsia" w:ascii="仿宋_GB2312" w:hAnsi="仿宋_GB2312" w:eastAsia="仿宋_GB2312" w:cs="仿宋_GB2312"/>
          <w:color w:val="000000"/>
          <w:kern w:val="2"/>
          <w:sz w:val="32"/>
          <w:szCs w:val="32"/>
        </w:rPr>
        <w:t>次，发放人社政策宣传材料2万余份。同时在日常接待、案件办理、巡视检查、专项检查等工作中把普法宣传贯穿始终，从而牢固树立用人单位遵纪守法、依法用工意识和劳动者的自我维权意识，有效预防和减少了劳动违法案件的发生。</w:t>
      </w:r>
    </w:p>
    <w:p>
      <w:pPr>
        <w:pStyle w:val="6"/>
        <w:widowControl/>
        <w:spacing w:beforeAutospacing="0" w:afterAutospacing="0" w:line="560" w:lineRule="exact"/>
        <w:ind w:firstLine="640" w:firstLineChars="200"/>
        <w:rPr>
          <w:rFonts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（七）狠抓人员管理培训，全面提升行政执法能力</w:t>
      </w:r>
    </w:p>
    <w:p>
      <w:pPr>
        <w:pStyle w:val="6"/>
        <w:widowControl/>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是全面实行行政执法人员持证上岗和资格管理制度，行政执法人员均通过执法资格考试。提升行政执法队伍职业化、专业化水平。二是把法治教育纳入干部教育培训总体规划，落实宪法宣誓制度，结合人社练兵比武平台、河北干部网络学院等学习平台，组织干部职工日常学法、法治培训、旁听庭审，持续增强法治素养。三是组织行政执法人员</w:t>
      </w:r>
      <w:r>
        <w:rPr>
          <w:rFonts w:hint="eastAsia" w:ascii="仿宋_GB2312" w:hAnsi="仿宋_GB2312" w:eastAsia="仿宋_GB2312" w:cs="仿宋_GB2312"/>
          <w:color w:val="000000"/>
          <w:kern w:val="2"/>
          <w:sz w:val="32"/>
          <w:szCs w:val="32"/>
          <w:lang w:val="en-US" w:eastAsia="zh-CN"/>
        </w:rPr>
        <w:t>进行</w:t>
      </w:r>
      <w:r>
        <w:rPr>
          <w:rFonts w:hint="eastAsia" w:ascii="仿宋_GB2312" w:hAnsi="仿宋_GB2312" w:eastAsia="仿宋_GB2312" w:cs="仿宋_GB2312"/>
          <w:color w:val="000000"/>
          <w:kern w:val="2"/>
          <w:sz w:val="32"/>
          <w:szCs w:val="32"/>
        </w:rPr>
        <w:t>专</w:t>
      </w:r>
      <w:r>
        <w:rPr>
          <w:rFonts w:hint="eastAsia" w:ascii="仿宋_GB2312" w:hAnsi="仿宋_GB2312" w:eastAsia="仿宋_GB2312" w:cs="仿宋_GB2312"/>
          <w:color w:val="000000"/>
          <w:kern w:val="2"/>
          <w:sz w:val="32"/>
          <w:szCs w:val="32"/>
          <w:lang w:val="en-US" w:eastAsia="zh-CN"/>
        </w:rPr>
        <w:t>题</w:t>
      </w:r>
      <w:r>
        <w:rPr>
          <w:rFonts w:hint="eastAsia" w:ascii="仿宋_GB2312" w:hAnsi="仿宋_GB2312" w:eastAsia="仿宋_GB2312" w:cs="仿宋_GB2312"/>
          <w:color w:val="000000"/>
          <w:kern w:val="2"/>
          <w:sz w:val="32"/>
          <w:szCs w:val="32"/>
        </w:rPr>
        <w:t>法律知识培训</w:t>
      </w:r>
      <w:r>
        <w:rPr>
          <w:rFonts w:hint="eastAsia" w:ascii="仿宋_GB2312" w:hAnsi="仿宋_GB2312" w:eastAsia="仿宋_GB2312" w:cs="仿宋_GB2312"/>
          <w:b/>
          <w:bCs/>
          <w:color w:val="000000"/>
          <w:kern w:val="2"/>
          <w:sz w:val="32"/>
          <w:szCs w:val="32"/>
        </w:rPr>
        <w:t>。</w:t>
      </w:r>
      <w:r>
        <w:rPr>
          <w:rFonts w:hint="eastAsia" w:ascii="仿宋_GB2312" w:hAnsi="仿宋_GB2312" w:eastAsia="仿宋_GB2312" w:cs="仿宋_GB2312"/>
          <w:color w:val="000000"/>
          <w:kern w:val="2"/>
          <w:sz w:val="32"/>
          <w:szCs w:val="32"/>
        </w:rPr>
        <w:t>按照保定市根治拖欠农民工工资工作领导小组办公室关于开展农民工工资支付监控预警平台运行使用实地培训的通知要求，组织开展农民工工资支付监控预警平台运行使用实地培训。让执法人员切实吃透专业法律规范；通过法治教育与道德教育相结合，以法治体现道德观念，以道德滋养法治精神，提高了执法人员的法律素质和道德修养，实现情理法的互融互通，形成“重法厚德，法德并举”的氛围。通过培训，进一步提升了欠薪线索处置效率，强化工程建设领域源头治理，提升欠薪数字化治理能力，并为下一步做好根治拖欠农民工工资工作打下良好的基础。组织收听收看行政执法（智慧）监督系统培训会。进一步加快推进我县保障农民工工资支付信息化建设工作，利用信息化手段健全和完善保障农民工工资支付长效机制，全面推广“智慧劳动监察”一体化平台应用。</w:t>
      </w:r>
    </w:p>
    <w:p>
      <w:pPr>
        <w:pStyle w:val="6"/>
        <w:widowControl/>
        <w:spacing w:beforeAutospacing="0" w:afterAutospacing="0" w:line="560" w:lineRule="exact"/>
        <w:ind w:firstLine="640" w:firstLineChars="200"/>
        <w:rPr>
          <w:rFonts w:ascii="黑体" w:hAnsi="黑体" w:eastAsia="黑体" w:cs="黑体"/>
          <w:color w:val="000000"/>
          <w:kern w:val="2"/>
          <w:sz w:val="32"/>
          <w:szCs w:val="32"/>
        </w:rPr>
      </w:pPr>
      <w:r>
        <w:rPr>
          <w:rFonts w:hint="eastAsia" w:ascii="黑体" w:hAnsi="黑体" w:eastAsia="黑体" w:cs="黑体"/>
          <w:color w:val="000000"/>
          <w:kern w:val="2"/>
          <w:sz w:val="32"/>
          <w:szCs w:val="32"/>
        </w:rPr>
        <w:t>二、存在不足及下一步工作打算</w:t>
      </w:r>
    </w:p>
    <w:p>
      <w:pPr>
        <w:pStyle w:val="2"/>
        <w:spacing w:after="0" w:line="560" w:lineRule="exact"/>
        <w:ind w:firstLine="640" w:firstLineChars="200"/>
      </w:pPr>
      <w:r>
        <w:rPr>
          <w:rFonts w:hint="eastAsia" w:ascii="楷体_GB2312" w:hAnsi="楷体_GB2312" w:eastAsia="楷体_GB2312" w:cs="楷体_GB2312"/>
          <w:color w:val="000000"/>
          <w:sz w:val="32"/>
          <w:szCs w:val="32"/>
        </w:rPr>
        <w:t>（一）存在的不足</w:t>
      </w:r>
    </w:p>
    <w:p>
      <w:pPr>
        <w:pStyle w:val="6"/>
        <w:widowControl/>
        <w:spacing w:beforeAutospacing="0" w:afterAutospacing="0" w:line="560" w:lineRule="exact"/>
        <w:ind w:firstLine="643" w:firstLineChars="200"/>
        <w:rPr>
          <w:rFonts w:ascii="仿宋_GB2312" w:hAnsi="仿宋_GB2312" w:eastAsia="仿宋_GB2312" w:cs="仿宋_GB2312"/>
          <w:color w:val="000000"/>
          <w:kern w:val="2"/>
          <w:sz w:val="32"/>
          <w:szCs w:val="32"/>
        </w:rPr>
      </w:pPr>
      <w:r>
        <w:rPr>
          <w:rFonts w:ascii="仿宋_GB2312" w:hAnsi="仿宋_GB2312" w:eastAsia="仿宋_GB2312" w:cs="仿宋_GB2312"/>
          <w:b/>
          <w:bCs/>
          <w:color w:val="000000"/>
          <w:kern w:val="2"/>
          <w:sz w:val="32"/>
          <w:szCs w:val="32"/>
        </w:rPr>
        <w:t>1</w:t>
      </w:r>
      <w:r>
        <w:rPr>
          <w:rFonts w:hint="eastAsia" w:ascii="仿宋_GB2312" w:hAnsi="仿宋_GB2312" w:eastAsia="仿宋_GB2312" w:cs="仿宋_GB2312"/>
          <w:b/>
          <w:bCs/>
          <w:color w:val="000000"/>
          <w:kern w:val="2"/>
          <w:sz w:val="32"/>
          <w:szCs w:val="32"/>
        </w:rPr>
        <w:t>.行政执法工作亟待加强。</w:t>
      </w:r>
      <w:r>
        <w:rPr>
          <w:rFonts w:hint="eastAsia" w:ascii="仿宋_GB2312" w:hAnsi="仿宋_GB2312" w:eastAsia="仿宋_GB2312" w:cs="仿宋_GB2312"/>
          <w:color w:val="000000"/>
          <w:kern w:val="2"/>
          <w:sz w:val="32"/>
          <w:szCs w:val="32"/>
        </w:rPr>
        <w:t>行政执法人员不足，平均年龄偏高，不能完全适应日趋繁重的执法任务，行政执法服务水平与法治政府建设和人民群众的要求还有差距。</w:t>
      </w:r>
    </w:p>
    <w:p>
      <w:pPr>
        <w:pStyle w:val="6"/>
        <w:widowControl/>
        <w:spacing w:beforeAutospacing="0" w:afterAutospacing="0" w:line="560" w:lineRule="exact"/>
        <w:ind w:firstLine="643" w:firstLineChars="200"/>
        <w:rPr>
          <w:rFonts w:ascii="仿宋_GB2312" w:hAnsi="仿宋_GB2312" w:eastAsia="仿宋_GB2312" w:cs="仿宋_GB2312"/>
          <w:color w:val="000000"/>
          <w:kern w:val="2"/>
          <w:sz w:val="32"/>
          <w:szCs w:val="32"/>
        </w:rPr>
      </w:pPr>
      <w:r>
        <w:rPr>
          <w:rFonts w:ascii="仿宋_GB2312" w:hAnsi="仿宋_GB2312" w:eastAsia="仿宋_GB2312" w:cs="仿宋_GB2312"/>
          <w:b/>
          <w:bCs/>
          <w:color w:val="000000"/>
          <w:kern w:val="2"/>
          <w:sz w:val="32"/>
          <w:szCs w:val="32"/>
        </w:rPr>
        <w:t>2</w:t>
      </w:r>
      <w:r>
        <w:rPr>
          <w:rFonts w:hint="eastAsia" w:ascii="仿宋_GB2312" w:hAnsi="仿宋_GB2312" w:eastAsia="仿宋_GB2312" w:cs="仿宋_GB2312"/>
          <w:b/>
          <w:bCs/>
          <w:color w:val="000000"/>
          <w:kern w:val="2"/>
          <w:sz w:val="32"/>
          <w:szCs w:val="32"/>
        </w:rPr>
        <w:t>.普法宣传的效能还需进一步提升。</w:t>
      </w:r>
      <w:r>
        <w:rPr>
          <w:rFonts w:hint="eastAsia" w:ascii="仿宋_GB2312" w:hAnsi="仿宋_GB2312" w:eastAsia="仿宋_GB2312" w:cs="仿宋_GB2312"/>
          <w:color w:val="000000"/>
          <w:kern w:val="2"/>
          <w:sz w:val="32"/>
          <w:szCs w:val="32"/>
        </w:rPr>
        <w:t>法治宣传教育的形式不够丰富，法治宣传教育阵地建设有待加强。</w:t>
      </w:r>
    </w:p>
    <w:p>
      <w:pPr>
        <w:pStyle w:val="6"/>
        <w:widowControl/>
        <w:spacing w:beforeAutospacing="0" w:afterAutospacing="0" w:line="560" w:lineRule="exact"/>
        <w:ind w:firstLine="640" w:firstLineChars="200"/>
        <w:rPr>
          <w:rFonts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（二）下一步打算</w:t>
      </w:r>
    </w:p>
    <w:p>
      <w:pPr>
        <w:pStyle w:val="6"/>
        <w:widowControl/>
        <w:spacing w:beforeAutospacing="0" w:afterAutospacing="0" w:line="560" w:lineRule="exact"/>
        <w:ind w:firstLine="643"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1.持续深入学习宣传贯彻习近平法治思想。</w:t>
      </w:r>
      <w:r>
        <w:rPr>
          <w:rFonts w:hint="eastAsia" w:ascii="仿宋_GB2312" w:hAnsi="仿宋_GB2312" w:eastAsia="仿宋_GB2312" w:cs="仿宋_GB2312"/>
          <w:color w:val="000000"/>
          <w:kern w:val="2"/>
          <w:sz w:val="32"/>
          <w:szCs w:val="32"/>
        </w:rPr>
        <w:t>加强习近平法治思想和法律法规教育培训，推动落实党政主要负责人履行推进法治建设第一责任人职责，进一步强化各级领导干部法治思维、法治理念，提升用法治方式推进工作的能力。</w:t>
      </w:r>
    </w:p>
    <w:p>
      <w:pPr>
        <w:pStyle w:val="6"/>
        <w:widowControl/>
        <w:spacing w:beforeAutospacing="0" w:afterAutospacing="0" w:line="560" w:lineRule="exact"/>
        <w:ind w:firstLine="643"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2.进一步规范行政执法。</w:t>
      </w:r>
      <w:r>
        <w:rPr>
          <w:rFonts w:hint="eastAsia" w:ascii="仿宋_GB2312" w:hAnsi="仿宋_GB2312" w:eastAsia="仿宋_GB2312" w:cs="仿宋_GB2312"/>
          <w:color w:val="000000"/>
          <w:kern w:val="2"/>
          <w:sz w:val="32"/>
          <w:szCs w:val="32"/>
        </w:rPr>
        <w:t>全面落实行政执法“三项制度”和“双随机、一公开”监管机制，加大执法检查力度，切实保障劳动者合法权益。</w:t>
      </w:r>
    </w:p>
    <w:p>
      <w:pPr>
        <w:pStyle w:val="6"/>
        <w:widowControl/>
        <w:spacing w:beforeAutospacing="0" w:afterAutospacing="0" w:line="560" w:lineRule="exact"/>
        <w:ind w:firstLine="643"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3.深入开展法治宣传教育。</w:t>
      </w:r>
      <w:r>
        <w:rPr>
          <w:rFonts w:hint="eastAsia" w:ascii="仿宋_GB2312" w:hAnsi="仿宋_GB2312" w:eastAsia="仿宋_GB2312" w:cs="仿宋_GB2312"/>
          <w:color w:val="000000"/>
          <w:kern w:val="2"/>
          <w:sz w:val="32"/>
          <w:szCs w:val="32"/>
        </w:rPr>
        <w:t>完善“个性学法”清单和题库，组织全系统工作人员和行政执法人员法律知识考试。</w:t>
      </w:r>
    </w:p>
    <w:p>
      <w:pPr>
        <w:pStyle w:val="6"/>
        <w:widowControl/>
        <w:spacing w:beforeAutospacing="0" w:afterAutospacing="0" w:line="560" w:lineRule="exact"/>
        <w:rPr>
          <w:rFonts w:hint="eastAsia" w:ascii="仿宋_GB2312" w:hAnsi="仿宋_GB2312" w:eastAsia="仿宋_GB2312" w:cs="仿宋_GB2312"/>
          <w:color w:val="000000"/>
          <w:kern w:val="2"/>
          <w:sz w:val="32"/>
          <w:szCs w:val="32"/>
        </w:rPr>
      </w:pPr>
    </w:p>
    <w:p>
      <w:pPr>
        <w:pStyle w:val="6"/>
        <w:widowControl/>
        <w:spacing w:beforeAutospacing="0" w:afterAutospacing="0" w:line="560" w:lineRule="exact"/>
        <w:rPr>
          <w:rFonts w:ascii="仿宋_GB2312" w:hAnsi="仿宋_GB2312" w:eastAsia="仿宋_GB2312" w:cs="仿宋_GB2312"/>
          <w:color w:val="000000"/>
          <w:kern w:val="2"/>
          <w:sz w:val="32"/>
          <w:szCs w:val="32"/>
        </w:rPr>
      </w:pPr>
    </w:p>
    <w:p>
      <w:pPr>
        <w:pStyle w:val="6"/>
        <w:widowControl/>
        <w:spacing w:beforeAutospacing="0" w:afterAutospacing="0" w:line="560" w:lineRule="exact"/>
        <w:jc w:val="right"/>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高阳县人力资源和社会保障局</w:t>
      </w:r>
    </w:p>
    <w:p>
      <w:pPr>
        <w:pStyle w:val="6"/>
        <w:widowControl/>
        <w:spacing w:beforeAutospacing="0" w:afterAutospacing="0" w:line="560" w:lineRule="exact"/>
        <w:jc w:val="right"/>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2022年12月20日</w:t>
      </w:r>
    </w:p>
    <w:p>
      <w:pPr>
        <w:pStyle w:val="6"/>
        <w:widowControl/>
        <w:rPr>
          <w:rFonts w:ascii="微软雅黑" w:hAnsi="微软雅黑" w:eastAsia="微软雅黑" w:cs="微软雅黑"/>
          <w:color w:val="000000"/>
          <w:sz w:val="27"/>
          <w:szCs w:val="27"/>
        </w:rPr>
      </w:pPr>
    </w:p>
    <w:p>
      <w:pPr>
        <w:rPr>
          <w:rFonts w:ascii="微软雅黑" w:hAnsi="微软雅黑" w:eastAsia="微软雅黑" w:cs="微软雅黑"/>
          <w:color w:val="000000"/>
          <w:sz w:val="27"/>
          <w:szCs w:val="27"/>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5959677"/>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603C4DD7"/>
    <w:rsid w:val="00177F5A"/>
    <w:rsid w:val="00347982"/>
    <w:rsid w:val="003E7803"/>
    <w:rsid w:val="005E6AB1"/>
    <w:rsid w:val="008351CD"/>
    <w:rsid w:val="00870F60"/>
    <w:rsid w:val="009C50FD"/>
    <w:rsid w:val="00A57B4F"/>
    <w:rsid w:val="00CB5289"/>
    <w:rsid w:val="00D60155"/>
    <w:rsid w:val="00D81226"/>
    <w:rsid w:val="00E16DAF"/>
    <w:rsid w:val="00E47DE7"/>
    <w:rsid w:val="00F12F6D"/>
    <w:rsid w:val="0F62402F"/>
    <w:rsid w:val="430A4551"/>
    <w:rsid w:val="4F98362F"/>
    <w:rsid w:val="51912403"/>
    <w:rsid w:val="52265F43"/>
    <w:rsid w:val="599C0150"/>
    <w:rsid w:val="59D81F54"/>
    <w:rsid w:val="603C4DD7"/>
    <w:rsid w:val="7027728A"/>
    <w:rsid w:val="7FDF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0"/>
    <w:rPr>
      <w:rFonts w:hint="eastAsia" w:ascii="宋体" w:hAnsi="Courier New" w:eastAsia="宋体" w:cs="Times New Roman"/>
      <w:szCs w:val="21"/>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qFormat/>
    <w:uiPriority w:val="99"/>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99"/>
    <w:rPr>
      <w:rFonts w:asciiTheme="minorHAnsi" w:hAnsiTheme="minorHAnsi" w:eastAsiaTheme="minorEastAsia" w:cstheme="minorBidi"/>
      <w:kern w:val="2"/>
      <w:sz w:val="18"/>
      <w:szCs w:val="18"/>
    </w:rPr>
  </w:style>
  <w:style w:type="character" w:customStyle="1" w:styleId="10">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2640</Words>
  <Characters>2657</Characters>
  <Lines>19</Lines>
  <Paragraphs>5</Paragraphs>
  <TotalTime>103</TotalTime>
  <ScaleCrop>false</ScaleCrop>
  <LinksUpToDate>false</LinksUpToDate>
  <CharactersWithSpaces>2657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2023-08-09T02:00:00Z</dcterms:created>
  <dc:creator>咕噜噜熊.</dc:creator>
  <cp:lastModifiedBy>Desdemo</cp:lastModifiedBy>
  <cp:lastPrinted>2023-08-09T08:09:00Z</cp:lastPrinted>
  <dcterms:modified xsi:type="dcterms:W3CDTF">2023-11-08T10:07:23Z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75AAEBBEDD964829AEC8981E234FDF3D_13</vt:lpwstr>
  </property>
</Properties>
</file>