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eastAsia="黑体" w:cs="黑体"/>
          <w:b/>
          <w:color w:val="000000"/>
          <w:sz w:val="44"/>
        </w:rPr>
      </w:pPr>
      <w:r>
        <w:rPr>
          <w:rFonts w:ascii="黑体" w:eastAsia="黑体" w:cs="黑体"/>
          <w:b/>
          <w:color w:val="000000"/>
          <w:sz w:val="44"/>
        </w:rPr>
        <w:t>2022年</w:t>
      </w:r>
      <w:r>
        <w:rPr>
          <w:rFonts w:hint="eastAsia" w:ascii="黑体" w:eastAsia="黑体" w:cs="黑体"/>
          <w:b/>
          <w:color w:val="000000"/>
          <w:sz w:val="44"/>
        </w:rPr>
        <w:t>部门所属单位预算</w:t>
      </w:r>
      <w:r>
        <w:rPr>
          <w:rFonts w:ascii="黑体" w:eastAsia="黑体" w:cs="黑体"/>
          <w:b/>
          <w:color w:val="000000"/>
          <w:sz w:val="44"/>
        </w:rPr>
        <w:t>信息公开目录</w:t>
      </w:r>
    </w:p>
    <w:p>
      <w:pPr>
        <w:spacing w:before="0" w:after="0" w:line="240" w:lineRule="auto"/>
        <w:ind w:firstLine="0"/>
        <w:jc w:val="center"/>
        <w:outlineLvl w:val="0"/>
        <w:rPr>
          <w:rFonts w:ascii="黑体" w:eastAsia="黑体" w:cs="黑体"/>
          <w:b/>
          <w:color w:val="000000"/>
          <w:sz w:val="44"/>
        </w:rPr>
      </w:pPr>
    </w:p>
    <w:p>
      <w:pPr>
        <w:pStyle w:val="6"/>
        <w:keepNext w:val="0"/>
        <w:keepLines w:val="0"/>
        <w:pageBreakBefore w:val="0"/>
        <w:widowControl/>
        <w:tabs>
          <w:tab w:val="right" w:leader="dot" w:pos="14562"/>
        </w:tabs>
        <w:kinsoku/>
        <w:wordWrap/>
        <w:overflowPunct/>
        <w:topLinePunct w:val="0"/>
        <w:autoSpaceDE/>
        <w:autoSpaceDN/>
        <w:bidi w:val="0"/>
        <w:adjustRightInd/>
        <w:snapToGrid/>
        <w:spacing w:before="0" w:line="500" w:lineRule="exact"/>
        <w:textAlignment w:val="auto"/>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一、高阳县城市管理综合行政执法局（行政）收支预算</w:t>
      </w:r>
      <w:r>
        <w:tab/>
      </w:r>
      <w:r>
        <w:rPr>
          <w:rFonts w:hint="eastAsia"/>
          <w:lang w:val="en-US" w:eastAsia="zh-CN"/>
        </w:rPr>
        <w:t>2</w:t>
      </w:r>
      <w:r>
        <w:fldChar w:fldCharType="end"/>
      </w:r>
    </w:p>
    <w:p>
      <w:pPr>
        <w:pStyle w:val="6"/>
        <w:keepNext w:val="0"/>
        <w:keepLines w:val="0"/>
        <w:pageBreakBefore w:val="0"/>
        <w:widowControl/>
        <w:tabs>
          <w:tab w:val="right" w:leader="dot" w:pos="14562"/>
        </w:tabs>
        <w:kinsoku/>
        <w:wordWrap/>
        <w:overflowPunct/>
        <w:topLinePunct w:val="0"/>
        <w:autoSpaceDE/>
        <w:autoSpaceDN/>
        <w:bidi w:val="0"/>
        <w:adjustRightInd/>
        <w:snapToGrid/>
        <w:spacing w:before="0" w:line="500" w:lineRule="exact"/>
        <w:ind w:firstLine="560" w:firstLineChars="200"/>
        <w:textAlignment w:val="auto"/>
        <w:rPr>
          <w:rFonts w:hint="eastAsia" w:eastAsia="方正仿宋_GBK"/>
          <w:lang w:val="en-US" w:eastAsia="zh-CN"/>
        </w:rPr>
      </w:pPr>
      <w:r>
        <w:fldChar w:fldCharType="begin"/>
      </w:r>
      <w:r>
        <w:instrText xml:space="preserve"> HYPERLINK \l "_Toc_4_4_0000000020" </w:instrText>
      </w:r>
      <w:r>
        <w:fldChar w:fldCharType="separate"/>
      </w:r>
      <w:r>
        <w:t>二、高阳县城市管理综合行政执法局（事业）收支预算</w:t>
      </w:r>
      <w:r>
        <w:tab/>
      </w:r>
      <w:r>
        <w:rPr>
          <w:rFonts w:hint="eastAsia"/>
          <w:lang w:val="en-US" w:eastAsia="zh-CN"/>
        </w:rPr>
        <w:t>3</w:t>
      </w:r>
      <w:r>
        <w:fldChar w:fldCharType="end"/>
      </w:r>
      <w:r>
        <w:rPr>
          <w:rFonts w:hint="eastAsia"/>
          <w:lang w:val="en-US" w:eastAsia="zh-CN"/>
        </w:rPr>
        <w:t>5</w:t>
      </w:r>
    </w:p>
    <w:p>
      <w:pPr>
        <w:pStyle w:val="6"/>
        <w:keepNext w:val="0"/>
        <w:keepLines w:val="0"/>
        <w:pageBreakBefore w:val="0"/>
        <w:widowControl/>
        <w:tabs>
          <w:tab w:val="right" w:leader="dot" w:pos="14562"/>
        </w:tabs>
        <w:kinsoku/>
        <w:wordWrap/>
        <w:overflowPunct/>
        <w:topLinePunct w:val="0"/>
        <w:autoSpaceDE/>
        <w:autoSpaceDN/>
        <w:bidi w:val="0"/>
        <w:adjustRightInd/>
        <w:snapToGrid/>
        <w:spacing w:before="0" w:line="500" w:lineRule="exact"/>
        <w:textAlignment w:val="auto"/>
        <w:rPr>
          <w:rFonts w:hint="eastAsia" w:eastAsia="方正仿宋_GBK"/>
          <w:lang w:val="en-US" w:eastAsia="zh-CN"/>
        </w:rPr>
      </w:pPr>
      <w:r>
        <w:fldChar w:fldCharType="begin"/>
      </w:r>
      <w:r>
        <w:instrText xml:space="preserve"> HYPERLINK \l "_Toc_4_4_0000000021" </w:instrText>
      </w:r>
      <w:r>
        <w:fldChar w:fldCharType="separate"/>
      </w:r>
      <w:r>
        <w:t>三、高阳县城市管理综合行政执法局（自收自支）收支预算</w:t>
      </w:r>
      <w:r>
        <w:tab/>
      </w:r>
      <w:r>
        <w:rPr>
          <w:rFonts w:hint="eastAsia"/>
          <w:lang w:val="en-US" w:eastAsia="zh-CN"/>
        </w:rPr>
        <w:t>5</w:t>
      </w:r>
      <w:r>
        <w:fldChar w:fldCharType="end"/>
      </w:r>
      <w:r>
        <w:rPr>
          <w:rFonts w:hint="eastAsia"/>
          <w:lang w:val="en-US" w:eastAsia="zh-CN"/>
        </w:rPr>
        <w:t>2</w:t>
      </w:r>
    </w:p>
    <w:p>
      <w:pPr>
        <w:jc w:val="center"/>
        <w:outlineLvl w:val="0"/>
        <w:sectPr>
          <w:headerReference r:id="rId3" w:type="default"/>
          <w:footerReference r:id="rId4" w:type="default"/>
          <w:pgSz w:w="16840" w:h="11900" w:orient="landscape"/>
          <w:pgMar w:top="1361" w:right="1020" w:bottom="1134" w:left="1020" w:header="720" w:footer="720" w:gutter="0"/>
          <w:pgNumType w:fmt="decimal"/>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一、高阳县城市管理综合行政执法局（行政）收支预算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1897.91</w:t>
            </w:r>
          </w:p>
        </w:tc>
        <w:tc>
          <w:tcPr>
            <w:tcW w:w="4535" w:type="dxa"/>
            <w:vAlign w:val="center"/>
          </w:tcPr>
          <w:p>
            <w:pPr>
              <w:pStyle w:val="12"/>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r>
              <w:t>7392.58</w:t>
            </w: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r>
              <w:t>9426.66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9290.49</w:t>
            </w:r>
          </w:p>
        </w:tc>
        <w:tc>
          <w:tcPr>
            <w:tcW w:w="4535" w:type="dxa"/>
            <w:vAlign w:val="center"/>
          </w:tcPr>
          <w:p>
            <w:pPr>
              <w:pStyle w:val="14"/>
            </w:pPr>
            <w:r>
              <w:t>本年支出合计</w:t>
            </w:r>
          </w:p>
        </w:tc>
        <w:tc>
          <w:tcPr>
            <w:tcW w:w="2126" w:type="dxa"/>
            <w:vAlign w:val="center"/>
          </w:tcPr>
          <w:p>
            <w:pPr>
              <w:pStyle w:val="15"/>
            </w:pPr>
            <w:r>
              <w:t>9441.49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r>
              <w:t>151.00</w:t>
            </w: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9441.49</w:t>
            </w:r>
          </w:p>
        </w:tc>
        <w:tc>
          <w:tcPr>
            <w:tcW w:w="4535" w:type="dxa"/>
            <w:vAlign w:val="center"/>
          </w:tcPr>
          <w:p>
            <w:pPr>
              <w:pStyle w:val="14"/>
            </w:pPr>
            <w:r>
              <w:t>支出总计</w:t>
            </w:r>
          </w:p>
        </w:tc>
        <w:tc>
          <w:tcPr>
            <w:tcW w:w="2126" w:type="dxa"/>
            <w:vAlign w:val="center"/>
          </w:tcPr>
          <w:p>
            <w:pPr>
              <w:pStyle w:val="15"/>
            </w:pPr>
            <w:r>
              <w:t>9441.49</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9441.49</w:t>
            </w:r>
          </w:p>
        </w:tc>
        <w:tc>
          <w:tcPr>
            <w:tcW w:w="1134" w:type="dxa"/>
            <w:vAlign w:val="center"/>
          </w:tcPr>
          <w:p>
            <w:pPr>
              <w:pStyle w:val="15"/>
            </w:pPr>
            <w:r>
              <w:t>9290.49</w:t>
            </w:r>
          </w:p>
        </w:tc>
        <w:tc>
          <w:tcPr>
            <w:tcW w:w="1134" w:type="dxa"/>
            <w:vAlign w:val="center"/>
          </w:tcPr>
          <w:p>
            <w:pPr>
              <w:pStyle w:val="15"/>
            </w:pPr>
            <w:r>
              <w:t>9290.49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3"/>
            </w:pPr>
            <w:r>
              <w:t>8.53</w:t>
            </w:r>
          </w:p>
        </w:tc>
        <w:tc>
          <w:tcPr>
            <w:tcW w:w="1134" w:type="dxa"/>
            <w:vAlign w:val="center"/>
          </w:tcPr>
          <w:p>
            <w:pPr>
              <w:pStyle w:val="13"/>
            </w:pPr>
            <w:r>
              <w:t>8.53</w:t>
            </w:r>
          </w:p>
        </w:tc>
        <w:tc>
          <w:tcPr>
            <w:tcW w:w="1134" w:type="dxa"/>
            <w:vAlign w:val="center"/>
          </w:tcPr>
          <w:p>
            <w:pPr>
              <w:pStyle w:val="13"/>
            </w:pPr>
            <w:r>
              <w:t>8.53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3"/>
            </w:pPr>
            <w:r>
              <w:t>6.13</w:t>
            </w:r>
          </w:p>
        </w:tc>
        <w:tc>
          <w:tcPr>
            <w:tcW w:w="1134" w:type="dxa"/>
            <w:vAlign w:val="center"/>
          </w:tcPr>
          <w:p>
            <w:pPr>
              <w:pStyle w:val="13"/>
            </w:pPr>
            <w:r>
              <w:t>6.13</w:t>
            </w:r>
          </w:p>
        </w:tc>
        <w:tc>
          <w:tcPr>
            <w:tcW w:w="1134" w:type="dxa"/>
            <w:vAlign w:val="center"/>
          </w:tcPr>
          <w:p>
            <w:pPr>
              <w:pStyle w:val="13"/>
            </w:pPr>
            <w:r>
              <w:t>6.13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3"/>
            </w:pPr>
            <w:r>
              <w:t>6.13</w:t>
            </w:r>
          </w:p>
        </w:tc>
        <w:tc>
          <w:tcPr>
            <w:tcW w:w="1134" w:type="dxa"/>
            <w:vAlign w:val="center"/>
          </w:tcPr>
          <w:p>
            <w:pPr>
              <w:pStyle w:val="13"/>
            </w:pPr>
            <w:r>
              <w:t>6.13</w:t>
            </w:r>
          </w:p>
        </w:tc>
        <w:tc>
          <w:tcPr>
            <w:tcW w:w="1134" w:type="dxa"/>
            <w:vAlign w:val="center"/>
          </w:tcPr>
          <w:p>
            <w:pPr>
              <w:pStyle w:val="13"/>
            </w:pPr>
            <w:r>
              <w:t>6.13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3"/>
            </w:pPr>
            <w:r>
              <w:t>2.40</w:t>
            </w:r>
          </w:p>
        </w:tc>
        <w:tc>
          <w:tcPr>
            <w:tcW w:w="1134" w:type="dxa"/>
            <w:vAlign w:val="center"/>
          </w:tcPr>
          <w:p>
            <w:pPr>
              <w:pStyle w:val="13"/>
            </w:pPr>
            <w:r>
              <w:t>2.40</w:t>
            </w:r>
          </w:p>
        </w:tc>
        <w:tc>
          <w:tcPr>
            <w:tcW w:w="1134" w:type="dxa"/>
            <w:vAlign w:val="center"/>
          </w:tcPr>
          <w:p>
            <w:pPr>
              <w:pStyle w:val="13"/>
            </w:pPr>
            <w:r>
              <w:t>2.40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3"/>
            </w:pPr>
            <w:r>
              <w:t>2.40</w:t>
            </w:r>
          </w:p>
        </w:tc>
        <w:tc>
          <w:tcPr>
            <w:tcW w:w="1134" w:type="dxa"/>
            <w:vAlign w:val="center"/>
          </w:tcPr>
          <w:p>
            <w:pPr>
              <w:pStyle w:val="13"/>
            </w:pPr>
            <w:r>
              <w:t>2.40</w:t>
            </w:r>
          </w:p>
        </w:tc>
        <w:tc>
          <w:tcPr>
            <w:tcW w:w="1134" w:type="dxa"/>
            <w:vAlign w:val="center"/>
          </w:tcPr>
          <w:p>
            <w:pPr>
              <w:pStyle w:val="13"/>
            </w:pPr>
            <w:r>
              <w:t>2.40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3"/>
            </w:pPr>
            <w:r>
              <w:t>2.46</w:t>
            </w:r>
          </w:p>
        </w:tc>
        <w:tc>
          <w:tcPr>
            <w:tcW w:w="1134" w:type="dxa"/>
            <w:vAlign w:val="center"/>
          </w:tcPr>
          <w:p>
            <w:pPr>
              <w:pStyle w:val="13"/>
            </w:pPr>
            <w:r>
              <w:t>2.46</w:t>
            </w:r>
          </w:p>
        </w:tc>
        <w:tc>
          <w:tcPr>
            <w:tcW w:w="1134" w:type="dxa"/>
            <w:vAlign w:val="center"/>
          </w:tcPr>
          <w:p>
            <w:pPr>
              <w:pStyle w:val="13"/>
            </w:pPr>
            <w:r>
              <w:t>2.46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3"/>
            </w:pPr>
            <w:r>
              <w:t>2.46</w:t>
            </w:r>
          </w:p>
        </w:tc>
        <w:tc>
          <w:tcPr>
            <w:tcW w:w="1134" w:type="dxa"/>
            <w:vAlign w:val="center"/>
          </w:tcPr>
          <w:p>
            <w:pPr>
              <w:pStyle w:val="13"/>
            </w:pPr>
            <w:r>
              <w:t>2.46</w:t>
            </w:r>
          </w:p>
        </w:tc>
        <w:tc>
          <w:tcPr>
            <w:tcW w:w="1134" w:type="dxa"/>
            <w:vAlign w:val="center"/>
          </w:tcPr>
          <w:p>
            <w:pPr>
              <w:pStyle w:val="13"/>
            </w:pPr>
            <w:r>
              <w:t>2.46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3"/>
            </w:pPr>
            <w:r>
              <w:t>2.46</w:t>
            </w:r>
          </w:p>
        </w:tc>
        <w:tc>
          <w:tcPr>
            <w:tcW w:w="1134" w:type="dxa"/>
            <w:vAlign w:val="center"/>
          </w:tcPr>
          <w:p>
            <w:pPr>
              <w:pStyle w:val="13"/>
            </w:pPr>
            <w:r>
              <w:t>2.46</w:t>
            </w:r>
          </w:p>
        </w:tc>
        <w:tc>
          <w:tcPr>
            <w:tcW w:w="1134" w:type="dxa"/>
            <w:vAlign w:val="center"/>
          </w:tcPr>
          <w:p>
            <w:pPr>
              <w:pStyle w:val="13"/>
            </w:pPr>
            <w:r>
              <w:t>2.46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3"/>
            </w:pPr>
            <w:r>
              <w:t>9426.66</w:t>
            </w:r>
          </w:p>
        </w:tc>
        <w:tc>
          <w:tcPr>
            <w:tcW w:w="1134" w:type="dxa"/>
            <w:vAlign w:val="center"/>
          </w:tcPr>
          <w:p>
            <w:pPr>
              <w:pStyle w:val="13"/>
            </w:pPr>
            <w:r>
              <w:t>9275.66</w:t>
            </w:r>
          </w:p>
        </w:tc>
        <w:tc>
          <w:tcPr>
            <w:tcW w:w="1134" w:type="dxa"/>
            <w:vAlign w:val="center"/>
          </w:tcPr>
          <w:p>
            <w:pPr>
              <w:pStyle w:val="13"/>
            </w:pPr>
            <w:r>
              <w:t>9275.66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3"/>
            </w:pPr>
            <w:r>
              <w:t>207.30</w:t>
            </w:r>
          </w:p>
        </w:tc>
        <w:tc>
          <w:tcPr>
            <w:tcW w:w="1134" w:type="dxa"/>
            <w:vAlign w:val="center"/>
          </w:tcPr>
          <w:p>
            <w:pPr>
              <w:pStyle w:val="13"/>
            </w:pPr>
            <w:r>
              <w:t>207.30</w:t>
            </w:r>
          </w:p>
        </w:tc>
        <w:tc>
          <w:tcPr>
            <w:tcW w:w="1134" w:type="dxa"/>
            <w:vAlign w:val="center"/>
          </w:tcPr>
          <w:p>
            <w:pPr>
              <w:pStyle w:val="13"/>
            </w:pPr>
            <w:r>
              <w:t>207.30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3"/>
            </w:pPr>
            <w:r>
              <w:t>52.30</w:t>
            </w:r>
          </w:p>
        </w:tc>
        <w:tc>
          <w:tcPr>
            <w:tcW w:w="1134" w:type="dxa"/>
            <w:vAlign w:val="center"/>
          </w:tcPr>
          <w:p>
            <w:pPr>
              <w:pStyle w:val="13"/>
            </w:pPr>
            <w:r>
              <w:t>52.30</w:t>
            </w:r>
          </w:p>
        </w:tc>
        <w:tc>
          <w:tcPr>
            <w:tcW w:w="1134" w:type="dxa"/>
            <w:vAlign w:val="center"/>
          </w:tcPr>
          <w:p>
            <w:pPr>
              <w:pStyle w:val="13"/>
            </w:pPr>
            <w:r>
              <w:t>52.30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3"/>
            </w:pPr>
            <w:r>
              <w:t>155.00</w:t>
            </w:r>
          </w:p>
        </w:tc>
        <w:tc>
          <w:tcPr>
            <w:tcW w:w="1134" w:type="dxa"/>
            <w:vAlign w:val="center"/>
          </w:tcPr>
          <w:p>
            <w:pPr>
              <w:pStyle w:val="13"/>
            </w:pPr>
            <w:r>
              <w:t>155.00</w:t>
            </w:r>
          </w:p>
        </w:tc>
        <w:tc>
          <w:tcPr>
            <w:tcW w:w="1134" w:type="dxa"/>
            <w:vAlign w:val="center"/>
          </w:tcPr>
          <w:p>
            <w:pPr>
              <w:pStyle w:val="13"/>
            </w:pPr>
            <w:r>
              <w:t>155.00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3"/>
            </w:pPr>
            <w:r>
              <w:t>416.48</w:t>
            </w:r>
          </w:p>
        </w:tc>
        <w:tc>
          <w:tcPr>
            <w:tcW w:w="1134" w:type="dxa"/>
            <w:vAlign w:val="center"/>
          </w:tcPr>
          <w:p>
            <w:pPr>
              <w:pStyle w:val="13"/>
            </w:pPr>
            <w:r>
              <w:t>265.48</w:t>
            </w:r>
          </w:p>
        </w:tc>
        <w:tc>
          <w:tcPr>
            <w:tcW w:w="1134" w:type="dxa"/>
            <w:vAlign w:val="center"/>
          </w:tcPr>
          <w:p>
            <w:pPr>
              <w:pStyle w:val="13"/>
            </w:pPr>
            <w:r>
              <w:t>265.48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2"/>
            </w:pPr>
            <w:r>
              <w:t>2120303</w:t>
            </w:r>
          </w:p>
        </w:tc>
        <w:tc>
          <w:tcPr>
            <w:tcW w:w="1559" w:type="dxa"/>
            <w:vAlign w:val="center"/>
          </w:tcPr>
          <w:p>
            <w:pPr>
              <w:pStyle w:val="12"/>
            </w:pPr>
            <w:r>
              <w:t>小城镇基础设施建设</w:t>
            </w:r>
          </w:p>
        </w:tc>
        <w:tc>
          <w:tcPr>
            <w:tcW w:w="1134" w:type="dxa"/>
            <w:vAlign w:val="center"/>
          </w:tcPr>
          <w:p>
            <w:pPr>
              <w:pStyle w:val="13"/>
            </w:pPr>
            <w:r>
              <w:t>163.80</w:t>
            </w:r>
          </w:p>
        </w:tc>
        <w:tc>
          <w:tcPr>
            <w:tcW w:w="1134" w:type="dxa"/>
            <w:vAlign w:val="center"/>
          </w:tcPr>
          <w:p>
            <w:pPr>
              <w:pStyle w:val="13"/>
            </w:pPr>
            <w:r>
              <w:t>12.80</w:t>
            </w:r>
          </w:p>
        </w:tc>
        <w:tc>
          <w:tcPr>
            <w:tcW w:w="1134" w:type="dxa"/>
            <w:vAlign w:val="center"/>
          </w:tcPr>
          <w:p>
            <w:pPr>
              <w:pStyle w:val="13"/>
            </w:pPr>
            <w:r>
              <w:t>12.80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3"/>
            </w:pPr>
            <w:r>
              <w:t>252.68</w:t>
            </w:r>
          </w:p>
        </w:tc>
        <w:tc>
          <w:tcPr>
            <w:tcW w:w="1134" w:type="dxa"/>
            <w:vAlign w:val="center"/>
          </w:tcPr>
          <w:p>
            <w:pPr>
              <w:pStyle w:val="13"/>
            </w:pPr>
            <w:r>
              <w:t>252.68</w:t>
            </w:r>
          </w:p>
        </w:tc>
        <w:tc>
          <w:tcPr>
            <w:tcW w:w="1134" w:type="dxa"/>
            <w:vAlign w:val="center"/>
          </w:tcPr>
          <w:p>
            <w:pPr>
              <w:pStyle w:val="13"/>
            </w:pPr>
            <w:r>
              <w:t>252.68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3"/>
            </w:pPr>
            <w:r>
              <w:t>1410.30</w:t>
            </w:r>
          </w:p>
        </w:tc>
        <w:tc>
          <w:tcPr>
            <w:tcW w:w="1134" w:type="dxa"/>
            <w:vAlign w:val="center"/>
          </w:tcPr>
          <w:p>
            <w:pPr>
              <w:pStyle w:val="13"/>
            </w:pPr>
            <w:r>
              <w:t>1410.30</w:t>
            </w:r>
          </w:p>
        </w:tc>
        <w:tc>
          <w:tcPr>
            <w:tcW w:w="1134" w:type="dxa"/>
            <w:vAlign w:val="center"/>
          </w:tcPr>
          <w:p>
            <w:pPr>
              <w:pStyle w:val="13"/>
            </w:pPr>
            <w:r>
              <w:t>1410.30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3"/>
            </w:pPr>
            <w:r>
              <w:t>1410.30</w:t>
            </w:r>
          </w:p>
        </w:tc>
        <w:tc>
          <w:tcPr>
            <w:tcW w:w="1134" w:type="dxa"/>
            <w:vAlign w:val="center"/>
          </w:tcPr>
          <w:p>
            <w:pPr>
              <w:pStyle w:val="13"/>
            </w:pPr>
            <w:r>
              <w:t>1410.30</w:t>
            </w:r>
          </w:p>
        </w:tc>
        <w:tc>
          <w:tcPr>
            <w:tcW w:w="1134" w:type="dxa"/>
            <w:vAlign w:val="center"/>
          </w:tcPr>
          <w:p>
            <w:pPr>
              <w:pStyle w:val="13"/>
            </w:pPr>
            <w:r>
              <w:t>1410.30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r>
              <w:t>6000.00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2"/>
            </w:pPr>
            <w:r>
              <w:t>2120803</w:t>
            </w:r>
          </w:p>
        </w:tc>
        <w:tc>
          <w:tcPr>
            <w:tcW w:w="1559" w:type="dxa"/>
            <w:vAlign w:val="center"/>
          </w:tcPr>
          <w:p>
            <w:pPr>
              <w:pStyle w:val="12"/>
            </w:pPr>
            <w:r>
              <w:t>城市建设支出</w:t>
            </w:r>
          </w:p>
        </w:tc>
        <w:tc>
          <w:tcPr>
            <w:tcW w:w="1134" w:type="dxa"/>
            <w:vAlign w:val="center"/>
          </w:tcPr>
          <w:p>
            <w:pPr>
              <w:pStyle w:val="13"/>
            </w:pPr>
            <w:r>
              <w:t>4200.00</w:t>
            </w:r>
          </w:p>
        </w:tc>
        <w:tc>
          <w:tcPr>
            <w:tcW w:w="1134" w:type="dxa"/>
            <w:vAlign w:val="center"/>
          </w:tcPr>
          <w:p>
            <w:pPr>
              <w:pStyle w:val="13"/>
            </w:pPr>
            <w:r>
              <w:t>4200.00</w:t>
            </w:r>
          </w:p>
        </w:tc>
        <w:tc>
          <w:tcPr>
            <w:tcW w:w="1134" w:type="dxa"/>
            <w:vAlign w:val="center"/>
          </w:tcPr>
          <w:p>
            <w:pPr>
              <w:pStyle w:val="13"/>
            </w:pPr>
            <w:r>
              <w:t>4200.00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3"/>
            </w:pPr>
            <w:r>
              <w:t>1800.00</w:t>
            </w:r>
          </w:p>
        </w:tc>
        <w:tc>
          <w:tcPr>
            <w:tcW w:w="1134" w:type="dxa"/>
            <w:vAlign w:val="center"/>
          </w:tcPr>
          <w:p>
            <w:pPr>
              <w:pStyle w:val="13"/>
            </w:pPr>
            <w:r>
              <w:t>1800.00</w:t>
            </w:r>
          </w:p>
        </w:tc>
        <w:tc>
          <w:tcPr>
            <w:tcW w:w="1134" w:type="dxa"/>
            <w:vAlign w:val="center"/>
          </w:tcPr>
          <w:p>
            <w:pPr>
              <w:pStyle w:val="13"/>
            </w:pPr>
            <w:r>
              <w:t>1800.00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2"/>
            </w:pPr>
            <w:r>
              <w:t>21213</w:t>
            </w:r>
          </w:p>
        </w:tc>
        <w:tc>
          <w:tcPr>
            <w:tcW w:w="1559" w:type="dxa"/>
            <w:vAlign w:val="center"/>
          </w:tcPr>
          <w:p>
            <w:pPr>
              <w:pStyle w:val="12"/>
            </w:pPr>
            <w:r>
              <w:t>城市基础设施配套费安排的支出</w:t>
            </w:r>
          </w:p>
        </w:tc>
        <w:tc>
          <w:tcPr>
            <w:tcW w:w="1134" w:type="dxa"/>
            <w:vAlign w:val="center"/>
          </w:tcPr>
          <w:p>
            <w:pPr>
              <w:pStyle w:val="13"/>
            </w:pPr>
            <w:r>
              <w:t>1392.58</w:t>
            </w:r>
          </w:p>
        </w:tc>
        <w:tc>
          <w:tcPr>
            <w:tcW w:w="1134" w:type="dxa"/>
            <w:vAlign w:val="center"/>
          </w:tcPr>
          <w:p>
            <w:pPr>
              <w:pStyle w:val="13"/>
            </w:pPr>
            <w:r>
              <w:t>1392.58</w:t>
            </w:r>
          </w:p>
        </w:tc>
        <w:tc>
          <w:tcPr>
            <w:tcW w:w="1134" w:type="dxa"/>
            <w:vAlign w:val="center"/>
          </w:tcPr>
          <w:p>
            <w:pPr>
              <w:pStyle w:val="13"/>
            </w:pPr>
            <w:r>
              <w:t>1392.58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2"/>
            </w:pPr>
            <w:r>
              <w:t>2121302</w:t>
            </w:r>
          </w:p>
        </w:tc>
        <w:tc>
          <w:tcPr>
            <w:tcW w:w="1559" w:type="dxa"/>
            <w:vAlign w:val="center"/>
          </w:tcPr>
          <w:p>
            <w:pPr>
              <w:pStyle w:val="12"/>
            </w:pPr>
            <w:r>
              <w:t>城市环境卫生</w:t>
            </w:r>
          </w:p>
        </w:tc>
        <w:tc>
          <w:tcPr>
            <w:tcW w:w="1134" w:type="dxa"/>
            <w:vAlign w:val="center"/>
          </w:tcPr>
          <w:p>
            <w:pPr>
              <w:pStyle w:val="13"/>
            </w:pPr>
            <w:r>
              <w:t>1284.89</w:t>
            </w:r>
          </w:p>
        </w:tc>
        <w:tc>
          <w:tcPr>
            <w:tcW w:w="1134" w:type="dxa"/>
            <w:vAlign w:val="center"/>
          </w:tcPr>
          <w:p>
            <w:pPr>
              <w:pStyle w:val="13"/>
            </w:pPr>
            <w:r>
              <w:t>1284.89</w:t>
            </w:r>
          </w:p>
        </w:tc>
        <w:tc>
          <w:tcPr>
            <w:tcW w:w="1134" w:type="dxa"/>
            <w:vAlign w:val="center"/>
          </w:tcPr>
          <w:p>
            <w:pPr>
              <w:pStyle w:val="13"/>
            </w:pPr>
            <w:r>
              <w:t>1284.89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2"/>
            </w:pPr>
            <w:r>
              <w:t>2121399</w:t>
            </w:r>
          </w:p>
        </w:tc>
        <w:tc>
          <w:tcPr>
            <w:tcW w:w="1559" w:type="dxa"/>
            <w:vAlign w:val="center"/>
          </w:tcPr>
          <w:p>
            <w:pPr>
              <w:pStyle w:val="12"/>
            </w:pPr>
            <w:r>
              <w:t>其他城市基础设施配套费安排的支出</w:t>
            </w:r>
          </w:p>
        </w:tc>
        <w:tc>
          <w:tcPr>
            <w:tcW w:w="1134" w:type="dxa"/>
            <w:vAlign w:val="center"/>
          </w:tcPr>
          <w:p>
            <w:pPr>
              <w:pStyle w:val="13"/>
            </w:pPr>
            <w:r>
              <w:t>107.69</w:t>
            </w:r>
          </w:p>
        </w:tc>
        <w:tc>
          <w:tcPr>
            <w:tcW w:w="1134" w:type="dxa"/>
            <w:vAlign w:val="center"/>
          </w:tcPr>
          <w:p>
            <w:pPr>
              <w:pStyle w:val="13"/>
            </w:pPr>
            <w:r>
              <w:t>107.69</w:t>
            </w:r>
          </w:p>
        </w:tc>
        <w:tc>
          <w:tcPr>
            <w:tcW w:w="1134" w:type="dxa"/>
            <w:vAlign w:val="center"/>
          </w:tcPr>
          <w:p>
            <w:pPr>
              <w:pStyle w:val="13"/>
            </w:pPr>
            <w:r>
              <w:t>107.69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3"/>
            </w:pPr>
            <w:r>
              <w:t>3.84</w:t>
            </w:r>
          </w:p>
        </w:tc>
        <w:tc>
          <w:tcPr>
            <w:tcW w:w="1134" w:type="dxa"/>
            <w:vAlign w:val="center"/>
          </w:tcPr>
          <w:p>
            <w:pPr>
              <w:pStyle w:val="13"/>
            </w:pPr>
            <w:r>
              <w:t>3.84</w:t>
            </w:r>
          </w:p>
        </w:tc>
        <w:tc>
          <w:tcPr>
            <w:tcW w:w="1134" w:type="dxa"/>
            <w:vAlign w:val="center"/>
          </w:tcPr>
          <w:p>
            <w:pPr>
              <w:pStyle w:val="13"/>
            </w:pPr>
            <w:r>
              <w:t>3.84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3"/>
            </w:pPr>
            <w:r>
              <w:t>3.84</w:t>
            </w:r>
          </w:p>
        </w:tc>
        <w:tc>
          <w:tcPr>
            <w:tcW w:w="1134" w:type="dxa"/>
            <w:vAlign w:val="center"/>
          </w:tcPr>
          <w:p>
            <w:pPr>
              <w:pStyle w:val="13"/>
            </w:pPr>
            <w:r>
              <w:t>3.84</w:t>
            </w:r>
          </w:p>
        </w:tc>
        <w:tc>
          <w:tcPr>
            <w:tcW w:w="1134" w:type="dxa"/>
            <w:vAlign w:val="center"/>
          </w:tcPr>
          <w:p>
            <w:pPr>
              <w:pStyle w:val="13"/>
            </w:pPr>
            <w:r>
              <w:t>3.84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3"/>
            </w:pPr>
            <w:r>
              <w:t>3.84</w:t>
            </w:r>
          </w:p>
        </w:tc>
        <w:tc>
          <w:tcPr>
            <w:tcW w:w="1134" w:type="dxa"/>
            <w:vAlign w:val="center"/>
          </w:tcPr>
          <w:p>
            <w:pPr>
              <w:pStyle w:val="13"/>
            </w:pPr>
            <w:r>
              <w:t>3.84</w:t>
            </w:r>
          </w:p>
        </w:tc>
        <w:tc>
          <w:tcPr>
            <w:tcW w:w="1134" w:type="dxa"/>
            <w:vAlign w:val="center"/>
          </w:tcPr>
          <w:p>
            <w:pPr>
              <w:pStyle w:val="13"/>
            </w:pPr>
            <w:r>
              <w:t>3.84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9441.49</w:t>
            </w:r>
          </w:p>
        </w:tc>
        <w:tc>
          <w:tcPr>
            <w:tcW w:w="1361" w:type="dxa"/>
            <w:vAlign w:val="center"/>
          </w:tcPr>
          <w:p>
            <w:pPr>
              <w:pStyle w:val="15"/>
            </w:pPr>
            <w:r>
              <w:t>67.13</w:t>
            </w:r>
          </w:p>
        </w:tc>
        <w:tc>
          <w:tcPr>
            <w:tcW w:w="1361" w:type="dxa"/>
            <w:vAlign w:val="center"/>
          </w:tcPr>
          <w:p>
            <w:pPr>
              <w:pStyle w:val="15"/>
            </w:pPr>
            <w:r>
              <w:t>9374.36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3"/>
            </w:pPr>
            <w:r>
              <w:t>8.53</w:t>
            </w:r>
          </w:p>
        </w:tc>
        <w:tc>
          <w:tcPr>
            <w:tcW w:w="1361" w:type="dxa"/>
            <w:vAlign w:val="center"/>
          </w:tcPr>
          <w:p>
            <w:pPr>
              <w:pStyle w:val="13"/>
            </w:pPr>
            <w:r>
              <w:t>8.53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3"/>
            </w:pPr>
            <w:r>
              <w:t>6.13</w:t>
            </w:r>
          </w:p>
        </w:tc>
        <w:tc>
          <w:tcPr>
            <w:tcW w:w="1361" w:type="dxa"/>
            <w:vAlign w:val="center"/>
          </w:tcPr>
          <w:p>
            <w:pPr>
              <w:pStyle w:val="13"/>
            </w:pPr>
            <w:r>
              <w:t>6.13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3"/>
            </w:pPr>
            <w:r>
              <w:t>6.13</w:t>
            </w:r>
          </w:p>
        </w:tc>
        <w:tc>
          <w:tcPr>
            <w:tcW w:w="1361" w:type="dxa"/>
            <w:vAlign w:val="center"/>
          </w:tcPr>
          <w:p>
            <w:pPr>
              <w:pStyle w:val="13"/>
            </w:pPr>
            <w:r>
              <w:t>6.13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3"/>
            </w:pPr>
            <w:r>
              <w:t>2.40</w:t>
            </w:r>
          </w:p>
        </w:tc>
        <w:tc>
          <w:tcPr>
            <w:tcW w:w="1361" w:type="dxa"/>
            <w:vAlign w:val="center"/>
          </w:tcPr>
          <w:p>
            <w:pPr>
              <w:pStyle w:val="13"/>
            </w:pPr>
            <w:r>
              <w:t>2.40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3"/>
            </w:pPr>
            <w:r>
              <w:t>2.40</w:t>
            </w:r>
          </w:p>
        </w:tc>
        <w:tc>
          <w:tcPr>
            <w:tcW w:w="1361" w:type="dxa"/>
            <w:vAlign w:val="center"/>
          </w:tcPr>
          <w:p>
            <w:pPr>
              <w:pStyle w:val="13"/>
            </w:pPr>
            <w:r>
              <w:t>2.40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3"/>
            </w:pPr>
            <w:r>
              <w:t>2.46</w:t>
            </w:r>
          </w:p>
        </w:tc>
        <w:tc>
          <w:tcPr>
            <w:tcW w:w="1361" w:type="dxa"/>
            <w:vAlign w:val="center"/>
          </w:tcPr>
          <w:p>
            <w:pPr>
              <w:pStyle w:val="13"/>
            </w:pPr>
            <w:r>
              <w:t>2.46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3"/>
            </w:pPr>
            <w:r>
              <w:t>2.46</w:t>
            </w:r>
          </w:p>
        </w:tc>
        <w:tc>
          <w:tcPr>
            <w:tcW w:w="1361" w:type="dxa"/>
            <w:vAlign w:val="center"/>
          </w:tcPr>
          <w:p>
            <w:pPr>
              <w:pStyle w:val="13"/>
            </w:pPr>
            <w:r>
              <w:t>2.46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3"/>
            </w:pPr>
            <w:r>
              <w:t>2.46</w:t>
            </w:r>
          </w:p>
        </w:tc>
        <w:tc>
          <w:tcPr>
            <w:tcW w:w="1361" w:type="dxa"/>
            <w:vAlign w:val="center"/>
          </w:tcPr>
          <w:p>
            <w:pPr>
              <w:pStyle w:val="13"/>
            </w:pPr>
            <w:r>
              <w:t>2.46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3"/>
            </w:pPr>
            <w:r>
              <w:t>9426.66</w:t>
            </w:r>
          </w:p>
        </w:tc>
        <w:tc>
          <w:tcPr>
            <w:tcW w:w="1361" w:type="dxa"/>
            <w:vAlign w:val="center"/>
          </w:tcPr>
          <w:p>
            <w:pPr>
              <w:pStyle w:val="13"/>
            </w:pPr>
            <w:r>
              <w:t>52.30</w:t>
            </w:r>
          </w:p>
        </w:tc>
        <w:tc>
          <w:tcPr>
            <w:tcW w:w="1361" w:type="dxa"/>
            <w:vAlign w:val="center"/>
          </w:tcPr>
          <w:p>
            <w:pPr>
              <w:pStyle w:val="13"/>
            </w:pPr>
            <w:r>
              <w:t>9374.36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3"/>
            </w:pPr>
            <w:r>
              <w:t>207.30</w:t>
            </w:r>
          </w:p>
        </w:tc>
        <w:tc>
          <w:tcPr>
            <w:tcW w:w="1361" w:type="dxa"/>
            <w:vAlign w:val="center"/>
          </w:tcPr>
          <w:p>
            <w:pPr>
              <w:pStyle w:val="13"/>
            </w:pPr>
            <w:r>
              <w:t>52.30</w:t>
            </w:r>
          </w:p>
        </w:tc>
        <w:tc>
          <w:tcPr>
            <w:tcW w:w="1361" w:type="dxa"/>
            <w:vAlign w:val="center"/>
          </w:tcPr>
          <w:p>
            <w:pPr>
              <w:pStyle w:val="13"/>
            </w:pPr>
            <w:r>
              <w:t>155.00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3"/>
            </w:pPr>
            <w:r>
              <w:t>52.30</w:t>
            </w:r>
          </w:p>
        </w:tc>
        <w:tc>
          <w:tcPr>
            <w:tcW w:w="1361" w:type="dxa"/>
            <w:vAlign w:val="center"/>
          </w:tcPr>
          <w:p>
            <w:pPr>
              <w:pStyle w:val="13"/>
            </w:pPr>
            <w:r>
              <w:t>52.30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3"/>
            </w:pPr>
            <w:r>
              <w:t>155.00</w:t>
            </w:r>
          </w:p>
        </w:tc>
        <w:tc>
          <w:tcPr>
            <w:tcW w:w="1361" w:type="dxa"/>
            <w:vAlign w:val="center"/>
          </w:tcPr>
          <w:p>
            <w:pPr>
              <w:pStyle w:val="13"/>
            </w:pPr>
          </w:p>
        </w:tc>
        <w:tc>
          <w:tcPr>
            <w:tcW w:w="1361" w:type="dxa"/>
            <w:vAlign w:val="center"/>
          </w:tcPr>
          <w:p>
            <w:pPr>
              <w:pStyle w:val="13"/>
            </w:pPr>
            <w:r>
              <w:t>155.00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3"/>
            </w:pPr>
            <w:r>
              <w:t>416.48</w:t>
            </w:r>
          </w:p>
        </w:tc>
        <w:tc>
          <w:tcPr>
            <w:tcW w:w="1361" w:type="dxa"/>
            <w:vAlign w:val="center"/>
          </w:tcPr>
          <w:p>
            <w:pPr>
              <w:pStyle w:val="13"/>
            </w:pPr>
          </w:p>
        </w:tc>
        <w:tc>
          <w:tcPr>
            <w:tcW w:w="1361" w:type="dxa"/>
            <w:vAlign w:val="center"/>
          </w:tcPr>
          <w:p>
            <w:pPr>
              <w:pStyle w:val="13"/>
            </w:pPr>
            <w:r>
              <w:t>416.48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2"/>
            </w:pPr>
            <w:r>
              <w:t>2120303</w:t>
            </w:r>
          </w:p>
        </w:tc>
        <w:tc>
          <w:tcPr>
            <w:tcW w:w="4535" w:type="dxa"/>
            <w:vAlign w:val="center"/>
          </w:tcPr>
          <w:p>
            <w:pPr>
              <w:pStyle w:val="12"/>
            </w:pPr>
            <w:r>
              <w:t>小城镇基础设施建设</w:t>
            </w:r>
          </w:p>
        </w:tc>
        <w:tc>
          <w:tcPr>
            <w:tcW w:w="1361" w:type="dxa"/>
            <w:vAlign w:val="center"/>
          </w:tcPr>
          <w:p>
            <w:pPr>
              <w:pStyle w:val="13"/>
            </w:pPr>
            <w:r>
              <w:t>163.80</w:t>
            </w:r>
          </w:p>
        </w:tc>
        <w:tc>
          <w:tcPr>
            <w:tcW w:w="1361" w:type="dxa"/>
            <w:vAlign w:val="center"/>
          </w:tcPr>
          <w:p>
            <w:pPr>
              <w:pStyle w:val="13"/>
            </w:pPr>
          </w:p>
        </w:tc>
        <w:tc>
          <w:tcPr>
            <w:tcW w:w="1361" w:type="dxa"/>
            <w:vAlign w:val="center"/>
          </w:tcPr>
          <w:p>
            <w:pPr>
              <w:pStyle w:val="13"/>
            </w:pPr>
            <w:r>
              <w:t>163.80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3"/>
            </w:pPr>
            <w:r>
              <w:t>252.68</w:t>
            </w:r>
          </w:p>
        </w:tc>
        <w:tc>
          <w:tcPr>
            <w:tcW w:w="1361" w:type="dxa"/>
            <w:vAlign w:val="center"/>
          </w:tcPr>
          <w:p>
            <w:pPr>
              <w:pStyle w:val="13"/>
            </w:pPr>
          </w:p>
        </w:tc>
        <w:tc>
          <w:tcPr>
            <w:tcW w:w="1361" w:type="dxa"/>
            <w:vAlign w:val="center"/>
          </w:tcPr>
          <w:p>
            <w:pPr>
              <w:pStyle w:val="13"/>
            </w:pPr>
            <w:r>
              <w:t>252.68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3"/>
            </w:pPr>
            <w:r>
              <w:t>1410.30</w:t>
            </w:r>
          </w:p>
        </w:tc>
        <w:tc>
          <w:tcPr>
            <w:tcW w:w="1361" w:type="dxa"/>
            <w:vAlign w:val="center"/>
          </w:tcPr>
          <w:p>
            <w:pPr>
              <w:pStyle w:val="13"/>
            </w:pPr>
          </w:p>
        </w:tc>
        <w:tc>
          <w:tcPr>
            <w:tcW w:w="1361" w:type="dxa"/>
            <w:vAlign w:val="center"/>
          </w:tcPr>
          <w:p>
            <w:pPr>
              <w:pStyle w:val="13"/>
            </w:pPr>
            <w:r>
              <w:t>1410.30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3"/>
            </w:pPr>
            <w:r>
              <w:t>1410.30</w:t>
            </w:r>
          </w:p>
        </w:tc>
        <w:tc>
          <w:tcPr>
            <w:tcW w:w="1361" w:type="dxa"/>
            <w:vAlign w:val="center"/>
          </w:tcPr>
          <w:p>
            <w:pPr>
              <w:pStyle w:val="13"/>
            </w:pPr>
          </w:p>
        </w:tc>
        <w:tc>
          <w:tcPr>
            <w:tcW w:w="1361" w:type="dxa"/>
            <w:vAlign w:val="center"/>
          </w:tcPr>
          <w:p>
            <w:pPr>
              <w:pStyle w:val="13"/>
            </w:pPr>
            <w:r>
              <w:t>1410.30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r>
              <w:t>6000.00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2"/>
            </w:pPr>
            <w:r>
              <w:t>2120803</w:t>
            </w:r>
          </w:p>
        </w:tc>
        <w:tc>
          <w:tcPr>
            <w:tcW w:w="4535" w:type="dxa"/>
            <w:vAlign w:val="center"/>
          </w:tcPr>
          <w:p>
            <w:pPr>
              <w:pStyle w:val="12"/>
            </w:pPr>
            <w:r>
              <w:t>城市建设支出</w:t>
            </w:r>
          </w:p>
        </w:tc>
        <w:tc>
          <w:tcPr>
            <w:tcW w:w="1361" w:type="dxa"/>
            <w:vAlign w:val="center"/>
          </w:tcPr>
          <w:p>
            <w:pPr>
              <w:pStyle w:val="13"/>
            </w:pPr>
            <w:r>
              <w:t>4200.00</w:t>
            </w:r>
          </w:p>
        </w:tc>
        <w:tc>
          <w:tcPr>
            <w:tcW w:w="1361" w:type="dxa"/>
            <w:vAlign w:val="center"/>
          </w:tcPr>
          <w:p>
            <w:pPr>
              <w:pStyle w:val="13"/>
            </w:pPr>
          </w:p>
        </w:tc>
        <w:tc>
          <w:tcPr>
            <w:tcW w:w="1361" w:type="dxa"/>
            <w:vAlign w:val="center"/>
          </w:tcPr>
          <w:p>
            <w:pPr>
              <w:pStyle w:val="13"/>
            </w:pPr>
            <w:r>
              <w:t>4200.00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3"/>
            </w:pPr>
            <w:r>
              <w:t>1800.00</w:t>
            </w:r>
          </w:p>
        </w:tc>
        <w:tc>
          <w:tcPr>
            <w:tcW w:w="1361" w:type="dxa"/>
            <w:vAlign w:val="center"/>
          </w:tcPr>
          <w:p>
            <w:pPr>
              <w:pStyle w:val="13"/>
            </w:pPr>
          </w:p>
        </w:tc>
        <w:tc>
          <w:tcPr>
            <w:tcW w:w="1361" w:type="dxa"/>
            <w:vAlign w:val="center"/>
          </w:tcPr>
          <w:p>
            <w:pPr>
              <w:pStyle w:val="13"/>
            </w:pPr>
            <w:r>
              <w:t>1800.00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2"/>
            </w:pPr>
            <w:r>
              <w:t>21213</w:t>
            </w:r>
          </w:p>
        </w:tc>
        <w:tc>
          <w:tcPr>
            <w:tcW w:w="4535" w:type="dxa"/>
            <w:vAlign w:val="center"/>
          </w:tcPr>
          <w:p>
            <w:pPr>
              <w:pStyle w:val="12"/>
            </w:pPr>
            <w:r>
              <w:t>城市基础设施配套费安排的支出</w:t>
            </w:r>
          </w:p>
        </w:tc>
        <w:tc>
          <w:tcPr>
            <w:tcW w:w="1361" w:type="dxa"/>
            <w:vAlign w:val="center"/>
          </w:tcPr>
          <w:p>
            <w:pPr>
              <w:pStyle w:val="13"/>
            </w:pPr>
            <w:r>
              <w:t>1392.58</w:t>
            </w:r>
          </w:p>
        </w:tc>
        <w:tc>
          <w:tcPr>
            <w:tcW w:w="1361" w:type="dxa"/>
            <w:vAlign w:val="center"/>
          </w:tcPr>
          <w:p>
            <w:pPr>
              <w:pStyle w:val="13"/>
            </w:pPr>
          </w:p>
        </w:tc>
        <w:tc>
          <w:tcPr>
            <w:tcW w:w="1361" w:type="dxa"/>
            <w:vAlign w:val="center"/>
          </w:tcPr>
          <w:p>
            <w:pPr>
              <w:pStyle w:val="13"/>
            </w:pPr>
            <w:r>
              <w:t>1392.58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2"/>
            </w:pPr>
            <w:r>
              <w:t>2121302</w:t>
            </w:r>
          </w:p>
        </w:tc>
        <w:tc>
          <w:tcPr>
            <w:tcW w:w="4535" w:type="dxa"/>
            <w:vAlign w:val="center"/>
          </w:tcPr>
          <w:p>
            <w:pPr>
              <w:pStyle w:val="12"/>
            </w:pPr>
            <w:r>
              <w:t>城市环境卫生</w:t>
            </w:r>
          </w:p>
        </w:tc>
        <w:tc>
          <w:tcPr>
            <w:tcW w:w="1361" w:type="dxa"/>
            <w:vAlign w:val="center"/>
          </w:tcPr>
          <w:p>
            <w:pPr>
              <w:pStyle w:val="13"/>
            </w:pPr>
            <w:r>
              <w:t>1284.89</w:t>
            </w:r>
          </w:p>
        </w:tc>
        <w:tc>
          <w:tcPr>
            <w:tcW w:w="1361" w:type="dxa"/>
            <w:vAlign w:val="center"/>
          </w:tcPr>
          <w:p>
            <w:pPr>
              <w:pStyle w:val="13"/>
            </w:pPr>
          </w:p>
        </w:tc>
        <w:tc>
          <w:tcPr>
            <w:tcW w:w="1361" w:type="dxa"/>
            <w:vAlign w:val="center"/>
          </w:tcPr>
          <w:p>
            <w:pPr>
              <w:pStyle w:val="13"/>
            </w:pPr>
            <w:r>
              <w:t>1284.89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2"/>
            </w:pPr>
            <w:r>
              <w:t>2121399</w:t>
            </w:r>
          </w:p>
        </w:tc>
        <w:tc>
          <w:tcPr>
            <w:tcW w:w="4535" w:type="dxa"/>
            <w:vAlign w:val="center"/>
          </w:tcPr>
          <w:p>
            <w:pPr>
              <w:pStyle w:val="12"/>
            </w:pPr>
            <w:r>
              <w:t>其他城市基础设施配套费安排的支出</w:t>
            </w:r>
          </w:p>
        </w:tc>
        <w:tc>
          <w:tcPr>
            <w:tcW w:w="1361" w:type="dxa"/>
            <w:vAlign w:val="center"/>
          </w:tcPr>
          <w:p>
            <w:pPr>
              <w:pStyle w:val="13"/>
            </w:pPr>
            <w:r>
              <w:t>107.69</w:t>
            </w:r>
          </w:p>
        </w:tc>
        <w:tc>
          <w:tcPr>
            <w:tcW w:w="1361" w:type="dxa"/>
            <w:vAlign w:val="center"/>
          </w:tcPr>
          <w:p>
            <w:pPr>
              <w:pStyle w:val="13"/>
            </w:pPr>
          </w:p>
        </w:tc>
        <w:tc>
          <w:tcPr>
            <w:tcW w:w="1361" w:type="dxa"/>
            <w:vAlign w:val="center"/>
          </w:tcPr>
          <w:p>
            <w:pPr>
              <w:pStyle w:val="13"/>
            </w:pPr>
            <w:r>
              <w:t>107.69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3"/>
            </w:pPr>
            <w:r>
              <w:t>3.84</w:t>
            </w:r>
          </w:p>
        </w:tc>
        <w:tc>
          <w:tcPr>
            <w:tcW w:w="1361" w:type="dxa"/>
            <w:vAlign w:val="center"/>
          </w:tcPr>
          <w:p>
            <w:pPr>
              <w:pStyle w:val="13"/>
            </w:pPr>
            <w:r>
              <w:t>3.84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3"/>
            </w:pPr>
            <w:r>
              <w:t>3.84</w:t>
            </w:r>
          </w:p>
        </w:tc>
        <w:tc>
          <w:tcPr>
            <w:tcW w:w="1361" w:type="dxa"/>
            <w:vAlign w:val="center"/>
          </w:tcPr>
          <w:p>
            <w:pPr>
              <w:pStyle w:val="13"/>
            </w:pPr>
            <w:r>
              <w:t>3.84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3"/>
            </w:pPr>
            <w:r>
              <w:t>3.84</w:t>
            </w:r>
          </w:p>
        </w:tc>
        <w:tc>
          <w:tcPr>
            <w:tcW w:w="1361" w:type="dxa"/>
            <w:vAlign w:val="center"/>
          </w:tcPr>
          <w:p>
            <w:pPr>
              <w:pStyle w:val="13"/>
            </w:pPr>
            <w:r>
              <w:t>3.84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1897.91</w:t>
            </w:r>
          </w:p>
        </w:tc>
        <w:tc>
          <w:tcPr>
            <w:tcW w:w="3402" w:type="dxa"/>
            <w:vAlign w:val="center"/>
          </w:tcPr>
          <w:p>
            <w:pPr>
              <w:pStyle w:val="12"/>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r>
              <w:t>7392.58</w:t>
            </w: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8.53</w:t>
            </w:r>
          </w:p>
        </w:tc>
        <w:tc>
          <w:tcPr>
            <w:tcW w:w="1474" w:type="dxa"/>
            <w:vAlign w:val="center"/>
          </w:tcPr>
          <w:p>
            <w:pPr>
              <w:pStyle w:val="13"/>
            </w:pPr>
            <w:r>
              <w:t>8.53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2.46</w:t>
            </w:r>
          </w:p>
        </w:tc>
        <w:tc>
          <w:tcPr>
            <w:tcW w:w="1474" w:type="dxa"/>
            <w:vAlign w:val="center"/>
          </w:tcPr>
          <w:p>
            <w:pPr>
              <w:pStyle w:val="13"/>
            </w:pPr>
            <w:r>
              <w:t>2.46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r>
              <w:t>9426.66</w:t>
            </w:r>
          </w:p>
        </w:tc>
        <w:tc>
          <w:tcPr>
            <w:tcW w:w="1474" w:type="dxa"/>
            <w:vAlign w:val="center"/>
          </w:tcPr>
          <w:p>
            <w:pPr>
              <w:pStyle w:val="13"/>
            </w:pPr>
            <w:r>
              <w:t>2034.08</w:t>
            </w:r>
          </w:p>
        </w:tc>
        <w:tc>
          <w:tcPr>
            <w:tcW w:w="1474" w:type="dxa"/>
            <w:vAlign w:val="center"/>
          </w:tcPr>
          <w:p>
            <w:pPr>
              <w:pStyle w:val="13"/>
            </w:pPr>
            <w:r>
              <w:t>7392.58</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3.84</w:t>
            </w:r>
          </w:p>
        </w:tc>
        <w:tc>
          <w:tcPr>
            <w:tcW w:w="1474" w:type="dxa"/>
            <w:vAlign w:val="center"/>
          </w:tcPr>
          <w:p>
            <w:pPr>
              <w:pStyle w:val="13"/>
            </w:pPr>
            <w:r>
              <w:t>3.84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9290.49</w:t>
            </w:r>
          </w:p>
        </w:tc>
        <w:tc>
          <w:tcPr>
            <w:tcW w:w="3402" w:type="dxa"/>
            <w:vAlign w:val="center"/>
          </w:tcPr>
          <w:p>
            <w:pPr>
              <w:pStyle w:val="14"/>
            </w:pPr>
            <w:r>
              <w:t>本年支出合计</w:t>
            </w:r>
          </w:p>
        </w:tc>
        <w:tc>
          <w:tcPr>
            <w:tcW w:w="1474" w:type="dxa"/>
            <w:vAlign w:val="center"/>
          </w:tcPr>
          <w:p>
            <w:pPr>
              <w:pStyle w:val="15"/>
            </w:pPr>
            <w:r>
              <w:t>9441.49</w:t>
            </w:r>
          </w:p>
        </w:tc>
        <w:tc>
          <w:tcPr>
            <w:tcW w:w="1474" w:type="dxa"/>
            <w:vAlign w:val="center"/>
          </w:tcPr>
          <w:p>
            <w:pPr>
              <w:pStyle w:val="15"/>
            </w:pPr>
            <w:r>
              <w:t>2048.91</w:t>
            </w:r>
          </w:p>
        </w:tc>
        <w:tc>
          <w:tcPr>
            <w:tcW w:w="1474" w:type="dxa"/>
            <w:vAlign w:val="center"/>
          </w:tcPr>
          <w:p>
            <w:pPr>
              <w:pStyle w:val="15"/>
            </w:pPr>
            <w:r>
              <w:t>7392.58</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r>
              <w:t>151.00</w:t>
            </w: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r>
              <w:t>151.00</w:t>
            </w: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9441.49</w:t>
            </w:r>
          </w:p>
        </w:tc>
        <w:tc>
          <w:tcPr>
            <w:tcW w:w="3402" w:type="dxa"/>
            <w:vAlign w:val="center"/>
          </w:tcPr>
          <w:p>
            <w:pPr>
              <w:pStyle w:val="14"/>
            </w:pPr>
            <w:r>
              <w:t>支出总计</w:t>
            </w:r>
          </w:p>
        </w:tc>
        <w:tc>
          <w:tcPr>
            <w:tcW w:w="1474" w:type="dxa"/>
            <w:vAlign w:val="center"/>
          </w:tcPr>
          <w:p>
            <w:pPr>
              <w:pStyle w:val="15"/>
            </w:pPr>
            <w:r>
              <w:t>9441.49</w:t>
            </w:r>
          </w:p>
        </w:tc>
        <w:tc>
          <w:tcPr>
            <w:tcW w:w="1474" w:type="dxa"/>
            <w:vAlign w:val="center"/>
          </w:tcPr>
          <w:p>
            <w:pPr>
              <w:pStyle w:val="15"/>
            </w:pPr>
            <w:r>
              <w:t>2048.91</w:t>
            </w:r>
          </w:p>
        </w:tc>
        <w:tc>
          <w:tcPr>
            <w:tcW w:w="1474" w:type="dxa"/>
            <w:vAlign w:val="center"/>
          </w:tcPr>
          <w:p>
            <w:pPr>
              <w:pStyle w:val="15"/>
            </w:pPr>
            <w:r>
              <w:t>7392.58</w:t>
            </w:r>
          </w:p>
        </w:tc>
        <w:tc>
          <w:tcPr>
            <w:tcW w:w="147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2048.91</w:t>
            </w:r>
          </w:p>
        </w:tc>
        <w:tc>
          <w:tcPr>
            <w:tcW w:w="2551" w:type="dxa"/>
            <w:vAlign w:val="center"/>
          </w:tcPr>
          <w:p>
            <w:pPr>
              <w:pStyle w:val="15"/>
            </w:pPr>
            <w:r>
              <w:t>67.13</w:t>
            </w:r>
          </w:p>
        </w:tc>
        <w:tc>
          <w:tcPr>
            <w:tcW w:w="2551" w:type="dxa"/>
            <w:vAlign w:val="center"/>
          </w:tcPr>
          <w:p>
            <w:pPr>
              <w:pStyle w:val="15"/>
            </w:pPr>
            <w:r>
              <w:t>1981.78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8.53</w:t>
            </w:r>
          </w:p>
        </w:tc>
        <w:tc>
          <w:tcPr>
            <w:tcW w:w="2551" w:type="dxa"/>
            <w:vAlign w:val="center"/>
          </w:tcPr>
          <w:p>
            <w:pPr>
              <w:pStyle w:val="13"/>
            </w:pPr>
            <w:r>
              <w:t>8.53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6.13</w:t>
            </w:r>
          </w:p>
        </w:tc>
        <w:tc>
          <w:tcPr>
            <w:tcW w:w="2551" w:type="dxa"/>
            <w:vAlign w:val="center"/>
          </w:tcPr>
          <w:p>
            <w:pPr>
              <w:pStyle w:val="13"/>
            </w:pPr>
            <w:r>
              <w:t>6.13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6.13</w:t>
            </w:r>
          </w:p>
        </w:tc>
        <w:tc>
          <w:tcPr>
            <w:tcW w:w="2551" w:type="dxa"/>
            <w:vAlign w:val="center"/>
          </w:tcPr>
          <w:p>
            <w:pPr>
              <w:pStyle w:val="13"/>
            </w:pPr>
            <w:r>
              <w:t>6.13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5</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3"/>
            </w:pPr>
            <w:r>
              <w:t>2.40</w:t>
            </w:r>
          </w:p>
        </w:tc>
        <w:tc>
          <w:tcPr>
            <w:tcW w:w="2551" w:type="dxa"/>
            <w:vAlign w:val="center"/>
          </w:tcPr>
          <w:p>
            <w:pPr>
              <w:pStyle w:val="13"/>
            </w:pPr>
            <w:r>
              <w:t>2.40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6</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3"/>
            </w:pPr>
            <w:r>
              <w:t>2.40</w:t>
            </w:r>
          </w:p>
        </w:tc>
        <w:tc>
          <w:tcPr>
            <w:tcW w:w="2551" w:type="dxa"/>
            <w:vAlign w:val="center"/>
          </w:tcPr>
          <w:p>
            <w:pPr>
              <w:pStyle w:val="13"/>
            </w:pPr>
            <w:r>
              <w:t>2.40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2.46</w:t>
            </w:r>
          </w:p>
        </w:tc>
        <w:tc>
          <w:tcPr>
            <w:tcW w:w="2551" w:type="dxa"/>
            <w:vAlign w:val="center"/>
          </w:tcPr>
          <w:p>
            <w:pPr>
              <w:pStyle w:val="13"/>
            </w:pPr>
            <w:r>
              <w:t>2.46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2.46</w:t>
            </w:r>
          </w:p>
        </w:tc>
        <w:tc>
          <w:tcPr>
            <w:tcW w:w="2551" w:type="dxa"/>
            <w:vAlign w:val="center"/>
          </w:tcPr>
          <w:p>
            <w:pPr>
              <w:pStyle w:val="13"/>
            </w:pPr>
            <w:r>
              <w:t>2.46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3"/>
            </w:pPr>
            <w:r>
              <w:t>2.46</w:t>
            </w:r>
          </w:p>
        </w:tc>
        <w:tc>
          <w:tcPr>
            <w:tcW w:w="2551" w:type="dxa"/>
            <w:vAlign w:val="center"/>
          </w:tcPr>
          <w:p>
            <w:pPr>
              <w:pStyle w:val="13"/>
            </w:pPr>
            <w:r>
              <w:t>2.46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10</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3"/>
            </w:pPr>
            <w:r>
              <w:t>2034.08</w:t>
            </w:r>
          </w:p>
        </w:tc>
        <w:tc>
          <w:tcPr>
            <w:tcW w:w="2551" w:type="dxa"/>
            <w:vAlign w:val="center"/>
          </w:tcPr>
          <w:p>
            <w:pPr>
              <w:pStyle w:val="13"/>
            </w:pPr>
            <w:r>
              <w:t>52.30</w:t>
            </w:r>
          </w:p>
        </w:tc>
        <w:tc>
          <w:tcPr>
            <w:tcW w:w="2551" w:type="dxa"/>
            <w:vAlign w:val="center"/>
          </w:tcPr>
          <w:p>
            <w:pPr>
              <w:pStyle w:val="13"/>
            </w:pPr>
            <w:r>
              <w:t>1981.78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11</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3"/>
            </w:pPr>
            <w:r>
              <w:t>207.30</w:t>
            </w:r>
          </w:p>
        </w:tc>
        <w:tc>
          <w:tcPr>
            <w:tcW w:w="2551" w:type="dxa"/>
            <w:vAlign w:val="center"/>
          </w:tcPr>
          <w:p>
            <w:pPr>
              <w:pStyle w:val="13"/>
            </w:pPr>
            <w:r>
              <w:t>52.30</w:t>
            </w:r>
          </w:p>
        </w:tc>
        <w:tc>
          <w:tcPr>
            <w:tcW w:w="2551" w:type="dxa"/>
            <w:vAlign w:val="center"/>
          </w:tcPr>
          <w:p>
            <w:pPr>
              <w:pStyle w:val="13"/>
            </w:pPr>
            <w:r>
              <w:t>155.00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12</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3"/>
            </w:pPr>
            <w:r>
              <w:t>52.30</w:t>
            </w:r>
          </w:p>
        </w:tc>
        <w:tc>
          <w:tcPr>
            <w:tcW w:w="2551" w:type="dxa"/>
            <w:vAlign w:val="center"/>
          </w:tcPr>
          <w:p>
            <w:pPr>
              <w:pStyle w:val="13"/>
            </w:pPr>
            <w:r>
              <w:t>52.30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13</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3"/>
            </w:pPr>
            <w:r>
              <w:t>155.00</w:t>
            </w:r>
          </w:p>
        </w:tc>
        <w:tc>
          <w:tcPr>
            <w:tcW w:w="2551" w:type="dxa"/>
            <w:vAlign w:val="center"/>
          </w:tcPr>
          <w:p>
            <w:pPr>
              <w:pStyle w:val="13"/>
            </w:pPr>
          </w:p>
        </w:tc>
        <w:tc>
          <w:tcPr>
            <w:tcW w:w="2551" w:type="dxa"/>
            <w:vAlign w:val="center"/>
          </w:tcPr>
          <w:p>
            <w:pPr>
              <w:pStyle w:val="13"/>
            </w:pPr>
            <w:r>
              <w:t>155.00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14</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3"/>
            </w:pPr>
            <w:r>
              <w:t>416.48</w:t>
            </w:r>
          </w:p>
        </w:tc>
        <w:tc>
          <w:tcPr>
            <w:tcW w:w="2551" w:type="dxa"/>
            <w:vAlign w:val="center"/>
          </w:tcPr>
          <w:p>
            <w:pPr>
              <w:pStyle w:val="13"/>
            </w:pPr>
          </w:p>
        </w:tc>
        <w:tc>
          <w:tcPr>
            <w:tcW w:w="2551" w:type="dxa"/>
            <w:vAlign w:val="center"/>
          </w:tcPr>
          <w:p>
            <w:pPr>
              <w:pStyle w:val="13"/>
            </w:pPr>
            <w:r>
              <w:t>416.48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15</w:t>
            </w:r>
          </w:p>
        </w:tc>
        <w:tc>
          <w:tcPr>
            <w:tcW w:w="1191" w:type="dxa"/>
            <w:vAlign w:val="center"/>
          </w:tcPr>
          <w:p>
            <w:pPr>
              <w:pStyle w:val="12"/>
            </w:pPr>
            <w:r>
              <w:t>2120303</w:t>
            </w:r>
          </w:p>
        </w:tc>
        <w:tc>
          <w:tcPr>
            <w:tcW w:w="4535" w:type="dxa"/>
            <w:vAlign w:val="center"/>
          </w:tcPr>
          <w:p>
            <w:pPr>
              <w:pStyle w:val="12"/>
            </w:pPr>
            <w:r>
              <w:t>小城镇基础设施建设</w:t>
            </w:r>
          </w:p>
        </w:tc>
        <w:tc>
          <w:tcPr>
            <w:tcW w:w="2551" w:type="dxa"/>
            <w:vAlign w:val="center"/>
          </w:tcPr>
          <w:p>
            <w:pPr>
              <w:pStyle w:val="13"/>
            </w:pPr>
            <w:r>
              <w:t>163.80</w:t>
            </w:r>
          </w:p>
        </w:tc>
        <w:tc>
          <w:tcPr>
            <w:tcW w:w="2551" w:type="dxa"/>
            <w:vAlign w:val="center"/>
          </w:tcPr>
          <w:p>
            <w:pPr>
              <w:pStyle w:val="13"/>
            </w:pPr>
          </w:p>
        </w:tc>
        <w:tc>
          <w:tcPr>
            <w:tcW w:w="2551" w:type="dxa"/>
            <w:vAlign w:val="center"/>
          </w:tcPr>
          <w:p>
            <w:pPr>
              <w:pStyle w:val="13"/>
            </w:pPr>
            <w:r>
              <w:t>163.80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16</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3"/>
            </w:pPr>
            <w:r>
              <w:t>252.68</w:t>
            </w:r>
          </w:p>
        </w:tc>
        <w:tc>
          <w:tcPr>
            <w:tcW w:w="2551" w:type="dxa"/>
            <w:vAlign w:val="center"/>
          </w:tcPr>
          <w:p>
            <w:pPr>
              <w:pStyle w:val="13"/>
            </w:pPr>
          </w:p>
        </w:tc>
        <w:tc>
          <w:tcPr>
            <w:tcW w:w="2551" w:type="dxa"/>
            <w:vAlign w:val="center"/>
          </w:tcPr>
          <w:p>
            <w:pPr>
              <w:pStyle w:val="13"/>
            </w:pPr>
            <w:r>
              <w:t>252.68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17</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3"/>
            </w:pPr>
            <w:r>
              <w:t>1410.30</w:t>
            </w:r>
          </w:p>
        </w:tc>
        <w:tc>
          <w:tcPr>
            <w:tcW w:w="2551" w:type="dxa"/>
            <w:vAlign w:val="center"/>
          </w:tcPr>
          <w:p>
            <w:pPr>
              <w:pStyle w:val="13"/>
            </w:pPr>
          </w:p>
        </w:tc>
        <w:tc>
          <w:tcPr>
            <w:tcW w:w="2551" w:type="dxa"/>
            <w:vAlign w:val="center"/>
          </w:tcPr>
          <w:p>
            <w:pPr>
              <w:pStyle w:val="13"/>
            </w:pPr>
            <w:r>
              <w:t>1410.30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18</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3"/>
            </w:pPr>
            <w:r>
              <w:t>1410.30</w:t>
            </w:r>
          </w:p>
        </w:tc>
        <w:tc>
          <w:tcPr>
            <w:tcW w:w="2551" w:type="dxa"/>
            <w:vAlign w:val="center"/>
          </w:tcPr>
          <w:p>
            <w:pPr>
              <w:pStyle w:val="13"/>
            </w:pPr>
          </w:p>
        </w:tc>
        <w:tc>
          <w:tcPr>
            <w:tcW w:w="2551" w:type="dxa"/>
            <w:vAlign w:val="center"/>
          </w:tcPr>
          <w:p>
            <w:pPr>
              <w:pStyle w:val="13"/>
            </w:pPr>
            <w:r>
              <w:t>1410.30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3.84</w:t>
            </w:r>
          </w:p>
        </w:tc>
        <w:tc>
          <w:tcPr>
            <w:tcW w:w="2551" w:type="dxa"/>
            <w:vAlign w:val="center"/>
          </w:tcPr>
          <w:p>
            <w:pPr>
              <w:pStyle w:val="13"/>
            </w:pPr>
            <w:r>
              <w:t>3.84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3.84</w:t>
            </w:r>
          </w:p>
        </w:tc>
        <w:tc>
          <w:tcPr>
            <w:tcW w:w="2551" w:type="dxa"/>
            <w:vAlign w:val="center"/>
          </w:tcPr>
          <w:p>
            <w:pPr>
              <w:pStyle w:val="13"/>
            </w:pPr>
            <w:r>
              <w:t>3.84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850" w:type="dxa"/>
            <w:vAlign w:val="center"/>
          </w:tcPr>
          <w:p>
            <w:pPr>
              <w:pStyle w:val="11"/>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3.84</w:t>
            </w:r>
          </w:p>
        </w:tc>
        <w:tc>
          <w:tcPr>
            <w:tcW w:w="2551" w:type="dxa"/>
            <w:vAlign w:val="center"/>
          </w:tcPr>
          <w:p>
            <w:pPr>
              <w:pStyle w:val="13"/>
            </w:pPr>
            <w:r>
              <w:t>3.84</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67.13</w:t>
            </w:r>
          </w:p>
        </w:tc>
        <w:tc>
          <w:tcPr>
            <w:tcW w:w="2551" w:type="dxa"/>
            <w:vAlign w:val="center"/>
          </w:tcPr>
          <w:p>
            <w:pPr>
              <w:pStyle w:val="15"/>
            </w:pPr>
            <w:r>
              <w:t>56.63</w:t>
            </w:r>
          </w:p>
        </w:tc>
        <w:tc>
          <w:tcPr>
            <w:tcW w:w="2551" w:type="dxa"/>
            <w:vAlign w:val="center"/>
          </w:tcPr>
          <w:p>
            <w:pPr>
              <w:pStyle w:val="15"/>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54.15</w:t>
            </w:r>
          </w:p>
        </w:tc>
        <w:tc>
          <w:tcPr>
            <w:tcW w:w="2551" w:type="dxa"/>
            <w:vAlign w:val="center"/>
          </w:tcPr>
          <w:p>
            <w:pPr>
              <w:pStyle w:val="13"/>
            </w:pPr>
            <w:r>
              <w:t>54.15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22.80</w:t>
            </w:r>
          </w:p>
        </w:tc>
        <w:tc>
          <w:tcPr>
            <w:tcW w:w="2551" w:type="dxa"/>
            <w:vAlign w:val="center"/>
          </w:tcPr>
          <w:p>
            <w:pPr>
              <w:pStyle w:val="13"/>
            </w:pPr>
            <w:r>
              <w:t>22.80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16.67</w:t>
            </w:r>
          </w:p>
        </w:tc>
        <w:tc>
          <w:tcPr>
            <w:tcW w:w="2551" w:type="dxa"/>
            <w:vAlign w:val="center"/>
          </w:tcPr>
          <w:p>
            <w:pPr>
              <w:pStyle w:val="13"/>
            </w:pPr>
            <w:r>
              <w:t>16.67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1.90</w:t>
            </w:r>
          </w:p>
        </w:tc>
        <w:tc>
          <w:tcPr>
            <w:tcW w:w="2551" w:type="dxa"/>
            <w:vAlign w:val="center"/>
          </w:tcPr>
          <w:p>
            <w:pPr>
              <w:pStyle w:val="13"/>
            </w:pPr>
            <w:r>
              <w:t>1.90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6.13</w:t>
            </w:r>
          </w:p>
        </w:tc>
        <w:tc>
          <w:tcPr>
            <w:tcW w:w="2551" w:type="dxa"/>
            <w:vAlign w:val="center"/>
          </w:tcPr>
          <w:p>
            <w:pPr>
              <w:pStyle w:val="13"/>
            </w:pPr>
            <w:r>
              <w:t>6.13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7</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3"/>
            </w:pPr>
            <w:r>
              <w:t>2.46</w:t>
            </w:r>
          </w:p>
        </w:tc>
        <w:tc>
          <w:tcPr>
            <w:tcW w:w="2551" w:type="dxa"/>
            <w:vAlign w:val="center"/>
          </w:tcPr>
          <w:p>
            <w:pPr>
              <w:pStyle w:val="13"/>
            </w:pPr>
            <w:r>
              <w:t>2.46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0.35</w:t>
            </w:r>
          </w:p>
        </w:tc>
        <w:tc>
          <w:tcPr>
            <w:tcW w:w="2551" w:type="dxa"/>
            <w:vAlign w:val="center"/>
          </w:tcPr>
          <w:p>
            <w:pPr>
              <w:pStyle w:val="13"/>
            </w:pPr>
            <w:r>
              <w:t>0.35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3.84</w:t>
            </w:r>
          </w:p>
        </w:tc>
        <w:tc>
          <w:tcPr>
            <w:tcW w:w="2551" w:type="dxa"/>
            <w:vAlign w:val="center"/>
          </w:tcPr>
          <w:p>
            <w:pPr>
              <w:pStyle w:val="13"/>
            </w:pPr>
            <w:r>
              <w:t>3.84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10.50</w:t>
            </w:r>
          </w:p>
        </w:tc>
        <w:tc>
          <w:tcPr>
            <w:tcW w:w="2551" w:type="dxa"/>
            <w:vAlign w:val="center"/>
          </w:tcPr>
          <w:p>
            <w:pPr>
              <w:pStyle w:val="13"/>
            </w:pPr>
          </w:p>
        </w:tc>
        <w:tc>
          <w:tcPr>
            <w:tcW w:w="2551" w:type="dxa"/>
            <w:vAlign w:val="center"/>
          </w:tcPr>
          <w:p>
            <w:pPr>
              <w:pStyle w:val="13"/>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2.40</w:t>
            </w:r>
          </w:p>
        </w:tc>
        <w:tc>
          <w:tcPr>
            <w:tcW w:w="2551" w:type="dxa"/>
            <w:vAlign w:val="center"/>
          </w:tcPr>
          <w:p>
            <w:pPr>
              <w:pStyle w:val="13"/>
            </w:pPr>
          </w:p>
        </w:tc>
        <w:tc>
          <w:tcPr>
            <w:tcW w:w="2551" w:type="dxa"/>
            <w:vAlign w:val="center"/>
          </w:tcPr>
          <w:p>
            <w:pPr>
              <w:pStyle w:val="13"/>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12</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3"/>
            </w:pPr>
            <w:r>
              <w:t>0.21</w:t>
            </w:r>
          </w:p>
        </w:tc>
        <w:tc>
          <w:tcPr>
            <w:tcW w:w="2551" w:type="dxa"/>
            <w:vAlign w:val="center"/>
          </w:tcPr>
          <w:p>
            <w:pPr>
              <w:pStyle w:val="13"/>
            </w:pPr>
          </w:p>
        </w:tc>
        <w:tc>
          <w:tcPr>
            <w:tcW w:w="2551" w:type="dxa"/>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1.95</w:t>
            </w:r>
          </w:p>
        </w:tc>
        <w:tc>
          <w:tcPr>
            <w:tcW w:w="2551" w:type="dxa"/>
            <w:vAlign w:val="center"/>
          </w:tcPr>
          <w:p>
            <w:pPr>
              <w:pStyle w:val="13"/>
            </w:pPr>
          </w:p>
        </w:tc>
        <w:tc>
          <w:tcPr>
            <w:tcW w:w="2551" w:type="dxa"/>
            <w:vAlign w:val="center"/>
          </w:tcPr>
          <w:p>
            <w:pPr>
              <w:pStyle w:val="13"/>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3"/>
            </w:pPr>
            <w:r>
              <w:t>0.87</w:t>
            </w:r>
          </w:p>
        </w:tc>
        <w:tc>
          <w:tcPr>
            <w:tcW w:w="2551" w:type="dxa"/>
            <w:vAlign w:val="center"/>
          </w:tcPr>
          <w:p>
            <w:pPr>
              <w:pStyle w:val="13"/>
            </w:pPr>
          </w:p>
        </w:tc>
        <w:tc>
          <w:tcPr>
            <w:tcW w:w="2551" w:type="dxa"/>
            <w:vAlign w:val="center"/>
          </w:tcPr>
          <w:p>
            <w:pPr>
              <w:pStyle w:val="13"/>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3"/>
            </w:pPr>
            <w:r>
              <w:t>0.45</w:t>
            </w:r>
          </w:p>
        </w:tc>
        <w:tc>
          <w:tcPr>
            <w:tcW w:w="2551" w:type="dxa"/>
            <w:vAlign w:val="center"/>
          </w:tcPr>
          <w:p>
            <w:pPr>
              <w:pStyle w:val="13"/>
            </w:pPr>
          </w:p>
        </w:tc>
        <w:tc>
          <w:tcPr>
            <w:tcW w:w="2551" w:type="dxa"/>
            <w:vAlign w:val="center"/>
          </w:tcPr>
          <w:p>
            <w:pPr>
              <w:pStyle w:val="13"/>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3"/>
            </w:pPr>
            <w:r>
              <w:t>4.44</w:t>
            </w:r>
          </w:p>
        </w:tc>
        <w:tc>
          <w:tcPr>
            <w:tcW w:w="2551" w:type="dxa"/>
            <w:vAlign w:val="center"/>
          </w:tcPr>
          <w:p>
            <w:pPr>
              <w:pStyle w:val="13"/>
            </w:pPr>
          </w:p>
        </w:tc>
        <w:tc>
          <w:tcPr>
            <w:tcW w:w="2551" w:type="dxa"/>
            <w:vAlign w:val="center"/>
          </w:tcPr>
          <w:p>
            <w:pPr>
              <w:pStyle w:val="13"/>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3"/>
            </w:pPr>
            <w:r>
              <w:t>0.18</w:t>
            </w:r>
          </w:p>
        </w:tc>
        <w:tc>
          <w:tcPr>
            <w:tcW w:w="2551" w:type="dxa"/>
            <w:vAlign w:val="center"/>
          </w:tcPr>
          <w:p>
            <w:pPr>
              <w:pStyle w:val="13"/>
            </w:pPr>
          </w:p>
        </w:tc>
        <w:tc>
          <w:tcPr>
            <w:tcW w:w="2551" w:type="dxa"/>
            <w:vAlign w:val="center"/>
          </w:tcPr>
          <w:p>
            <w:pPr>
              <w:pStyle w:val="13"/>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2.48</w:t>
            </w:r>
          </w:p>
        </w:tc>
        <w:tc>
          <w:tcPr>
            <w:tcW w:w="2551" w:type="dxa"/>
            <w:vAlign w:val="center"/>
          </w:tcPr>
          <w:p>
            <w:pPr>
              <w:pStyle w:val="13"/>
            </w:pPr>
            <w:r>
              <w:t>2.48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0.08</w:t>
            </w:r>
          </w:p>
        </w:tc>
        <w:tc>
          <w:tcPr>
            <w:tcW w:w="2551" w:type="dxa"/>
            <w:vAlign w:val="center"/>
          </w:tcPr>
          <w:p>
            <w:pPr>
              <w:pStyle w:val="13"/>
            </w:pPr>
            <w:r>
              <w:t>0.08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3"/>
            </w:pPr>
            <w:r>
              <w:t>2.40</w:t>
            </w:r>
          </w:p>
        </w:tc>
        <w:tc>
          <w:tcPr>
            <w:tcW w:w="2551" w:type="dxa"/>
            <w:vAlign w:val="center"/>
          </w:tcPr>
          <w:p>
            <w:pPr>
              <w:pStyle w:val="13"/>
            </w:pPr>
            <w:r>
              <w:t>2.40</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7392.58</w:t>
            </w:r>
          </w:p>
        </w:tc>
        <w:tc>
          <w:tcPr>
            <w:tcW w:w="2551" w:type="dxa"/>
            <w:vAlign w:val="center"/>
          </w:tcPr>
          <w:p>
            <w:pPr>
              <w:pStyle w:val="15"/>
            </w:pPr>
          </w:p>
        </w:tc>
        <w:tc>
          <w:tcPr>
            <w:tcW w:w="2551" w:type="dxa"/>
            <w:vAlign w:val="center"/>
          </w:tcPr>
          <w:p>
            <w:pPr>
              <w:pStyle w:val="15"/>
            </w:pPr>
            <w:r>
              <w:t>7392.58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3"/>
            </w:pPr>
            <w:r>
              <w:t>7392.58</w:t>
            </w:r>
          </w:p>
        </w:tc>
        <w:tc>
          <w:tcPr>
            <w:tcW w:w="2551" w:type="dxa"/>
            <w:vAlign w:val="center"/>
          </w:tcPr>
          <w:p>
            <w:pPr>
              <w:pStyle w:val="13"/>
            </w:pPr>
          </w:p>
        </w:tc>
        <w:tc>
          <w:tcPr>
            <w:tcW w:w="2551" w:type="dxa"/>
            <w:vAlign w:val="center"/>
          </w:tcPr>
          <w:p>
            <w:pPr>
              <w:pStyle w:val="13"/>
            </w:pPr>
            <w:r>
              <w:t>7392.58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3"/>
            </w:pPr>
            <w:r>
              <w:t>6000.00</w:t>
            </w:r>
          </w:p>
        </w:tc>
        <w:tc>
          <w:tcPr>
            <w:tcW w:w="2551" w:type="dxa"/>
            <w:vAlign w:val="center"/>
          </w:tcPr>
          <w:p>
            <w:pPr>
              <w:pStyle w:val="13"/>
            </w:pPr>
          </w:p>
        </w:tc>
        <w:tc>
          <w:tcPr>
            <w:tcW w:w="2551" w:type="dxa"/>
            <w:vAlign w:val="center"/>
          </w:tcPr>
          <w:p>
            <w:pPr>
              <w:pStyle w:val="13"/>
            </w:pPr>
            <w:r>
              <w:t>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2120803</w:t>
            </w:r>
          </w:p>
        </w:tc>
        <w:tc>
          <w:tcPr>
            <w:tcW w:w="4535" w:type="dxa"/>
            <w:vAlign w:val="center"/>
          </w:tcPr>
          <w:p>
            <w:pPr>
              <w:pStyle w:val="12"/>
            </w:pPr>
            <w:r>
              <w:t>城市建设支出</w:t>
            </w:r>
          </w:p>
        </w:tc>
        <w:tc>
          <w:tcPr>
            <w:tcW w:w="2551" w:type="dxa"/>
            <w:vAlign w:val="center"/>
          </w:tcPr>
          <w:p>
            <w:pPr>
              <w:pStyle w:val="13"/>
            </w:pPr>
            <w:r>
              <w:t>4200.00</w:t>
            </w:r>
          </w:p>
        </w:tc>
        <w:tc>
          <w:tcPr>
            <w:tcW w:w="2551" w:type="dxa"/>
            <w:vAlign w:val="center"/>
          </w:tcPr>
          <w:p>
            <w:pPr>
              <w:pStyle w:val="13"/>
            </w:pPr>
          </w:p>
        </w:tc>
        <w:tc>
          <w:tcPr>
            <w:tcW w:w="2551" w:type="dxa"/>
            <w:vAlign w:val="center"/>
          </w:tcPr>
          <w:p>
            <w:pPr>
              <w:pStyle w:val="13"/>
            </w:pPr>
            <w:r>
              <w:t>4200.00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3"/>
            </w:pPr>
            <w:r>
              <w:t>1800.00</w:t>
            </w:r>
          </w:p>
        </w:tc>
        <w:tc>
          <w:tcPr>
            <w:tcW w:w="2551" w:type="dxa"/>
            <w:vAlign w:val="center"/>
          </w:tcPr>
          <w:p>
            <w:pPr>
              <w:pStyle w:val="13"/>
            </w:pPr>
          </w:p>
        </w:tc>
        <w:tc>
          <w:tcPr>
            <w:tcW w:w="2551" w:type="dxa"/>
            <w:vAlign w:val="center"/>
          </w:tcPr>
          <w:p>
            <w:pPr>
              <w:pStyle w:val="13"/>
            </w:pPr>
            <w:r>
              <w:t>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21213</w:t>
            </w:r>
          </w:p>
        </w:tc>
        <w:tc>
          <w:tcPr>
            <w:tcW w:w="4535" w:type="dxa"/>
            <w:vAlign w:val="center"/>
          </w:tcPr>
          <w:p>
            <w:pPr>
              <w:pStyle w:val="12"/>
            </w:pPr>
            <w:r>
              <w:t>城市基础设施配套费安排的支出</w:t>
            </w:r>
          </w:p>
        </w:tc>
        <w:tc>
          <w:tcPr>
            <w:tcW w:w="2551" w:type="dxa"/>
            <w:vAlign w:val="center"/>
          </w:tcPr>
          <w:p>
            <w:pPr>
              <w:pStyle w:val="13"/>
            </w:pPr>
            <w:r>
              <w:t>1392.58</w:t>
            </w:r>
          </w:p>
        </w:tc>
        <w:tc>
          <w:tcPr>
            <w:tcW w:w="2551" w:type="dxa"/>
            <w:vAlign w:val="center"/>
          </w:tcPr>
          <w:p>
            <w:pPr>
              <w:pStyle w:val="13"/>
            </w:pPr>
          </w:p>
        </w:tc>
        <w:tc>
          <w:tcPr>
            <w:tcW w:w="2551" w:type="dxa"/>
            <w:vAlign w:val="center"/>
          </w:tcPr>
          <w:p>
            <w:pPr>
              <w:pStyle w:val="13"/>
            </w:pPr>
            <w:r>
              <w:t>1392.58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2121302</w:t>
            </w:r>
          </w:p>
        </w:tc>
        <w:tc>
          <w:tcPr>
            <w:tcW w:w="4535" w:type="dxa"/>
            <w:vAlign w:val="center"/>
          </w:tcPr>
          <w:p>
            <w:pPr>
              <w:pStyle w:val="12"/>
            </w:pPr>
            <w:r>
              <w:t>城市环境卫生</w:t>
            </w:r>
          </w:p>
        </w:tc>
        <w:tc>
          <w:tcPr>
            <w:tcW w:w="2551" w:type="dxa"/>
            <w:vAlign w:val="center"/>
          </w:tcPr>
          <w:p>
            <w:pPr>
              <w:pStyle w:val="13"/>
            </w:pPr>
            <w:r>
              <w:t>1284.89</w:t>
            </w:r>
          </w:p>
        </w:tc>
        <w:tc>
          <w:tcPr>
            <w:tcW w:w="2551" w:type="dxa"/>
            <w:vAlign w:val="center"/>
          </w:tcPr>
          <w:p>
            <w:pPr>
              <w:pStyle w:val="13"/>
            </w:pPr>
          </w:p>
        </w:tc>
        <w:tc>
          <w:tcPr>
            <w:tcW w:w="2551" w:type="dxa"/>
            <w:vAlign w:val="center"/>
          </w:tcPr>
          <w:p>
            <w:pPr>
              <w:pStyle w:val="13"/>
            </w:pPr>
            <w:r>
              <w:t>1284.89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2121399</w:t>
            </w:r>
          </w:p>
        </w:tc>
        <w:tc>
          <w:tcPr>
            <w:tcW w:w="4535" w:type="dxa"/>
            <w:vAlign w:val="center"/>
          </w:tcPr>
          <w:p>
            <w:pPr>
              <w:pStyle w:val="12"/>
            </w:pPr>
            <w:r>
              <w:t>其他城市基础设施配套费安排的支出</w:t>
            </w:r>
          </w:p>
        </w:tc>
        <w:tc>
          <w:tcPr>
            <w:tcW w:w="2551" w:type="dxa"/>
            <w:vAlign w:val="center"/>
          </w:tcPr>
          <w:p>
            <w:pPr>
              <w:pStyle w:val="13"/>
            </w:pPr>
            <w:r>
              <w:t>107.69</w:t>
            </w:r>
          </w:p>
        </w:tc>
        <w:tc>
          <w:tcPr>
            <w:tcW w:w="2551" w:type="dxa"/>
            <w:vAlign w:val="center"/>
          </w:tcPr>
          <w:p>
            <w:pPr>
              <w:pStyle w:val="13"/>
            </w:pPr>
          </w:p>
        </w:tc>
        <w:tc>
          <w:tcPr>
            <w:tcW w:w="2551" w:type="dxa"/>
            <w:vAlign w:val="center"/>
          </w:tcPr>
          <w:p>
            <w:pPr>
              <w:pStyle w:val="13"/>
            </w:pPr>
            <w:r>
              <w:t>107.69</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2"/>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高阳县城市管理综合行政执法局（行政）2022年单位预算信息公开情况说明</w:t>
      </w:r>
    </w:p>
    <w:p>
      <w:pPr>
        <w:keepNext w:val="0"/>
        <w:keepLines w:val="0"/>
        <w:pageBreakBefore w:val="0"/>
        <w:kinsoku/>
        <w:wordWrap/>
        <w:overflowPunct/>
        <w:topLinePunct w:val="0"/>
        <w:autoSpaceDE/>
        <w:autoSpaceDN/>
        <w:bidi w:val="0"/>
        <w:adjustRightInd/>
        <w:snapToGrid/>
        <w:spacing w:line="500" w:lineRule="exact"/>
        <w:ind w:firstLine="560"/>
        <w:textAlignment w:val="auto"/>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、《地方预决算公开操作规程》和《关于进一步推进预算公开工作的实施意见》规定，现将高阳县城市管理综合行政执法局（行政）2022年单位预算公开如下：</w:t>
      </w:r>
    </w:p>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ind w:firstLine="640" w:firstLineChars="200"/>
        <w:jc w:val="left"/>
        <w:textAlignment w:val="auto"/>
        <w:rPr>
          <w:rFonts w:hint="eastAsia" w:ascii="黑体" w:hAnsi="黑体" w:eastAsia="黑体"/>
          <w:kern w:val="2"/>
          <w:sz w:val="32"/>
          <w:lang w:eastAsia="zh-CN"/>
        </w:rPr>
      </w:pPr>
      <w:r>
        <w:rPr>
          <w:rFonts w:hint="eastAsia" w:ascii="黑体" w:hAnsi="黑体" w:eastAsia="黑体"/>
          <w:kern w:val="2"/>
          <w:sz w:val="32"/>
          <w:lang w:eastAsia="zh-CN"/>
        </w:rPr>
        <w:t>一、单位职责及机构设置情况</w:t>
      </w:r>
    </w:p>
    <w:p>
      <w:pPr>
        <w:keepNext w:val="0"/>
        <w:keepLines w:val="0"/>
        <w:pageBreakBefore w:val="0"/>
        <w:kinsoku/>
        <w:wordWrap/>
        <w:overflowPunct/>
        <w:topLinePunct w:val="0"/>
        <w:autoSpaceDE/>
        <w:autoSpaceDN/>
        <w:bidi w:val="0"/>
        <w:adjustRightInd/>
        <w:snapToGrid/>
        <w:spacing w:line="500" w:lineRule="exact"/>
        <w:ind w:firstLine="640"/>
        <w:textAlignment w:val="auto"/>
      </w:pPr>
      <w:r>
        <w:rPr>
          <w:rFonts w:ascii="方正楷体_GBK" w:hAnsi="方正楷体_GBK" w:eastAsia="方正楷体_GBK" w:cs="方正楷体_GBK"/>
          <w:b/>
          <w:color w:val="000000"/>
          <w:sz w:val="32"/>
        </w:rPr>
        <w:t>单位职责：</w:t>
      </w:r>
    </w:p>
    <w:p>
      <w:pPr>
        <w:pStyle w:val="17"/>
        <w:keepNext w:val="0"/>
        <w:keepLines w:val="0"/>
        <w:pageBreakBefore w:val="0"/>
        <w:kinsoku/>
        <w:wordWrap/>
        <w:overflowPunct/>
        <w:topLinePunct w:val="0"/>
        <w:autoSpaceDE/>
        <w:autoSpaceDN/>
        <w:bidi w:val="0"/>
        <w:adjustRightInd/>
        <w:snapToGrid/>
        <w:spacing w:line="500" w:lineRule="exact"/>
        <w:textAlignment w:val="auto"/>
      </w:pPr>
      <w:r>
        <w:t>1、宣传贯彻省、市、县有关城市管理方面的政策和法规</w:t>
      </w:r>
      <w:r>
        <w:rPr>
          <w:rFonts w:hint="eastAsia"/>
          <w:lang w:eastAsia="zh-CN"/>
        </w:rPr>
        <w:t>；</w:t>
      </w:r>
      <w:r>
        <w:t>拟定和实施城市管理方面的有关规定。</w:t>
      </w:r>
    </w:p>
    <w:p>
      <w:pPr>
        <w:pStyle w:val="17"/>
        <w:keepNext w:val="0"/>
        <w:keepLines w:val="0"/>
        <w:pageBreakBefore w:val="0"/>
        <w:kinsoku/>
        <w:wordWrap/>
        <w:overflowPunct/>
        <w:topLinePunct w:val="0"/>
        <w:autoSpaceDE/>
        <w:autoSpaceDN/>
        <w:bidi w:val="0"/>
        <w:adjustRightInd/>
        <w:snapToGrid/>
        <w:spacing w:line="500" w:lineRule="exact"/>
        <w:textAlignment w:val="auto"/>
      </w:pPr>
      <w:r>
        <w:t>2、负责编制城市管理发展战略</w:t>
      </w:r>
      <w:r>
        <w:rPr>
          <w:rFonts w:hint="eastAsia"/>
          <w:lang w:eastAsia="zh-CN"/>
        </w:rPr>
        <w:t>，</w:t>
      </w:r>
      <w:r>
        <w:t>中长期发展规划和年度计划</w:t>
      </w:r>
      <w:r>
        <w:rPr>
          <w:rFonts w:hint="eastAsia"/>
          <w:lang w:eastAsia="zh-CN"/>
        </w:rPr>
        <w:t>，</w:t>
      </w:r>
      <w:r>
        <w:t>推进数字城管智慧化。并会同自然资源和规划局编制实施市容景观、环境卫生、城市绿化等各项专业规划。</w:t>
      </w:r>
    </w:p>
    <w:p>
      <w:pPr>
        <w:pStyle w:val="17"/>
        <w:keepNext w:val="0"/>
        <w:keepLines w:val="0"/>
        <w:pageBreakBefore w:val="0"/>
        <w:kinsoku/>
        <w:wordWrap/>
        <w:overflowPunct/>
        <w:topLinePunct w:val="0"/>
        <w:autoSpaceDE/>
        <w:autoSpaceDN/>
        <w:bidi w:val="0"/>
        <w:adjustRightInd/>
        <w:snapToGrid/>
        <w:spacing w:line="500" w:lineRule="exact"/>
        <w:textAlignment w:val="auto"/>
      </w:pPr>
      <w:r>
        <w:t>3、负责城区城市容貌和环境卫生管理、参与城区环境卫生设施的规划及环卫设施的竣工验收</w:t>
      </w:r>
      <w:r>
        <w:rPr>
          <w:rFonts w:hint="eastAsia"/>
          <w:lang w:eastAsia="zh-CN"/>
        </w:rPr>
        <w:t>；</w:t>
      </w:r>
      <w:r>
        <w:t>负责城区环境卫生设施、设备、经费的管理</w:t>
      </w:r>
      <w:r>
        <w:rPr>
          <w:rFonts w:hint="eastAsia"/>
          <w:lang w:eastAsia="zh-CN"/>
        </w:rPr>
        <w:t>，</w:t>
      </w:r>
      <w:r>
        <w:t>道路清融雪等工作</w:t>
      </w:r>
      <w:r>
        <w:rPr>
          <w:rFonts w:hint="eastAsia"/>
          <w:lang w:eastAsia="zh-CN"/>
        </w:rPr>
        <w:t>；</w:t>
      </w:r>
      <w:r>
        <w:t>负责对环境卫生方面新技术的研究推广工作。负责制定城市容貌标准</w:t>
      </w:r>
      <w:r>
        <w:rPr>
          <w:rFonts w:hint="eastAsia"/>
          <w:lang w:eastAsia="zh-CN"/>
        </w:rPr>
        <w:t>，</w:t>
      </w:r>
      <w:r>
        <w:t>并监督执行。组织实施市容整治和门前“三包”</w:t>
      </w:r>
      <w:r>
        <w:rPr>
          <w:rFonts w:hint="eastAsia"/>
          <w:lang w:eastAsia="zh-CN"/>
        </w:rPr>
        <w:t>；</w:t>
      </w:r>
      <w:r>
        <w:t>组织开展街道、住宅小区环境的考核评比工作。</w:t>
      </w:r>
    </w:p>
    <w:p>
      <w:pPr>
        <w:pStyle w:val="17"/>
        <w:keepNext w:val="0"/>
        <w:keepLines w:val="0"/>
        <w:pageBreakBefore w:val="0"/>
        <w:kinsoku/>
        <w:wordWrap/>
        <w:overflowPunct/>
        <w:topLinePunct w:val="0"/>
        <w:autoSpaceDE/>
        <w:autoSpaceDN/>
        <w:bidi w:val="0"/>
        <w:adjustRightInd/>
        <w:snapToGrid/>
        <w:spacing w:line="500" w:lineRule="exact"/>
        <w:textAlignment w:val="auto"/>
      </w:pPr>
      <w:r>
        <w:t>4、负责建成区内垃圾处理等方面的工作。指导建制镇生活垃圾及农村生活垃圾收运处置体系建设</w:t>
      </w:r>
      <w:r>
        <w:rPr>
          <w:rFonts w:hint="eastAsia"/>
          <w:lang w:eastAsia="zh-CN"/>
        </w:rPr>
        <w:t>；</w:t>
      </w:r>
      <w:r>
        <w:t>指导各乡镇环卫工作的开展。</w:t>
      </w:r>
    </w:p>
    <w:p>
      <w:pPr>
        <w:pStyle w:val="17"/>
        <w:keepNext w:val="0"/>
        <w:keepLines w:val="0"/>
        <w:pageBreakBefore w:val="0"/>
        <w:kinsoku/>
        <w:wordWrap/>
        <w:overflowPunct/>
        <w:topLinePunct w:val="0"/>
        <w:autoSpaceDE/>
        <w:autoSpaceDN/>
        <w:bidi w:val="0"/>
        <w:adjustRightInd/>
        <w:snapToGrid/>
        <w:spacing w:line="500" w:lineRule="exact"/>
        <w:textAlignment w:val="auto"/>
      </w:pPr>
      <w:r>
        <w:t>5、负责城区公共空间秩序管理方面的户外广告设置</w:t>
      </w:r>
      <w:r>
        <w:rPr>
          <w:rFonts w:hint="eastAsia"/>
          <w:lang w:eastAsia="zh-CN"/>
        </w:rPr>
        <w:t>，</w:t>
      </w:r>
      <w:r>
        <w:t>门头牌匾、建筑外立面装修、“街道家具”等管理工作。</w:t>
      </w:r>
    </w:p>
    <w:p>
      <w:pPr>
        <w:pStyle w:val="17"/>
        <w:keepNext w:val="0"/>
        <w:keepLines w:val="0"/>
        <w:pageBreakBefore w:val="0"/>
        <w:kinsoku/>
        <w:wordWrap/>
        <w:overflowPunct/>
        <w:topLinePunct w:val="0"/>
        <w:autoSpaceDE/>
        <w:autoSpaceDN/>
        <w:bidi w:val="0"/>
        <w:adjustRightInd/>
        <w:snapToGrid/>
        <w:spacing w:line="500" w:lineRule="exact"/>
        <w:textAlignment w:val="auto"/>
      </w:pPr>
      <w:r>
        <w:t>6、负责城市交通管理方面的便道车辆停放管理工作。</w:t>
      </w:r>
    </w:p>
    <w:p>
      <w:pPr>
        <w:pStyle w:val="17"/>
        <w:keepNext w:val="0"/>
        <w:keepLines w:val="0"/>
        <w:pageBreakBefore w:val="0"/>
        <w:kinsoku/>
        <w:wordWrap/>
        <w:overflowPunct/>
        <w:topLinePunct w:val="0"/>
        <w:autoSpaceDE/>
        <w:autoSpaceDN/>
        <w:bidi w:val="0"/>
        <w:adjustRightInd/>
        <w:snapToGrid/>
        <w:spacing w:line="500" w:lineRule="exact"/>
        <w:textAlignment w:val="auto"/>
      </w:pPr>
      <w:r>
        <w:t>7、负责城市管理相关业务安全管理工作。</w:t>
      </w:r>
    </w:p>
    <w:p>
      <w:pPr>
        <w:pStyle w:val="17"/>
        <w:keepNext w:val="0"/>
        <w:keepLines w:val="0"/>
        <w:pageBreakBefore w:val="0"/>
        <w:kinsoku/>
        <w:wordWrap/>
        <w:overflowPunct/>
        <w:topLinePunct w:val="0"/>
        <w:autoSpaceDE/>
        <w:autoSpaceDN/>
        <w:bidi w:val="0"/>
        <w:adjustRightInd/>
        <w:snapToGrid/>
        <w:spacing w:line="500" w:lineRule="exact"/>
        <w:textAlignment w:val="auto"/>
      </w:pPr>
      <w:r>
        <w:t>8、负责城市环境保护管理方面的道路扬尘、露天烧烤整治工作。</w:t>
      </w:r>
    </w:p>
    <w:p>
      <w:pPr>
        <w:pStyle w:val="17"/>
        <w:keepNext w:val="0"/>
        <w:keepLines w:val="0"/>
        <w:pageBreakBefore w:val="0"/>
        <w:kinsoku/>
        <w:wordWrap/>
        <w:overflowPunct/>
        <w:topLinePunct w:val="0"/>
        <w:autoSpaceDE/>
        <w:autoSpaceDN/>
        <w:bidi w:val="0"/>
        <w:adjustRightInd/>
        <w:snapToGrid/>
        <w:spacing w:line="500" w:lineRule="exact"/>
        <w:textAlignment w:val="auto"/>
      </w:pPr>
      <w:r>
        <w:t>9、负责城市园林绿化管理等方面的全部工作。</w:t>
      </w:r>
    </w:p>
    <w:p>
      <w:pPr>
        <w:pStyle w:val="17"/>
        <w:keepNext w:val="0"/>
        <w:keepLines w:val="0"/>
        <w:pageBreakBefore w:val="0"/>
        <w:widowControl/>
        <w:kinsoku/>
        <w:wordWrap/>
        <w:overflowPunct/>
        <w:topLinePunct w:val="0"/>
        <w:autoSpaceDE/>
        <w:autoSpaceDN/>
        <w:bidi w:val="0"/>
        <w:adjustRightInd/>
        <w:snapToGrid/>
        <w:ind w:firstLine="561"/>
        <w:textAlignment w:val="auto"/>
      </w:pPr>
      <w:r>
        <w:t>10、集中行使与群众生产生活密切相关、执法频率高、多头执法扰民问题突出、专业技术要求适宜、与城市管理密切相关的行政处罚权</w:t>
      </w:r>
      <w:r>
        <w:rPr>
          <w:rFonts w:hint="eastAsia"/>
          <w:lang w:eastAsia="zh-CN"/>
        </w:rPr>
        <w:t>，</w:t>
      </w:r>
      <w:r>
        <w:t>具体包括:</w:t>
      </w:r>
    </w:p>
    <w:p>
      <w:pPr>
        <w:pStyle w:val="17"/>
        <w:keepNext w:val="0"/>
        <w:keepLines w:val="0"/>
        <w:pageBreakBefore w:val="0"/>
        <w:widowControl/>
        <w:kinsoku/>
        <w:wordWrap/>
        <w:overflowPunct/>
        <w:topLinePunct w:val="0"/>
        <w:autoSpaceDE/>
        <w:autoSpaceDN/>
        <w:bidi w:val="0"/>
        <w:adjustRightInd/>
        <w:snapToGrid/>
        <w:ind w:firstLine="561"/>
        <w:textAlignment w:val="auto"/>
        <w:rPr>
          <w:rFonts w:hint="eastAsia" w:eastAsia="方正仿宋_GBK"/>
          <w:lang w:eastAsia="zh-CN"/>
        </w:rPr>
      </w:pPr>
      <w:r>
        <w:t>（1）市容环境卫生管理方面法律、法规、规章规定的行政处罚权</w:t>
      </w:r>
      <w:r>
        <w:rPr>
          <w:rFonts w:hint="eastAsia"/>
          <w:lang w:eastAsia="zh-CN"/>
        </w:rPr>
        <w:t>；</w:t>
      </w:r>
    </w:p>
    <w:p>
      <w:pPr>
        <w:pStyle w:val="17"/>
        <w:keepNext w:val="0"/>
        <w:keepLines w:val="0"/>
        <w:pageBreakBefore w:val="0"/>
        <w:widowControl/>
        <w:kinsoku/>
        <w:wordWrap/>
        <w:overflowPunct/>
        <w:topLinePunct w:val="0"/>
        <w:autoSpaceDE/>
        <w:autoSpaceDN/>
        <w:bidi w:val="0"/>
        <w:adjustRightInd/>
        <w:snapToGrid/>
        <w:ind w:firstLine="561"/>
        <w:textAlignment w:val="auto"/>
        <w:rPr>
          <w:rFonts w:hint="eastAsia" w:eastAsia="方正仿宋_GBK"/>
          <w:lang w:eastAsia="zh-CN"/>
        </w:rPr>
      </w:pPr>
      <w:r>
        <w:t>（2）城市绿化管理方面法律、法规、规章规定的行政处罚权</w:t>
      </w:r>
      <w:r>
        <w:rPr>
          <w:rFonts w:hint="eastAsia"/>
          <w:lang w:eastAsia="zh-CN"/>
        </w:rPr>
        <w:t>；</w:t>
      </w:r>
    </w:p>
    <w:p>
      <w:pPr>
        <w:pStyle w:val="17"/>
        <w:keepNext w:val="0"/>
        <w:keepLines w:val="0"/>
        <w:pageBreakBefore w:val="0"/>
        <w:widowControl/>
        <w:kinsoku/>
        <w:wordWrap/>
        <w:overflowPunct/>
        <w:topLinePunct w:val="0"/>
        <w:autoSpaceDE/>
        <w:autoSpaceDN/>
        <w:bidi w:val="0"/>
        <w:adjustRightInd/>
        <w:snapToGrid/>
        <w:ind w:firstLine="561"/>
        <w:textAlignment w:val="auto"/>
        <w:rPr>
          <w:rFonts w:hint="eastAsia" w:eastAsia="方正仿宋_GBK"/>
          <w:lang w:eastAsia="zh-CN"/>
        </w:rPr>
      </w:pPr>
      <w:r>
        <w:t>（3）城市规划管理方面在规划区内未取得建设工程规划许可证进行建设的、已取得建设工程规划许可证未按规划进行建设的行政处罚权</w:t>
      </w:r>
      <w:r>
        <w:rPr>
          <w:rFonts w:hint="eastAsia"/>
          <w:lang w:eastAsia="zh-CN"/>
        </w:rPr>
        <w:t>；</w:t>
      </w:r>
    </w:p>
    <w:p>
      <w:pPr>
        <w:pStyle w:val="17"/>
        <w:keepNext w:val="0"/>
        <w:keepLines w:val="0"/>
        <w:pageBreakBefore w:val="0"/>
        <w:widowControl/>
        <w:kinsoku/>
        <w:wordWrap/>
        <w:overflowPunct/>
        <w:topLinePunct w:val="0"/>
        <w:autoSpaceDE/>
        <w:autoSpaceDN/>
        <w:bidi w:val="0"/>
        <w:adjustRightInd/>
        <w:snapToGrid/>
        <w:ind w:firstLine="561"/>
        <w:textAlignment w:val="auto"/>
      </w:pPr>
      <w:r>
        <w:t>（4）公安交通管理方面在人行道、广场等公共场所内违反机动车停放、临时停车规定行为法律、法规、规章规定的行政处罚权；</w:t>
      </w:r>
    </w:p>
    <w:p>
      <w:pPr>
        <w:pStyle w:val="17"/>
        <w:keepNext w:val="0"/>
        <w:keepLines w:val="0"/>
        <w:pageBreakBefore w:val="0"/>
        <w:widowControl/>
        <w:kinsoku/>
        <w:wordWrap/>
        <w:overflowPunct/>
        <w:topLinePunct w:val="0"/>
        <w:autoSpaceDE/>
        <w:autoSpaceDN/>
        <w:bidi w:val="0"/>
        <w:adjustRightInd/>
        <w:snapToGrid/>
        <w:ind w:firstLine="561"/>
        <w:textAlignment w:val="auto"/>
        <w:rPr>
          <w:rFonts w:hint="eastAsia" w:eastAsia="方正仿宋_GBK"/>
          <w:lang w:eastAsia="zh-CN"/>
        </w:rPr>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r>
        <w:rPr>
          <w:rFonts w:hint="eastAsia"/>
          <w:lang w:eastAsia="zh-CN"/>
        </w:rPr>
        <w:t>；</w:t>
      </w:r>
    </w:p>
    <w:p>
      <w:pPr>
        <w:pStyle w:val="17"/>
        <w:keepNext w:val="0"/>
        <w:keepLines w:val="0"/>
        <w:pageBreakBefore w:val="0"/>
        <w:widowControl/>
        <w:kinsoku/>
        <w:wordWrap/>
        <w:overflowPunct/>
        <w:topLinePunct w:val="0"/>
        <w:autoSpaceDE/>
        <w:autoSpaceDN/>
        <w:bidi w:val="0"/>
        <w:adjustRightInd/>
        <w:snapToGrid/>
        <w:ind w:firstLine="561"/>
        <w:textAlignment w:val="auto"/>
        <w:rPr>
          <w:rFonts w:hint="eastAsia" w:eastAsia="方正仿宋_GBK"/>
          <w:lang w:eastAsia="zh-CN"/>
        </w:rPr>
      </w:pPr>
      <w:r>
        <w:t>（6）水务管理方面向城市河道倾倒废弃物和垃圾、城市河道违法建筑物拆除、违法取土的法律、法规、规章规定的行政处罚权</w:t>
      </w:r>
      <w:r>
        <w:rPr>
          <w:rFonts w:hint="eastAsia"/>
          <w:lang w:eastAsia="zh-CN"/>
        </w:rPr>
        <w:t>；</w:t>
      </w:r>
    </w:p>
    <w:p>
      <w:pPr>
        <w:pStyle w:val="17"/>
        <w:keepNext w:val="0"/>
        <w:keepLines w:val="0"/>
        <w:pageBreakBefore w:val="0"/>
        <w:widowControl/>
        <w:kinsoku/>
        <w:wordWrap/>
        <w:overflowPunct/>
        <w:topLinePunct w:val="0"/>
        <w:autoSpaceDE/>
        <w:autoSpaceDN/>
        <w:bidi w:val="0"/>
        <w:adjustRightInd/>
        <w:snapToGrid/>
        <w:ind w:firstLine="561"/>
        <w:textAlignment w:val="auto"/>
        <w:rPr>
          <w:rFonts w:hint="eastAsia" w:eastAsia="方正仿宋_GBK"/>
          <w:lang w:eastAsia="zh-CN"/>
        </w:rPr>
      </w:pPr>
      <w:r>
        <w:t>（7）市场监督管理方面户外公共场所无证、无照经营、违规设置户外广告</w:t>
      </w:r>
      <w:r>
        <w:rPr>
          <w:rFonts w:hint="eastAsia"/>
          <w:lang w:eastAsia="zh-CN"/>
        </w:rPr>
        <w:t>，</w:t>
      </w:r>
      <w:r>
        <w:t>违法回收贩卖药品行为法律、法规、规章规定的行政处罚权</w:t>
      </w:r>
      <w:r>
        <w:rPr>
          <w:rFonts w:hint="eastAsia"/>
          <w:lang w:eastAsia="zh-CN"/>
        </w:rPr>
        <w:t>；</w:t>
      </w:r>
    </w:p>
    <w:p>
      <w:pPr>
        <w:pStyle w:val="17"/>
        <w:keepNext w:val="0"/>
        <w:keepLines w:val="0"/>
        <w:pageBreakBefore w:val="0"/>
        <w:widowControl/>
        <w:kinsoku/>
        <w:wordWrap/>
        <w:overflowPunct/>
        <w:topLinePunct w:val="0"/>
        <w:autoSpaceDE/>
        <w:autoSpaceDN/>
        <w:bidi w:val="0"/>
        <w:adjustRightInd/>
        <w:snapToGrid/>
        <w:ind w:firstLine="561"/>
        <w:textAlignment w:val="auto"/>
      </w:pPr>
      <w:r>
        <w:t>城市管理综合行政执法部门可以实施与上述范围内法律、法规、规章规定的行政处罚权有关的行政强制措施。</w:t>
      </w:r>
    </w:p>
    <w:p>
      <w:pPr>
        <w:pStyle w:val="17"/>
        <w:keepNext w:val="0"/>
        <w:keepLines w:val="0"/>
        <w:pageBreakBefore w:val="0"/>
        <w:widowControl/>
        <w:kinsoku/>
        <w:wordWrap/>
        <w:overflowPunct/>
        <w:topLinePunct w:val="0"/>
        <w:autoSpaceDE/>
        <w:autoSpaceDN/>
        <w:bidi w:val="0"/>
        <w:adjustRightInd/>
        <w:snapToGrid/>
        <w:ind w:firstLine="561"/>
        <w:textAlignment w:val="auto"/>
      </w:pPr>
      <w:r>
        <w:t>11、完成县委、县政府交办的其他事项。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高阳县城市管理综合行政执法局（行政）</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widowControl w:val="0"/>
        <w:spacing w:before="156" w:beforeLines="50" w:after="156" w:afterLines="50"/>
        <w:ind w:firstLine="640" w:firstLineChars="200"/>
        <w:jc w:val="left"/>
        <w:rPr>
          <w:rFonts w:hint="eastAsia" w:ascii="黑体" w:hAnsi="黑体" w:eastAsia="黑体"/>
          <w:kern w:val="2"/>
          <w:sz w:val="32"/>
          <w:lang w:eastAsia="zh-CN"/>
        </w:rPr>
      </w:pPr>
      <w:r>
        <w:rPr>
          <w:rFonts w:hint="eastAsia" w:ascii="黑体" w:hAnsi="黑体" w:eastAsia="黑体"/>
          <w:kern w:val="2"/>
          <w:sz w:val="32"/>
          <w:lang w:eastAsia="zh-CN"/>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textAlignment w:val="auto"/>
      </w:pPr>
      <w:r>
        <w:t>1、收入说明</w:t>
      </w:r>
    </w:p>
    <w:p>
      <w:pPr>
        <w:pStyle w:val="18"/>
        <w:keepNext w:val="0"/>
        <w:keepLines w:val="0"/>
        <w:pageBreakBefore w:val="0"/>
        <w:widowControl/>
        <w:kinsoku/>
        <w:wordWrap/>
        <w:overflowPunct/>
        <w:topLinePunct w:val="0"/>
        <w:autoSpaceDE/>
        <w:autoSpaceDN/>
        <w:bidi w:val="0"/>
        <w:adjustRightInd/>
        <w:snapToGrid/>
        <w:textAlignment w:val="auto"/>
      </w:pPr>
      <w:r>
        <w:rPr>
          <w:rFonts w:hint="eastAsia"/>
          <w:lang w:eastAsia="zh-CN"/>
        </w:rPr>
        <w:t>反映本单位当年全部收入。</w:t>
      </w:r>
      <w:r>
        <w:t>2022年预算收入</w:t>
      </w:r>
      <w:r>
        <w:rPr>
          <w:rFonts w:hint="eastAsia"/>
          <w:lang w:val="en-US" w:eastAsia="zh-CN"/>
        </w:rPr>
        <w:t>9441.49万元</w:t>
      </w:r>
      <w:r>
        <w:t>。其中：一般公共预算收入</w:t>
      </w:r>
      <w:r>
        <w:rPr>
          <w:rFonts w:hint="eastAsia"/>
          <w:lang w:val="en-US" w:eastAsia="zh-CN"/>
        </w:rPr>
        <w:t>1897.91万元</w:t>
      </w:r>
      <w:r>
        <w:t>，政府性基金收入7392.58万元，财政专户拨款收入0</w:t>
      </w:r>
      <w:r>
        <w:rPr>
          <w:rFonts w:hint="eastAsia"/>
          <w:lang w:eastAsia="zh-CN"/>
        </w:rPr>
        <w:t>万</w:t>
      </w:r>
      <w:r>
        <w:t>元，其他来源收入0</w:t>
      </w:r>
      <w:r>
        <w:rPr>
          <w:rFonts w:hint="eastAsia"/>
          <w:lang w:eastAsia="zh-CN"/>
        </w:rPr>
        <w:t>万</w:t>
      </w:r>
      <w:r>
        <w:t>元</w:t>
      </w:r>
      <w:r>
        <w:rPr>
          <w:rFonts w:hint="eastAsia"/>
          <w:lang w:eastAsia="zh-CN"/>
        </w:rPr>
        <w:t>，</w:t>
      </w:r>
      <w:r>
        <w:rPr>
          <w:rFonts w:hint="eastAsia"/>
          <w:lang w:val="en-US" w:eastAsia="zh-CN"/>
        </w:rPr>
        <w:t>上年结转结余151万元</w:t>
      </w:r>
      <w:r>
        <w:t>。</w:t>
      </w:r>
    </w:p>
    <w:p>
      <w:pPr>
        <w:pStyle w:val="18"/>
        <w:keepNext w:val="0"/>
        <w:keepLines w:val="0"/>
        <w:pageBreakBefore w:val="0"/>
        <w:widowControl/>
        <w:kinsoku/>
        <w:wordWrap/>
        <w:overflowPunct/>
        <w:topLinePunct w:val="0"/>
        <w:autoSpaceDE/>
        <w:autoSpaceDN/>
        <w:bidi w:val="0"/>
        <w:adjustRightInd/>
        <w:snapToGrid/>
        <w:textAlignment w:val="auto"/>
      </w:pPr>
      <w:r>
        <w:t>2、支出说明</w:t>
      </w:r>
    </w:p>
    <w:p>
      <w:pPr>
        <w:pStyle w:val="18"/>
        <w:keepNext w:val="0"/>
        <w:keepLines w:val="0"/>
        <w:pageBreakBefore w:val="0"/>
        <w:widowControl/>
        <w:kinsoku/>
        <w:wordWrap/>
        <w:overflowPunct/>
        <w:topLinePunct w:val="0"/>
        <w:autoSpaceDE/>
        <w:autoSpaceDN/>
        <w:bidi w:val="0"/>
        <w:adjustRightInd/>
        <w:snapToGrid/>
        <w:textAlignment w:val="auto"/>
      </w:pPr>
      <w:r>
        <w:rPr>
          <w:rFonts w:hint="eastAsia"/>
          <w:lang w:eastAsia="zh-CN"/>
        </w:rPr>
        <w:t>收支预算总表支出栏、基本支出表、项目支出表按经济分类和支出功能分类科目编制，反映高阳县城市管理综合行政执法局（行政）年度单位预算中支出预算的总体情况。</w:t>
      </w:r>
      <w:r>
        <w:t>2022年支出预算</w:t>
      </w:r>
      <w:r>
        <w:rPr>
          <w:rFonts w:hint="eastAsia"/>
          <w:lang w:val="en-US" w:eastAsia="zh-CN"/>
        </w:rPr>
        <w:t>9441.49</w:t>
      </w:r>
      <w:r>
        <w:t>万元。其中：基本支</w:t>
      </w:r>
      <w:r>
        <w:rPr>
          <w:rFonts w:hint="eastAsia"/>
          <w:lang w:eastAsia="zh-CN"/>
        </w:rPr>
        <w:t>出</w:t>
      </w:r>
      <w:r>
        <w:rPr>
          <w:rFonts w:hint="eastAsia"/>
          <w:lang w:val="en-US" w:eastAsia="zh-CN"/>
        </w:rPr>
        <w:t>67.13</w:t>
      </w:r>
      <w:r>
        <w:t>万元，包括人员经费</w:t>
      </w:r>
      <w:r>
        <w:rPr>
          <w:rFonts w:hint="eastAsia"/>
          <w:lang w:val="en-US" w:eastAsia="zh-CN"/>
        </w:rPr>
        <w:t>56.63</w:t>
      </w:r>
      <w:r>
        <w:t>万元和日常公用经费</w:t>
      </w:r>
      <w:r>
        <w:rPr>
          <w:rFonts w:hint="eastAsia"/>
          <w:lang w:val="en-US" w:eastAsia="zh-CN"/>
        </w:rPr>
        <w:t>10.5</w:t>
      </w:r>
      <w:r>
        <w:t>万元；项目支出</w:t>
      </w:r>
      <w:r>
        <w:rPr>
          <w:rFonts w:hint="eastAsia"/>
          <w:lang w:val="en-US" w:eastAsia="zh-CN"/>
        </w:rPr>
        <w:t>9374.36</w:t>
      </w:r>
      <w:r>
        <w:t>万元主要用于执法局城区环卫作业市场化经费、执法局公厕运行维护费、高阳县垃圾运输处理费、执法局农村环卫作业市场化经费、高阳县绿道绿廊建设、执法局垃圾中转站运行维护费、执法局数字化城管运行经费、执法局执法专项经费</w:t>
      </w:r>
      <w:r>
        <w:rPr>
          <w:rFonts w:hint="eastAsia"/>
          <w:lang w:eastAsia="zh-CN"/>
        </w:rPr>
        <w:t>等</w:t>
      </w:r>
      <w:r>
        <w:t>专项业务活动。</w:t>
      </w:r>
    </w:p>
    <w:p>
      <w:pPr>
        <w:pStyle w:val="18"/>
        <w:keepNext w:val="0"/>
        <w:keepLines w:val="0"/>
        <w:pageBreakBefore w:val="0"/>
        <w:widowControl/>
        <w:kinsoku/>
        <w:wordWrap/>
        <w:overflowPunct/>
        <w:topLinePunct w:val="0"/>
        <w:autoSpaceDE/>
        <w:autoSpaceDN/>
        <w:bidi w:val="0"/>
        <w:adjustRightInd/>
        <w:snapToGrid/>
        <w:textAlignment w:val="auto"/>
      </w:pPr>
      <w:r>
        <w:t>3、与上年增减情况</w:t>
      </w:r>
    </w:p>
    <w:p>
      <w:pPr>
        <w:pStyle w:val="18"/>
      </w:pPr>
      <w:r>
        <w:t>2022年预算收支安排</w:t>
      </w:r>
      <w:r>
        <w:rPr>
          <w:rFonts w:hint="eastAsia"/>
          <w:lang w:val="en-US" w:eastAsia="zh-CN"/>
        </w:rPr>
        <w:t>9441.49</w:t>
      </w:r>
      <w:r>
        <w:t>万元，较2021年预算增加</w:t>
      </w:r>
      <w:r>
        <w:rPr>
          <w:rFonts w:hint="eastAsia"/>
          <w:lang w:val="en-US" w:eastAsia="zh-CN"/>
        </w:rPr>
        <w:t>9389.24</w:t>
      </w:r>
      <w:r>
        <w:t>万元。其中：基本支出</w:t>
      </w:r>
      <w:r>
        <w:rPr>
          <w:rFonts w:hint="eastAsia"/>
          <w:lang w:eastAsia="zh-CN"/>
        </w:rPr>
        <w:t>增加</w:t>
      </w:r>
      <w:r>
        <w:rPr>
          <w:rFonts w:hint="eastAsia"/>
          <w:lang w:val="en-US" w:eastAsia="zh-CN"/>
        </w:rPr>
        <w:t>14.88</w:t>
      </w:r>
      <w:r>
        <w:t>万元，主要是</w:t>
      </w:r>
      <w:r>
        <w:rPr>
          <w:rFonts w:hint="eastAsia"/>
          <w:lang w:eastAsia="zh-CN"/>
        </w:rPr>
        <w:t>局机关新招录</w:t>
      </w:r>
      <w:r>
        <w:rPr>
          <w:rFonts w:hint="eastAsia"/>
          <w:lang w:val="en-US" w:eastAsia="zh-CN"/>
        </w:rPr>
        <w:t>4名</w:t>
      </w:r>
      <w:r>
        <w:rPr>
          <w:rFonts w:hint="eastAsia"/>
          <w:lang w:eastAsia="zh-CN"/>
        </w:rPr>
        <w:t>公务员，导致人员及公用相关</w:t>
      </w:r>
      <w:r>
        <w:t>经费支出</w:t>
      </w:r>
      <w:r>
        <w:rPr>
          <w:rFonts w:hint="eastAsia"/>
          <w:lang w:eastAsia="zh-CN"/>
        </w:rPr>
        <w:t>增加</w:t>
      </w:r>
      <w:r>
        <w:t>；项目支出增加</w:t>
      </w:r>
      <w:r>
        <w:rPr>
          <w:rFonts w:hint="eastAsia"/>
          <w:lang w:val="en-US" w:eastAsia="zh-CN"/>
        </w:rPr>
        <w:t>9374.36</w:t>
      </w:r>
      <w:r>
        <w:t>万元，主要是</w:t>
      </w:r>
      <w:r>
        <w:rPr>
          <w:rFonts w:hint="eastAsia"/>
          <w:lang w:val="en-US" w:eastAsia="zh-CN"/>
        </w:rPr>
        <w:t>2022年</w:t>
      </w:r>
      <w:r>
        <w:rPr>
          <w:rFonts w:hint="eastAsia"/>
          <w:lang w:eastAsia="zh-CN"/>
        </w:rPr>
        <w:t>项目经费由高阳县城市管理综合行政执法局（事业）调整至本单位列支</w:t>
      </w:r>
      <w:r>
        <w:t>。</w:t>
      </w:r>
    </w:p>
    <w:p>
      <w:pPr>
        <w:keepNext w:val="0"/>
        <w:keepLines w:val="0"/>
        <w:pageBreakBefore w:val="0"/>
        <w:widowControl/>
        <w:kinsoku/>
        <w:wordWrap/>
        <w:overflowPunct/>
        <w:topLinePunct w:val="0"/>
        <w:autoSpaceDE/>
        <w:autoSpaceDN/>
        <w:bidi w:val="0"/>
        <w:adjustRightInd/>
        <w:snapToGrid/>
        <w:spacing w:before="0" w:beforeLines="50" w:after="0" w:afterLines="50" w:line="240" w:lineRule="auto"/>
        <w:ind w:firstLine="641"/>
        <w:textAlignment w:val="auto"/>
        <w:outlineLvl w:val="2"/>
      </w:pPr>
      <w:r>
        <w:rPr>
          <w:rFonts w:ascii="黑体" w:hAnsi="黑体" w:eastAsia="黑体" w:cs="黑体"/>
          <w:color w:val="000000"/>
          <w:sz w:val="32"/>
        </w:rPr>
        <w:t>三、机关运行经费安排情况</w:t>
      </w:r>
    </w:p>
    <w:p>
      <w:pPr>
        <w:pStyle w:val="19"/>
        <w:rPr>
          <w:rFonts w:hint="default" w:eastAsia="方正仿宋_GBK"/>
          <w:lang w:val="en-US" w:eastAsia="zh-CN"/>
        </w:rPr>
      </w:pPr>
      <w:r>
        <w:t>2022年，</w:t>
      </w:r>
      <w:r>
        <w:rPr>
          <w:rFonts w:hint="eastAsia"/>
          <w:lang w:eastAsia="zh-CN"/>
        </w:rPr>
        <w:t>高阳县城市管理综合行政执法局（行政）</w:t>
      </w:r>
      <w:r>
        <w:t>机关运行经费共计安排</w:t>
      </w:r>
      <w:r>
        <w:rPr>
          <w:rFonts w:hint="eastAsia"/>
          <w:lang w:val="en-US" w:eastAsia="zh-CN"/>
        </w:rPr>
        <w:t>10.5</w:t>
      </w:r>
      <w:r>
        <w:t>万元，其中：办公费</w:t>
      </w:r>
      <w:r>
        <w:rPr>
          <w:rFonts w:hint="eastAsia"/>
          <w:lang w:val="en-US" w:eastAsia="zh-CN"/>
        </w:rPr>
        <w:t>2.4</w:t>
      </w:r>
      <w:r>
        <w:t>万元、</w:t>
      </w:r>
      <w:r>
        <w:rPr>
          <w:rFonts w:hint="eastAsia"/>
          <w:lang w:eastAsia="zh-CN"/>
        </w:rPr>
        <w:t>印刷费</w:t>
      </w:r>
      <w:r>
        <w:rPr>
          <w:rFonts w:hint="eastAsia"/>
          <w:lang w:val="en-US" w:eastAsia="zh-CN"/>
        </w:rPr>
        <w:t>0.21万元、邮电费1.95万元</w:t>
      </w:r>
      <w:r>
        <w:t>、工会经费</w:t>
      </w:r>
      <w:r>
        <w:rPr>
          <w:rFonts w:hint="eastAsia"/>
          <w:lang w:val="en-US" w:eastAsia="zh-CN"/>
        </w:rPr>
        <w:t>0.87</w:t>
      </w:r>
      <w:r>
        <w:t>万元、福利费</w:t>
      </w:r>
      <w:r>
        <w:rPr>
          <w:rFonts w:hint="eastAsia"/>
          <w:lang w:val="en-US" w:eastAsia="zh-CN"/>
        </w:rPr>
        <w:t>0</w:t>
      </w:r>
      <w:r>
        <w:t>.45万元、其他交通费用4.44万元</w:t>
      </w:r>
      <w:r>
        <w:rPr>
          <w:rFonts w:hint="eastAsia"/>
          <w:lang w:eastAsia="zh-CN"/>
        </w:rPr>
        <w:t>，其他商品和服务支出</w:t>
      </w:r>
      <w:r>
        <w:rPr>
          <w:rFonts w:hint="eastAsia"/>
          <w:lang w:val="en-US" w:eastAsia="zh-CN"/>
        </w:rPr>
        <w:t>0.18万元。</w:t>
      </w:r>
    </w:p>
    <w:p>
      <w:pPr>
        <w:keepNext w:val="0"/>
        <w:keepLines w:val="0"/>
        <w:pageBreakBefore w:val="0"/>
        <w:widowControl/>
        <w:kinsoku/>
        <w:wordWrap/>
        <w:overflowPunct/>
        <w:topLinePunct w:val="0"/>
        <w:autoSpaceDE/>
        <w:autoSpaceDN/>
        <w:bidi w:val="0"/>
        <w:adjustRightInd/>
        <w:snapToGrid/>
        <w:spacing w:before="0" w:beforeLines="50" w:after="0" w:afterLines="50" w:line="240" w:lineRule="auto"/>
        <w:ind w:firstLine="641"/>
        <w:textAlignment w:val="auto"/>
        <w:outlineLvl w:val="2"/>
      </w:pPr>
      <w:r>
        <w:rPr>
          <w:rFonts w:ascii="黑体" w:hAnsi="黑体" w:eastAsia="黑体" w:cs="黑体"/>
          <w:color w:val="000000"/>
          <w:sz w:val="32"/>
        </w:rPr>
        <w:t>四、财政拨款“三公”经费预算情况及增减变化原因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eastAsia="方正仿宋_GBK"/>
          <w:sz w:val="28"/>
        </w:rPr>
      </w:pPr>
      <w:r>
        <w:rPr>
          <w:rFonts w:eastAsia="方正仿宋_GBK"/>
          <w:sz w:val="28"/>
        </w:rPr>
        <w:t>202</w:t>
      </w:r>
      <w:r>
        <w:rPr>
          <w:rFonts w:hint="eastAsia" w:eastAsia="方正仿宋_GBK"/>
          <w:sz w:val="28"/>
          <w:lang w:val="en-US" w:eastAsia="zh-CN"/>
        </w:rPr>
        <w:t>2</w:t>
      </w:r>
      <w:r>
        <w:rPr>
          <w:rFonts w:eastAsia="方正仿宋_GBK"/>
          <w:sz w:val="28"/>
        </w:rPr>
        <w:t>年</w:t>
      </w:r>
      <w:r>
        <w:rPr>
          <w:rFonts w:hint="eastAsia" w:eastAsia="方正仿宋_GBK"/>
          <w:sz w:val="28"/>
          <w:lang w:eastAsia="zh-CN"/>
        </w:rPr>
        <w:t>，高阳县城市管理综合行政执法局（行政）财政拨款“三公”经费预算</w:t>
      </w:r>
      <w:r>
        <w:rPr>
          <w:rFonts w:eastAsia="方正仿宋_GBK"/>
          <w:sz w:val="28"/>
        </w:rPr>
        <w:t>安排</w:t>
      </w:r>
      <w:r>
        <w:rPr>
          <w:rFonts w:hint="eastAsia" w:eastAsia="方正仿宋_GBK"/>
          <w:sz w:val="28"/>
          <w:lang w:val="en-US" w:eastAsia="zh-CN"/>
        </w:rPr>
        <w:t>0万元</w:t>
      </w:r>
      <w:r>
        <w:rPr>
          <w:rFonts w:hint="eastAsia" w:eastAsia="方正仿宋_GBK"/>
          <w:sz w:val="28"/>
          <w:lang w:eastAsia="zh-CN"/>
        </w:rPr>
        <w:t>，</w:t>
      </w:r>
      <w:r>
        <w:rPr>
          <w:rFonts w:eastAsia="方正仿宋_GBK"/>
          <w:sz w:val="28"/>
        </w:rPr>
        <w:t>其中：</w:t>
      </w:r>
      <w:r>
        <w:rPr>
          <w:rFonts w:hint="eastAsia" w:eastAsia="方正仿宋_GBK"/>
          <w:sz w:val="28"/>
          <w:lang w:eastAsia="zh-CN"/>
        </w:rPr>
        <w:t>因公出国（境）费</w:t>
      </w:r>
      <w:r>
        <w:rPr>
          <w:rFonts w:eastAsia="方正仿宋_GBK"/>
          <w:sz w:val="28"/>
        </w:rPr>
        <w:t>0</w:t>
      </w:r>
      <w:r>
        <w:rPr>
          <w:rFonts w:hint="eastAsia" w:eastAsia="方正仿宋_GBK"/>
          <w:sz w:val="28"/>
          <w:lang w:eastAsia="zh-CN"/>
        </w:rPr>
        <w:t>万</w:t>
      </w:r>
      <w:r>
        <w:rPr>
          <w:rFonts w:eastAsia="方正仿宋_GBK"/>
          <w:sz w:val="28"/>
        </w:rPr>
        <w:t>元；</w:t>
      </w:r>
      <w:r>
        <w:rPr>
          <w:rFonts w:hint="eastAsia" w:eastAsia="方正仿宋_GBK"/>
          <w:sz w:val="28"/>
          <w:lang w:eastAsia="zh-CN"/>
        </w:rPr>
        <w:t>公务用车购置费</w:t>
      </w:r>
      <w:r>
        <w:rPr>
          <w:rFonts w:eastAsia="方正仿宋_GBK"/>
          <w:sz w:val="28"/>
        </w:rPr>
        <w:t>为0</w:t>
      </w:r>
      <w:r>
        <w:rPr>
          <w:rFonts w:hint="eastAsia" w:eastAsia="方正仿宋_GBK"/>
          <w:sz w:val="28"/>
          <w:lang w:eastAsia="zh-CN"/>
        </w:rPr>
        <w:t>万</w:t>
      </w:r>
      <w:r>
        <w:rPr>
          <w:rFonts w:eastAsia="方正仿宋_GBK"/>
          <w:sz w:val="28"/>
        </w:rPr>
        <w:t>元；</w:t>
      </w:r>
      <w:r>
        <w:rPr>
          <w:rFonts w:hint="eastAsia" w:eastAsia="方正仿宋_GBK"/>
          <w:sz w:val="28"/>
          <w:lang w:eastAsia="zh-CN"/>
        </w:rPr>
        <w:t>公务用车运行维护费</w:t>
      </w:r>
      <w:r>
        <w:rPr>
          <w:rFonts w:hint="eastAsia" w:eastAsia="方正仿宋_GBK"/>
          <w:sz w:val="28"/>
          <w:lang w:val="en-US" w:eastAsia="zh-CN"/>
        </w:rPr>
        <w:t>0万</w:t>
      </w:r>
      <w:r>
        <w:rPr>
          <w:rFonts w:eastAsia="方正仿宋_GBK"/>
          <w:sz w:val="28"/>
        </w:rPr>
        <w:t>元；</w:t>
      </w:r>
      <w:r>
        <w:rPr>
          <w:rFonts w:hint="eastAsia" w:eastAsia="方正仿宋_GBK"/>
          <w:sz w:val="28"/>
          <w:lang w:eastAsia="zh-CN"/>
        </w:rPr>
        <w:t>公务接待支出费</w:t>
      </w:r>
      <w:r>
        <w:rPr>
          <w:rFonts w:hint="eastAsia" w:eastAsia="方正仿宋_GBK"/>
          <w:sz w:val="28"/>
          <w:lang w:val="en-US" w:eastAsia="zh-CN"/>
        </w:rPr>
        <w:t>0万</w:t>
      </w:r>
      <w:r>
        <w:rPr>
          <w:rFonts w:eastAsia="方正仿宋_GBK"/>
          <w:sz w:val="28"/>
        </w:rPr>
        <w:t>元。</w:t>
      </w:r>
      <w:r>
        <w:rPr>
          <w:rFonts w:hint="eastAsia" w:eastAsia="方正仿宋_GBK"/>
          <w:sz w:val="28"/>
          <w:lang w:eastAsia="zh-CN"/>
        </w:rPr>
        <w:t>与</w:t>
      </w:r>
      <w:r>
        <w:rPr>
          <w:rFonts w:hint="eastAsia" w:eastAsia="方正仿宋_GBK"/>
          <w:sz w:val="28"/>
          <w:lang w:val="en-US" w:eastAsia="zh-CN"/>
        </w:rPr>
        <w:t>2021年持平，无增减变化</w:t>
      </w:r>
      <w:r>
        <w:rPr>
          <w:rFonts w:eastAsia="方正仿宋_GBK"/>
          <w:sz w:val="28"/>
        </w:rPr>
        <w:t>。</w:t>
      </w:r>
    </w:p>
    <w:p>
      <w:pPr>
        <w:widowControl w:val="0"/>
        <w:numPr>
          <w:ilvl w:val="0"/>
          <w:numId w:val="1"/>
        </w:numPr>
        <w:spacing w:before="156" w:beforeLines="50" w:after="156" w:afterLines="50"/>
        <w:ind w:firstLine="640" w:firstLineChars="200"/>
        <w:jc w:val="left"/>
        <w:rPr>
          <w:rFonts w:hint="eastAsia" w:ascii="黑体" w:hAnsi="黑体" w:eastAsia="黑体"/>
          <w:kern w:val="2"/>
          <w:sz w:val="32"/>
          <w:lang w:eastAsia="zh-CN"/>
        </w:rPr>
      </w:pPr>
      <w:r>
        <w:rPr>
          <w:rFonts w:hint="eastAsia" w:ascii="黑体" w:hAnsi="黑体" w:eastAsia="黑体"/>
          <w:kern w:val="2"/>
          <w:sz w:val="32"/>
          <w:lang w:eastAsia="zh-CN"/>
        </w:rPr>
        <w:t>预算绩效信息</w:t>
      </w:r>
    </w:p>
    <w:p>
      <w:pPr>
        <w:pStyle w:val="20"/>
        <w:ind w:firstLine="560"/>
      </w:pPr>
      <w:r>
        <w:rPr>
          <w:rFonts w:ascii="方正仿宋_GBK" w:hAnsi="方正仿宋_GBK" w:eastAsia="方正仿宋_GBK" w:cs="方正仿宋_GBK"/>
          <w:b/>
          <w:color w:val="000000"/>
          <w:sz w:val="28"/>
        </w:rPr>
        <w:t>1、2019年-2021年公园养护管理和防护林养护绩效目标表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1.保持并完善三座公园的绿地景观效果</w:t>
            </w:r>
          </w:p>
          <w:p>
            <w:pPr>
              <w:pStyle w:val="22"/>
            </w:pPr>
            <w:r>
              <w:t>2.确保养护绿地、行道树更加整洁、优美、有序，进一步巩固绿化成果，提升城市品质，为市民提供强身健体的休闲、娱乐环境</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养护公园数量</w:t>
            </w:r>
          </w:p>
        </w:tc>
        <w:tc>
          <w:tcPr>
            <w:tcW w:w="2835" w:type="dxa"/>
            <w:vAlign w:val="center"/>
          </w:tcPr>
          <w:p>
            <w:pPr>
              <w:pStyle w:val="22"/>
            </w:pPr>
            <w:r>
              <w:t>进行全覆盖养护管理工作的公园数量</w:t>
            </w:r>
          </w:p>
        </w:tc>
        <w:tc>
          <w:tcPr>
            <w:tcW w:w="2551" w:type="dxa"/>
            <w:vAlign w:val="center"/>
          </w:tcPr>
          <w:p>
            <w:pPr>
              <w:pStyle w:val="22"/>
            </w:pPr>
            <w:r>
              <w:t>3座</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绿化成活率</w:t>
            </w:r>
          </w:p>
        </w:tc>
        <w:tc>
          <w:tcPr>
            <w:tcW w:w="2835" w:type="dxa"/>
            <w:vAlign w:val="center"/>
          </w:tcPr>
          <w:p>
            <w:pPr>
              <w:pStyle w:val="22"/>
            </w:pPr>
            <w:r>
              <w:t>反映种植苗木成活情况</w:t>
            </w:r>
          </w:p>
        </w:tc>
        <w:tc>
          <w:tcPr>
            <w:tcW w:w="2551" w:type="dxa"/>
            <w:vAlign w:val="center"/>
          </w:tcPr>
          <w:p>
            <w:pPr>
              <w:pStyle w:val="22"/>
            </w:pPr>
            <w:r>
              <w:t>≥95%</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工作完成及时率</w:t>
            </w:r>
          </w:p>
        </w:tc>
        <w:tc>
          <w:tcPr>
            <w:tcW w:w="2835" w:type="dxa"/>
            <w:vAlign w:val="center"/>
          </w:tcPr>
          <w:p>
            <w:pPr>
              <w:pStyle w:val="22"/>
            </w:pPr>
            <w:r>
              <w:t>反映各项任务完成及时情况</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居民投诉率</w:t>
            </w:r>
          </w:p>
        </w:tc>
        <w:tc>
          <w:tcPr>
            <w:tcW w:w="2835" w:type="dxa"/>
            <w:vAlign w:val="center"/>
          </w:tcPr>
          <w:p>
            <w:pPr>
              <w:pStyle w:val="22"/>
            </w:pPr>
            <w:r>
              <w:t>反映公园养护管理及防护林养护居民的投诉情况</w:t>
            </w:r>
          </w:p>
        </w:tc>
        <w:tc>
          <w:tcPr>
            <w:tcW w:w="2551" w:type="dxa"/>
            <w:vAlign w:val="center"/>
          </w:tcPr>
          <w:p>
            <w:pPr>
              <w:pStyle w:val="22"/>
            </w:pPr>
            <w:r>
              <w:t>≤10%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满意度指标</w:t>
            </w:r>
          </w:p>
        </w:tc>
        <w:tc>
          <w:tcPr>
            <w:tcW w:w="2268" w:type="dxa"/>
            <w:vAlign w:val="center"/>
          </w:tcPr>
          <w:p>
            <w:pPr>
              <w:pStyle w:val="22"/>
            </w:pPr>
            <w:r>
              <w:t>服务对象满意度指标</w:t>
            </w:r>
          </w:p>
        </w:tc>
        <w:tc>
          <w:tcPr>
            <w:tcW w:w="2835" w:type="dxa"/>
            <w:vAlign w:val="center"/>
          </w:tcPr>
          <w:p>
            <w:pPr>
              <w:pStyle w:val="22"/>
            </w:pPr>
            <w:r>
              <w:t>群众满意度</w:t>
            </w:r>
          </w:p>
        </w:tc>
        <w:tc>
          <w:tcPr>
            <w:tcW w:w="2835" w:type="dxa"/>
            <w:vAlign w:val="center"/>
          </w:tcPr>
          <w:p>
            <w:pPr>
              <w:pStyle w:val="22"/>
            </w:pPr>
            <w:r>
              <w:t>受访群众达到基本满意以上人数与全体受访人数的比值</w:t>
            </w:r>
          </w:p>
        </w:tc>
        <w:tc>
          <w:tcPr>
            <w:tcW w:w="2551" w:type="dxa"/>
            <w:vAlign w:val="center"/>
          </w:tcPr>
          <w:p>
            <w:pPr>
              <w:pStyle w:val="22"/>
            </w:pPr>
            <w:r>
              <w:t>≥95%</w:t>
            </w:r>
          </w:p>
        </w:tc>
        <w:tc>
          <w:tcPr>
            <w:tcW w:w="2268" w:type="dxa"/>
            <w:vAlign w:val="center"/>
          </w:tcPr>
          <w:p>
            <w:pPr>
              <w:pStyle w:val="22"/>
            </w:pPr>
            <w:r>
              <w:t>问卷调查</w:t>
            </w:r>
          </w:p>
        </w:tc>
      </w:tr>
    </w:tbl>
    <w:p>
      <w:pPr>
        <w:pStyle w:val="20"/>
        <w:rPr>
          <w:rFonts w:hint="eastAsia" w:ascii="方正仿宋_GBK" w:hAnsi="方正仿宋_GBK" w:eastAsia="方正仿宋_GBK" w:cs="方正仿宋_GBK"/>
          <w:b/>
          <w:color w:val="000000"/>
          <w:sz w:val="28"/>
          <w:lang w:val="en-US" w:eastAsia="zh-CN"/>
        </w:rPr>
      </w:pPr>
    </w:p>
    <w:p>
      <w:pPr>
        <w:pStyle w:val="20"/>
        <w:ind w:firstLine="560"/>
      </w:pP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、2019年度公共厕所新建及改建三位一体项目绩效目标表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1.提升城市形象，在高阳县城区建设7座高标准公共厕所</w:t>
            </w:r>
          </w:p>
          <w:p>
            <w:pPr>
              <w:pStyle w:val="22"/>
            </w:pPr>
            <w:r>
              <w:t>2.加强基础设施建设，展示城市文明，让居民“方便”更方便</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建成公厕数量</w:t>
            </w:r>
          </w:p>
        </w:tc>
        <w:tc>
          <w:tcPr>
            <w:tcW w:w="2835" w:type="dxa"/>
            <w:vAlign w:val="center"/>
          </w:tcPr>
          <w:p>
            <w:pPr>
              <w:pStyle w:val="22"/>
            </w:pPr>
            <w:r>
              <w:t>反映建成公厕数量情况</w:t>
            </w:r>
          </w:p>
        </w:tc>
        <w:tc>
          <w:tcPr>
            <w:tcW w:w="2551" w:type="dxa"/>
            <w:vAlign w:val="center"/>
          </w:tcPr>
          <w:p>
            <w:pPr>
              <w:pStyle w:val="22"/>
            </w:pPr>
            <w:r>
              <w:t>7座</w:t>
            </w:r>
          </w:p>
        </w:tc>
        <w:tc>
          <w:tcPr>
            <w:tcW w:w="2268" w:type="dxa"/>
            <w:vAlign w:val="center"/>
          </w:tcPr>
          <w:p>
            <w:pPr>
              <w:pStyle w:val="22"/>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工程验收合格率</w:t>
            </w:r>
          </w:p>
        </w:tc>
        <w:tc>
          <w:tcPr>
            <w:tcW w:w="2835" w:type="dxa"/>
            <w:vAlign w:val="center"/>
          </w:tcPr>
          <w:p>
            <w:pPr>
              <w:pStyle w:val="22"/>
            </w:pPr>
            <w:r>
              <w:t>通过验收的建设工程占全部建设工程的比例</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资金支付及时率</w:t>
            </w:r>
          </w:p>
        </w:tc>
        <w:tc>
          <w:tcPr>
            <w:tcW w:w="2835" w:type="dxa"/>
            <w:vAlign w:val="center"/>
          </w:tcPr>
          <w:p>
            <w:pPr>
              <w:pStyle w:val="22"/>
            </w:pPr>
            <w:r>
              <w:t>反映资金支付的及时性状况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居民投诉率</w:t>
            </w:r>
          </w:p>
        </w:tc>
        <w:tc>
          <w:tcPr>
            <w:tcW w:w="2835" w:type="dxa"/>
            <w:vAlign w:val="center"/>
          </w:tcPr>
          <w:p>
            <w:pPr>
              <w:pStyle w:val="22"/>
            </w:pPr>
            <w:r>
              <w:t>反映公厕投入使用后对城市公共基础设施的影响情况，居民的投诉情况</w:t>
            </w:r>
          </w:p>
        </w:tc>
        <w:tc>
          <w:tcPr>
            <w:tcW w:w="2551" w:type="dxa"/>
            <w:vAlign w:val="center"/>
          </w:tcPr>
          <w:p>
            <w:pPr>
              <w:pStyle w:val="22"/>
            </w:pPr>
            <w:r>
              <w:t>≤10%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满意度指标</w:t>
            </w:r>
          </w:p>
        </w:tc>
        <w:tc>
          <w:tcPr>
            <w:tcW w:w="2268" w:type="dxa"/>
            <w:vAlign w:val="center"/>
          </w:tcPr>
          <w:p>
            <w:pPr>
              <w:pStyle w:val="22"/>
            </w:pPr>
            <w:r>
              <w:t>服务对象满意度指标</w:t>
            </w:r>
          </w:p>
        </w:tc>
        <w:tc>
          <w:tcPr>
            <w:tcW w:w="2835" w:type="dxa"/>
            <w:vAlign w:val="center"/>
          </w:tcPr>
          <w:p>
            <w:pPr>
              <w:pStyle w:val="22"/>
            </w:pPr>
            <w:r>
              <w:t>群众满意度</w:t>
            </w:r>
          </w:p>
        </w:tc>
        <w:tc>
          <w:tcPr>
            <w:tcW w:w="2835" w:type="dxa"/>
            <w:vAlign w:val="center"/>
          </w:tcPr>
          <w:p>
            <w:pPr>
              <w:pStyle w:val="22"/>
            </w:pPr>
            <w:r>
              <w:t>受访群众达到基本满意以上人数与全体受访人数的比值</w:t>
            </w:r>
          </w:p>
        </w:tc>
        <w:tc>
          <w:tcPr>
            <w:tcW w:w="2551" w:type="dxa"/>
            <w:vAlign w:val="center"/>
          </w:tcPr>
          <w:p>
            <w:pPr>
              <w:pStyle w:val="22"/>
            </w:pPr>
            <w:r>
              <w:t>≥95%</w:t>
            </w:r>
          </w:p>
        </w:tc>
        <w:tc>
          <w:tcPr>
            <w:tcW w:w="2268" w:type="dxa"/>
            <w:vAlign w:val="center"/>
          </w:tcPr>
          <w:p>
            <w:pPr>
              <w:pStyle w:val="22"/>
            </w:pPr>
            <w:r>
              <w:t>年度工作计划</w:t>
            </w:r>
          </w:p>
        </w:tc>
      </w:tr>
    </w:tbl>
    <w:p>
      <w:pPr>
        <w:pStyle w:val="20"/>
      </w:pPr>
    </w:p>
    <w:p>
      <w:pPr>
        <w:pStyle w:val="20"/>
        <w:ind w:firstLine="560"/>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、朝阳园和仝和园提升工程绩效目标表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1.完善考核指标，完成朝阳园和仝合园的改造提升</w:t>
            </w:r>
          </w:p>
          <w:p>
            <w:pPr>
              <w:pStyle w:val="22"/>
            </w:pPr>
            <w:r>
              <w:t>2.提升城市景观、增加城区绿地面积，为居民提供良好的休憩健身场所</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灌木完成数量</w:t>
            </w:r>
          </w:p>
        </w:tc>
        <w:tc>
          <w:tcPr>
            <w:tcW w:w="2835" w:type="dxa"/>
            <w:vAlign w:val="center"/>
          </w:tcPr>
          <w:p>
            <w:pPr>
              <w:pStyle w:val="22"/>
            </w:pPr>
            <w:r>
              <w:t>新增乔灌木数量</w:t>
            </w:r>
          </w:p>
        </w:tc>
        <w:tc>
          <w:tcPr>
            <w:tcW w:w="2551" w:type="dxa"/>
            <w:vAlign w:val="center"/>
          </w:tcPr>
          <w:p>
            <w:pPr>
              <w:pStyle w:val="22"/>
            </w:pPr>
            <w:r>
              <w:t>≥350株</w:t>
            </w:r>
          </w:p>
        </w:tc>
        <w:tc>
          <w:tcPr>
            <w:tcW w:w="2268" w:type="dxa"/>
            <w:vAlign w:val="center"/>
          </w:tcPr>
          <w:p>
            <w:pPr>
              <w:pStyle w:val="22"/>
            </w:pPr>
            <w:r>
              <w:t>施工工作计划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验收合格率</w:t>
            </w:r>
          </w:p>
        </w:tc>
        <w:tc>
          <w:tcPr>
            <w:tcW w:w="2835" w:type="dxa"/>
            <w:vAlign w:val="center"/>
          </w:tcPr>
          <w:p>
            <w:pPr>
              <w:pStyle w:val="22"/>
            </w:pPr>
            <w:r>
              <w:t>通过质量验收的面积占全部施工面积的比值</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 xml:space="preserve"> 建设工期内完成率</w:t>
            </w:r>
          </w:p>
        </w:tc>
        <w:tc>
          <w:tcPr>
            <w:tcW w:w="2835" w:type="dxa"/>
            <w:vAlign w:val="center"/>
          </w:tcPr>
          <w:p>
            <w:pPr>
              <w:pStyle w:val="22"/>
            </w:pPr>
            <w:r>
              <w:t>合同约定开工至完工所经历的时间（10天内）</w:t>
            </w:r>
          </w:p>
        </w:tc>
        <w:tc>
          <w:tcPr>
            <w:tcW w:w="2551" w:type="dxa"/>
            <w:vAlign w:val="center"/>
          </w:tcPr>
          <w:p>
            <w:pPr>
              <w:pStyle w:val="22"/>
            </w:pPr>
            <w:r>
              <w:t>100%</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居民投诉率</w:t>
            </w:r>
          </w:p>
        </w:tc>
        <w:tc>
          <w:tcPr>
            <w:tcW w:w="2835" w:type="dxa"/>
            <w:vAlign w:val="center"/>
          </w:tcPr>
          <w:p>
            <w:pPr>
              <w:pStyle w:val="22"/>
            </w:pPr>
            <w:r>
              <w:t>反映朝阳园和仝合园的改造提升的投诉情况</w:t>
            </w:r>
          </w:p>
        </w:tc>
        <w:tc>
          <w:tcPr>
            <w:tcW w:w="2551" w:type="dxa"/>
            <w:vAlign w:val="center"/>
          </w:tcPr>
          <w:p>
            <w:pPr>
              <w:pStyle w:val="22"/>
            </w:pPr>
            <w:r>
              <w:t>≤10%</w:t>
            </w:r>
          </w:p>
        </w:tc>
        <w:tc>
          <w:tcPr>
            <w:tcW w:w="2268" w:type="dxa"/>
            <w:vAlign w:val="center"/>
          </w:tcPr>
          <w:p>
            <w:pPr>
              <w:pStyle w:val="22"/>
            </w:pPr>
            <w:r>
              <w:t>年度工作计划</w:t>
            </w:r>
          </w:p>
        </w:tc>
      </w:tr>
    </w:tbl>
    <w:p>
      <w:pPr>
        <w:pStyle w:val="20"/>
        <w:ind w:firstLine="560"/>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、城区公厕、环卫及园林绿化水费绩效目标表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保障城区公厕、环卫清扫及园林绿化养护正常用水</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公厕正常用水数量</w:t>
            </w:r>
          </w:p>
        </w:tc>
        <w:tc>
          <w:tcPr>
            <w:tcW w:w="2835" w:type="dxa"/>
            <w:vAlign w:val="center"/>
          </w:tcPr>
          <w:p>
            <w:pPr>
              <w:pStyle w:val="22"/>
            </w:pPr>
            <w:r>
              <w:t>城区范围内正常用水的公厕数量</w:t>
            </w:r>
          </w:p>
        </w:tc>
        <w:tc>
          <w:tcPr>
            <w:tcW w:w="2551" w:type="dxa"/>
            <w:vAlign w:val="center"/>
          </w:tcPr>
          <w:p>
            <w:pPr>
              <w:pStyle w:val="22"/>
            </w:pPr>
            <w:r>
              <w:t>17座</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水质达标率</w:t>
            </w:r>
          </w:p>
        </w:tc>
        <w:tc>
          <w:tcPr>
            <w:tcW w:w="2835" w:type="dxa"/>
            <w:vAlign w:val="center"/>
          </w:tcPr>
          <w:p>
            <w:pPr>
              <w:pStyle w:val="22"/>
            </w:pPr>
            <w:r>
              <w:t>反映绿化用水水质情况</w:t>
            </w:r>
          </w:p>
        </w:tc>
        <w:tc>
          <w:tcPr>
            <w:tcW w:w="2551" w:type="dxa"/>
            <w:vAlign w:val="center"/>
          </w:tcPr>
          <w:p>
            <w:pPr>
              <w:pStyle w:val="22"/>
            </w:pPr>
            <w:r>
              <w:t>≥80%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 xml:space="preserve"> 资金支付及时率</w:t>
            </w:r>
          </w:p>
        </w:tc>
        <w:tc>
          <w:tcPr>
            <w:tcW w:w="2835" w:type="dxa"/>
            <w:vAlign w:val="center"/>
          </w:tcPr>
          <w:p>
            <w:pPr>
              <w:pStyle w:val="22"/>
            </w:pPr>
            <w:r>
              <w:t>反映资金支付的及时性状况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可持续影响指标</w:t>
            </w:r>
          </w:p>
        </w:tc>
        <w:tc>
          <w:tcPr>
            <w:tcW w:w="2835" w:type="dxa"/>
            <w:vAlign w:val="center"/>
          </w:tcPr>
          <w:p>
            <w:pPr>
              <w:pStyle w:val="22"/>
            </w:pPr>
            <w:r>
              <w:t>工作开展效果的持续性</w:t>
            </w:r>
          </w:p>
        </w:tc>
        <w:tc>
          <w:tcPr>
            <w:tcW w:w="2835" w:type="dxa"/>
            <w:vAlign w:val="center"/>
          </w:tcPr>
          <w:p>
            <w:pPr>
              <w:pStyle w:val="22"/>
            </w:pPr>
            <w:r>
              <w:t>是否能够长期较好的保障城区公厕、环卫及园林绿化正常用水的需要</w:t>
            </w:r>
          </w:p>
        </w:tc>
        <w:tc>
          <w:tcPr>
            <w:tcW w:w="2551" w:type="dxa"/>
            <w:vAlign w:val="center"/>
          </w:tcPr>
          <w:p>
            <w:pPr>
              <w:pStyle w:val="22"/>
            </w:pPr>
            <w:r>
              <w:t>100%</w:t>
            </w:r>
          </w:p>
        </w:tc>
        <w:tc>
          <w:tcPr>
            <w:tcW w:w="2268" w:type="dxa"/>
            <w:vAlign w:val="center"/>
          </w:tcPr>
          <w:p>
            <w:pPr>
              <w:pStyle w:val="22"/>
            </w:pPr>
            <w:r>
              <w:t>年度工作计划</w:t>
            </w:r>
          </w:p>
        </w:tc>
      </w:tr>
    </w:tbl>
    <w:p>
      <w:pPr>
        <w:pStyle w:val="20"/>
      </w:pPr>
    </w:p>
    <w:p>
      <w:pPr>
        <w:pStyle w:val="20"/>
        <w:ind w:firstLine="560"/>
      </w:pP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、城区亮化工程绩效目标表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助力夜经济，营造夜晚景观，提升城市风貌</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质量指标</w:t>
            </w:r>
          </w:p>
        </w:tc>
        <w:tc>
          <w:tcPr>
            <w:tcW w:w="2835" w:type="dxa"/>
            <w:vAlign w:val="center"/>
          </w:tcPr>
          <w:p>
            <w:pPr>
              <w:pStyle w:val="22"/>
            </w:pPr>
            <w:r>
              <w:t>验收合格率</w:t>
            </w:r>
          </w:p>
        </w:tc>
        <w:tc>
          <w:tcPr>
            <w:tcW w:w="2835" w:type="dxa"/>
            <w:vAlign w:val="center"/>
          </w:tcPr>
          <w:p>
            <w:pPr>
              <w:pStyle w:val="22"/>
            </w:pPr>
            <w:r>
              <w:t>验收合格数量占施工总数量的比例</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 xml:space="preserve"> 工作完成及时率</w:t>
            </w:r>
          </w:p>
        </w:tc>
        <w:tc>
          <w:tcPr>
            <w:tcW w:w="2835" w:type="dxa"/>
            <w:vAlign w:val="center"/>
          </w:tcPr>
          <w:p>
            <w:pPr>
              <w:pStyle w:val="22"/>
            </w:pPr>
            <w:r>
              <w:t>在要求的时间完成数量与计划数量的比值</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设施成本</w:t>
            </w:r>
          </w:p>
        </w:tc>
        <w:tc>
          <w:tcPr>
            <w:tcW w:w="2835" w:type="dxa"/>
            <w:vAlign w:val="center"/>
          </w:tcPr>
          <w:p>
            <w:pPr>
              <w:pStyle w:val="22"/>
            </w:pPr>
            <w:r>
              <w:t>公园北门景观字单价</w:t>
            </w:r>
          </w:p>
        </w:tc>
        <w:tc>
          <w:tcPr>
            <w:tcW w:w="2551" w:type="dxa"/>
            <w:vAlign w:val="center"/>
          </w:tcPr>
          <w:p>
            <w:pPr>
              <w:pStyle w:val="22"/>
            </w:pPr>
            <w:r>
              <w:t>≤1200元/平方米</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数量指标</w:t>
            </w:r>
          </w:p>
        </w:tc>
        <w:tc>
          <w:tcPr>
            <w:tcW w:w="2835" w:type="dxa"/>
            <w:vAlign w:val="center"/>
          </w:tcPr>
          <w:p>
            <w:pPr>
              <w:pStyle w:val="22"/>
            </w:pPr>
            <w:r>
              <w:t>安装灯带的数量</w:t>
            </w:r>
          </w:p>
        </w:tc>
        <w:tc>
          <w:tcPr>
            <w:tcW w:w="2835" w:type="dxa"/>
            <w:vAlign w:val="center"/>
          </w:tcPr>
          <w:p>
            <w:pPr>
              <w:pStyle w:val="22"/>
            </w:pPr>
            <w:r>
              <w:t>安装灯带的数量</w:t>
            </w:r>
          </w:p>
        </w:tc>
        <w:tc>
          <w:tcPr>
            <w:tcW w:w="2551" w:type="dxa"/>
            <w:vAlign w:val="center"/>
          </w:tcPr>
          <w:p>
            <w:pPr>
              <w:pStyle w:val="22"/>
            </w:pPr>
            <w:r>
              <w:t>1479串</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居民对环境的投诉率</w:t>
            </w:r>
          </w:p>
        </w:tc>
        <w:tc>
          <w:tcPr>
            <w:tcW w:w="2835" w:type="dxa"/>
            <w:vAlign w:val="center"/>
          </w:tcPr>
          <w:p>
            <w:pPr>
              <w:pStyle w:val="22"/>
            </w:pPr>
            <w:r>
              <w:t>反映项目开展对周边环境起到哪些作用，居民的投诉情况</w:t>
            </w:r>
          </w:p>
        </w:tc>
        <w:tc>
          <w:tcPr>
            <w:tcW w:w="2551" w:type="dxa"/>
            <w:vAlign w:val="center"/>
          </w:tcPr>
          <w:p>
            <w:pPr>
              <w:pStyle w:val="22"/>
            </w:pPr>
            <w:r>
              <w:t>≤10%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满意度指标</w:t>
            </w:r>
          </w:p>
        </w:tc>
        <w:tc>
          <w:tcPr>
            <w:tcW w:w="2268" w:type="dxa"/>
            <w:vAlign w:val="center"/>
          </w:tcPr>
          <w:p>
            <w:pPr>
              <w:pStyle w:val="22"/>
            </w:pPr>
            <w:r>
              <w:t>服务对象满意度指标</w:t>
            </w:r>
          </w:p>
        </w:tc>
        <w:tc>
          <w:tcPr>
            <w:tcW w:w="2835" w:type="dxa"/>
            <w:vAlign w:val="center"/>
          </w:tcPr>
          <w:p>
            <w:pPr>
              <w:pStyle w:val="22"/>
            </w:pPr>
            <w:r>
              <w:t>公众满意度</w:t>
            </w:r>
          </w:p>
        </w:tc>
        <w:tc>
          <w:tcPr>
            <w:tcW w:w="2835" w:type="dxa"/>
            <w:vAlign w:val="center"/>
          </w:tcPr>
          <w:p>
            <w:pPr>
              <w:pStyle w:val="22"/>
            </w:pPr>
            <w:r>
              <w:t>达到基本满意以上的受访人员与全体受访人数的比值</w:t>
            </w:r>
          </w:p>
        </w:tc>
        <w:tc>
          <w:tcPr>
            <w:tcW w:w="2551" w:type="dxa"/>
            <w:vAlign w:val="center"/>
          </w:tcPr>
          <w:p>
            <w:pPr>
              <w:pStyle w:val="22"/>
            </w:pPr>
            <w:r>
              <w:t>≥95%</w:t>
            </w:r>
          </w:p>
        </w:tc>
        <w:tc>
          <w:tcPr>
            <w:tcW w:w="2268" w:type="dxa"/>
            <w:vAlign w:val="center"/>
          </w:tcPr>
          <w:p>
            <w:pPr>
              <w:pStyle w:val="22"/>
            </w:pPr>
            <w:r>
              <w:t>问卷调查</w:t>
            </w:r>
          </w:p>
        </w:tc>
      </w:tr>
    </w:tbl>
    <w:p>
      <w:pPr>
        <w:pStyle w:val="20"/>
      </w:pPr>
    </w:p>
    <w:p>
      <w:pPr>
        <w:pStyle w:val="20"/>
        <w:ind w:firstLine="560"/>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、城区绿地和公园绿地社会化养护绩效目标表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1.保持并完善三座公园的绿地景观效果</w:t>
            </w:r>
          </w:p>
          <w:p>
            <w:pPr>
              <w:pStyle w:val="22"/>
            </w:pPr>
            <w:r>
              <w:t>2.保持并完善城区道路、游园及防护林绿地的景观效果</w:t>
            </w:r>
          </w:p>
          <w:p>
            <w:pPr>
              <w:pStyle w:val="22"/>
            </w:pPr>
            <w:r>
              <w:t>3.确保公园绿地、行道树更加整洁、优美、有序，进一步巩固公园绿化成果，为市民提供强身健体的休闲、游憩场所</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养护数量</w:t>
            </w:r>
          </w:p>
        </w:tc>
        <w:tc>
          <w:tcPr>
            <w:tcW w:w="2835" w:type="dxa"/>
            <w:vAlign w:val="center"/>
          </w:tcPr>
          <w:p>
            <w:pPr>
              <w:pStyle w:val="22"/>
            </w:pPr>
            <w:r>
              <w:t>反映城区公园养护数量情况</w:t>
            </w:r>
          </w:p>
        </w:tc>
        <w:tc>
          <w:tcPr>
            <w:tcW w:w="2551" w:type="dxa"/>
            <w:vAlign w:val="center"/>
          </w:tcPr>
          <w:p>
            <w:pPr>
              <w:pStyle w:val="22"/>
            </w:pPr>
            <w:r>
              <w:t>3座</w:t>
            </w:r>
          </w:p>
        </w:tc>
        <w:tc>
          <w:tcPr>
            <w:tcW w:w="2268" w:type="dxa"/>
            <w:vAlign w:val="center"/>
          </w:tcPr>
          <w:p>
            <w:pPr>
              <w:pStyle w:val="22"/>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绿化成活率</w:t>
            </w:r>
          </w:p>
        </w:tc>
        <w:tc>
          <w:tcPr>
            <w:tcW w:w="2835" w:type="dxa"/>
            <w:vAlign w:val="center"/>
          </w:tcPr>
          <w:p>
            <w:pPr>
              <w:pStyle w:val="22"/>
            </w:pPr>
            <w:r>
              <w:t>反映种植苗木成活情况</w:t>
            </w:r>
          </w:p>
        </w:tc>
        <w:tc>
          <w:tcPr>
            <w:tcW w:w="2551" w:type="dxa"/>
            <w:vAlign w:val="center"/>
          </w:tcPr>
          <w:p>
            <w:pPr>
              <w:pStyle w:val="22"/>
            </w:pPr>
            <w:r>
              <w:t>≥95%</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 xml:space="preserve"> 工作完成及时率</w:t>
            </w:r>
          </w:p>
        </w:tc>
        <w:tc>
          <w:tcPr>
            <w:tcW w:w="2835" w:type="dxa"/>
            <w:vAlign w:val="center"/>
          </w:tcPr>
          <w:p>
            <w:pPr>
              <w:pStyle w:val="22"/>
            </w:pPr>
            <w:r>
              <w:t>反映养护活动完成情况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养护单价</w:t>
            </w:r>
          </w:p>
        </w:tc>
        <w:tc>
          <w:tcPr>
            <w:tcW w:w="2835" w:type="dxa"/>
            <w:vAlign w:val="center"/>
          </w:tcPr>
          <w:p>
            <w:pPr>
              <w:pStyle w:val="22"/>
            </w:pPr>
            <w:r>
              <w:t>合同约定养护单价成本</w:t>
            </w:r>
          </w:p>
        </w:tc>
        <w:tc>
          <w:tcPr>
            <w:tcW w:w="2551" w:type="dxa"/>
            <w:vAlign w:val="center"/>
          </w:tcPr>
          <w:p>
            <w:pPr>
              <w:pStyle w:val="22"/>
            </w:pPr>
            <w:r>
              <w:t>≤74.25万元/月</w:t>
            </w:r>
          </w:p>
        </w:tc>
        <w:tc>
          <w:tcPr>
            <w:tcW w:w="2268" w:type="dxa"/>
            <w:vAlign w:val="center"/>
          </w:tcPr>
          <w:p>
            <w:pPr>
              <w:pStyle w:val="22"/>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居民对环境的投诉率</w:t>
            </w:r>
          </w:p>
        </w:tc>
        <w:tc>
          <w:tcPr>
            <w:tcW w:w="2835" w:type="dxa"/>
            <w:vAlign w:val="center"/>
          </w:tcPr>
          <w:p>
            <w:pPr>
              <w:pStyle w:val="22"/>
            </w:pPr>
            <w:r>
              <w:t>反映项目开展对周边环境起到哪些作用，居民的投诉情况</w:t>
            </w:r>
          </w:p>
        </w:tc>
        <w:tc>
          <w:tcPr>
            <w:tcW w:w="2551" w:type="dxa"/>
            <w:vAlign w:val="center"/>
          </w:tcPr>
          <w:p>
            <w:pPr>
              <w:pStyle w:val="22"/>
            </w:pPr>
            <w:r>
              <w:t>≤10%</w:t>
            </w:r>
          </w:p>
        </w:tc>
        <w:tc>
          <w:tcPr>
            <w:tcW w:w="2268" w:type="dxa"/>
            <w:vAlign w:val="center"/>
          </w:tcPr>
          <w:p>
            <w:pPr>
              <w:pStyle w:val="22"/>
            </w:pPr>
            <w:r>
              <w:t>年度工作计划</w:t>
            </w:r>
          </w:p>
        </w:tc>
      </w:tr>
    </w:tbl>
    <w:p>
      <w:pPr>
        <w:pStyle w:val="20"/>
      </w:pPr>
    </w:p>
    <w:p>
      <w:pPr>
        <w:pStyle w:val="20"/>
        <w:ind w:firstLine="560"/>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、城区树木补植绩效目标表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1.对保沧路、商贸大街南延、高安路、北二环等路段进行苗木补植</w:t>
            </w:r>
          </w:p>
          <w:p>
            <w:pPr>
              <w:pStyle w:val="22"/>
            </w:pPr>
            <w:r>
              <w:t>2.减少行道树缺株断垄，提升道路绿化景观</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961"/>
        <w:gridCol w:w="2425"/>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961" w:type="dxa"/>
            <w:vAlign w:val="center"/>
          </w:tcPr>
          <w:p>
            <w:pPr>
              <w:pStyle w:val="21"/>
            </w:pPr>
            <w:r>
              <w:t>绩效指标描述</w:t>
            </w:r>
          </w:p>
        </w:tc>
        <w:tc>
          <w:tcPr>
            <w:tcW w:w="2425"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补植数量</w:t>
            </w:r>
          </w:p>
        </w:tc>
        <w:tc>
          <w:tcPr>
            <w:tcW w:w="2961" w:type="dxa"/>
            <w:vAlign w:val="center"/>
          </w:tcPr>
          <w:p>
            <w:pPr>
              <w:pStyle w:val="22"/>
            </w:pPr>
            <w:r>
              <w:t>实际完成的苗木补植数量</w:t>
            </w:r>
          </w:p>
        </w:tc>
        <w:tc>
          <w:tcPr>
            <w:tcW w:w="2425" w:type="dxa"/>
            <w:vAlign w:val="center"/>
          </w:tcPr>
          <w:p>
            <w:pPr>
              <w:pStyle w:val="22"/>
            </w:pPr>
            <w:r>
              <w:t>≥1030株</w:t>
            </w:r>
          </w:p>
        </w:tc>
        <w:tc>
          <w:tcPr>
            <w:tcW w:w="2268" w:type="dxa"/>
            <w:vAlign w:val="center"/>
          </w:tcPr>
          <w:p>
            <w:pPr>
              <w:pStyle w:val="22"/>
            </w:pPr>
            <w:r>
              <w:t>施工工作计划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验收合格率</w:t>
            </w:r>
          </w:p>
        </w:tc>
        <w:tc>
          <w:tcPr>
            <w:tcW w:w="2961" w:type="dxa"/>
            <w:vAlign w:val="center"/>
          </w:tcPr>
          <w:p>
            <w:pPr>
              <w:pStyle w:val="22"/>
            </w:pPr>
            <w:r>
              <w:t>验收合格数量占施工总数量的比例</w:t>
            </w:r>
          </w:p>
        </w:tc>
        <w:tc>
          <w:tcPr>
            <w:tcW w:w="2425"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 xml:space="preserve"> 工作完成及时率</w:t>
            </w:r>
          </w:p>
        </w:tc>
        <w:tc>
          <w:tcPr>
            <w:tcW w:w="2961" w:type="dxa"/>
            <w:vAlign w:val="center"/>
          </w:tcPr>
          <w:p>
            <w:pPr>
              <w:pStyle w:val="22"/>
            </w:pPr>
            <w:r>
              <w:t>在要求的时间完成数量与计划数量的比值</w:t>
            </w:r>
          </w:p>
        </w:tc>
        <w:tc>
          <w:tcPr>
            <w:tcW w:w="2425" w:type="dxa"/>
            <w:vAlign w:val="center"/>
          </w:tcPr>
          <w:p>
            <w:pPr>
              <w:pStyle w:val="22"/>
            </w:pPr>
            <w:r>
              <w:t>100%</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961" w:type="dxa"/>
            <w:vAlign w:val="center"/>
          </w:tcPr>
          <w:p>
            <w:pPr>
              <w:pStyle w:val="22"/>
            </w:pPr>
            <w:r>
              <w:t>实际支出金额占预算金额的比例</w:t>
            </w:r>
          </w:p>
        </w:tc>
        <w:tc>
          <w:tcPr>
            <w:tcW w:w="2425"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居民对环境的投诉率</w:t>
            </w:r>
          </w:p>
        </w:tc>
        <w:tc>
          <w:tcPr>
            <w:tcW w:w="2961" w:type="dxa"/>
            <w:vAlign w:val="center"/>
          </w:tcPr>
          <w:p>
            <w:pPr>
              <w:pStyle w:val="22"/>
            </w:pPr>
            <w:r>
              <w:t>反映项目开展对周边环境起到哪些作用，居民的投诉情况</w:t>
            </w:r>
          </w:p>
        </w:tc>
        <w:tc>
          <w:tcPr>
            <w:tcW w:w="2425" w:type="dxa"/>
            <w:vAlign w:val="center"/>
          </w:tcPr>
          <w:p>
            <w:pPr>
              <w:pStyle w:val="22"/>
            </w:pPr>
            <w:r>
              <w:t>≤10%</w:t>
            </w:r>
          </w:p>
        </w:tc>
        <w:tc>
          <w:tcPr>
            <w:tcW w:w="2268" w:type="dxa"/>
            <w:vAlign w:val="center"/>
          </w:tcPr>
          <w:p>
            <w:pPr>
              <w:pStyle w:val="22"/>
            </w:pPr>
            <w:r>
              <w:t>年度工作计划</w:t>
            </w:r>
          </w:p>
        </w:tc>
      </w:tr>
    </w:tbl>
    <w:p>
      <w:pPr>
        <w:pStyle w:val="20"/>
      </w:pPr>
    </w:p>
    <w:p>
      <w:pPr>
        <w:pStyle w:val="20"/>
        <w:ind w:firstLine="560"/>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、城区树木移植绩效目标表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1.保障苗木移植工作正常开展</w:t>
            </w:r>
          </w:p>
          <w:p>
            <w:pPr>
              <w:pStyle w:val="22"/>
            </w:pPr>
            <w:r>
              <w:t>2.为旅发大会商贸城改造提升和经六路的建设创造条件</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苗木移植数量</w:t>
            </w:r>
          </w:p>
        </w:tc>
        <w:tc>
          <w:tcPr>
            <w:tcW w:w="2835" w:type="dxa"/>
            <w:vAlign w:val="center"/>
          </w:tcPr>
          <w:p>
            <w:pPr>
              <w:pStyle w:val="22"/>
            </w:pPr>
            <w:r>
              <w:t>实际完成的苗木移植数量</w:t>
            </w:r>
          </w:p>
        </w:tc>
        <w:tc>
          <w:tcPr>
            <w:tcW w:w="2551" w:type="dxa"/>
            <w:vAlign w:val="center"/>
          </w:tcPr>
          <w:p>
            <w:pPr>
              <w:pStyle w:val="22"/>
            </w:pPr>
            <w:r>
              <w:t>378株</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验收合格率</w:t>
            </w:r>
          </w:p>
        </w:tc>
        <w:tc>
          <w:tcPr>
            <w:tcW w:w="2835" w:type="dxa"/>
            <w:vAlign w:val="center"/>
          </w:tcPr>
          <w:p>
            <w:pPr>
              <w:pStyle w:val="22"/>
            </w:pPr>
            <w:r>
              <w:t>验收合格数量占施工总数量的比例</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工作完成及时率</w:t>
            </w:r>
          </w:p>
        </w:tc>
        <w:tc>
          <w:tcPr>
            <w:tcW w:w="2835" w:type="dxa"/>
            <w:vAlign w:val="center"/>
          </w:tcPr>
          <w:p>
            <w:pPr>
              <w:pStyle w:val="22"/>
            </w:pPr>
            <w:r>
              <w:t>在要求的时间完成数量与计划数量的比值</w:t>
            </w:r>
          </w:p>
        </w:tc>
        <w:tc>
          <w:tcPr>
            <w:tcW w:w="2551" w:type="dxa"/>
            <w:vAlign w:val="center"/>
          </w:tcPr>
          <w:p>
            <w:pPr>
              <w:pStyle w:val="22"/>
            </w:pPr>
            <w:r>
              <w:t>100%</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移植成活率</w:t>
            </w:r>
          </w:p>
        </w:tc>
        <w:tc>
          <w:tcPr>
            <w:tcW w:w="2835" w:type="dxa"/>
            <w:vAlign w:val="center"/>
          </w:tcPr>
          <w:p>
            <w:pPr>
              <w:pStyle w:val="22"/>
            </w:pPr>
            <w:r>
              <w:t>成活苗木数量与移植苗木总量的比值</w:t>
            </w:r>
          </w:p>
        </w:tc>
        <w:tc>
          <w:tcPr>
            <w:tcW w:w="2551" w:type="dxa"/>
            <w:vAlign w:val="center"/>
          </w:tcPr>
          <w:p>
            <w:pPr>
              <w:pStyle w:val="22"/>
            </w:pPr>
            <w:r>
              <w:t>≥95%</w:t>
            </w:r>
          </w:p>
        </w:tc>
        <w:tc>
          <w:tcPr>
            <w:tcW w:w="2268" w:type="dxa"/>
            <w:vAlign w:val="center"/>
          </w:tcPr>
          <w:p>
            <w:pPr>
              <w:pStyle w:val="22"/>
            </w:pPr>
            <w:r>
              <w:t>验收报告</w:t>
            </w:r>
          </w:p>
        </w:tc>
      </w:tr>
    </w:tbl>
    <w:p>
      <w:pPr>
        <w:pStyle w:val="20"/>
      </w:pPr>
    </w:p>
    <w:p>
      <w:pPr>
        <w:pStyle w:val="20"/>
        <w:ind w:firstLine="560"/>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、春季植树工程绩效目标表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1.保障2020年度春季植树工程合同尾款正常支付</w:t>
            </w:r>
          </w:p>
          <w:p>
            <w:pPr>
              <w:pStyle w:val="22"/>
            </w:pPr>
            <w:r>
              <w:t>2.美化环境，提升城市形象</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支付比率</w:t>
            </w:r>
          </w:p>
        </w:tc>
        <w:tc>
          <w:tcPr>
            <w:tcW w:w="2835" w:type="dxa"/>
            <w:vAlign w:val="center"/>
          </w:tcPr>
          <w:p>
            <w:pPr>
              <w:pStyle w:val="22"/>
            </w:pPr>
            <w:r>
              <w:t>未支付尾款与全部施工款的比值</w:t>
            </w:r>
          </w:p>
        </w:tc>
        <w:tc>
          <w:tcPr>
            <w:tcW w:w="2551" w:type="dxa"/>
            <w:vAlign w:val="center"/>
          </w:tcPr>
          <w:p>
            <w:pPr>
              <w:pStyle w:val="22"/>
            </w:pPr>
            <w:r>
              <w:t>10%</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验收合格率</w:t>
            </w:r>
          </w:p>
        </w:tc>
        <w:tc>
          <w:tcPr>
            <w:tcW w:w="2835" w:type="dxa"/>
            <w:vAlign w:val="center"/>
          </w:tcPr>
          <w:p>
            <w:pPr>
              <w:pStyle w:val="22"/>
            </w:pPr>
            <w:r>
              <w:t>验收合格数量占施工总数量的比例</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及时支付比率</w:t>
            </w:r>
          </w:p>
        </w:tc>
        <w:tc>
          <w:tcPr>
            <w:tcW w:w="2835" w:type="dxa"/>
            <w:vAlign w:val="center"/>
          </w:tcPr>
          <w:p>
            <w:pPr>
              <w:pStyle w:val="22"/>
            </w:pPr>
            <w:r>
              <w:t>按合同约定最晚支付时间，2022年4月30日前支付</w:t>
            </w:r>
          </w:p>
        </w:tc>
        <w:tc>
          <w:tcPr>
            <w:tcW w:w="2551" w:type="dxa"/>
            <w:vAlign w:val="center"/>
          </w:tcPr>
          <w:p>
            <w:pPr>
              <w:pStyle w:val="22"/>
            </w:pPr>
            <w:r>
              <w:t>100%</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生态环境问题投诉率</w:t>
            </w:r>
          </w:p>
        </w:tc>
        <w:tc>
          <w:tcPr>
            <w:tcW w:w="2835" w:type="dxa"/>
            <w:vAlign w:val="center"/>
          </w:tcPr>
          <w:p>
            <w:pPr>
              <w:pStyle w:val="22"/>
            </w:pPr>
            <w:r>
              <w:t>提高空气质量、美化城市环境，反映居民的投诉情况</w:t>
            </w:r>
          </w:p>
        </w:tc>
        <w:tc>
          <w:tcPr>
            <w:tcW w:w="2551" w:type="dxa"/>
            <w:vAlign w:val="center"/>
          </w:tcPr>
          <w:p>
            <w:pPr>
              <w:pStyle w:val="22"/>
            </w:pPr>
            <w:r>
              <w:t>≤10%</w:t>
            </w:r>
          </w:p>
        </w:tc>
        <w:tc>
          <w:tcPr>
            <w:tcW w:w="2268" w:type="dxa"/>
            <w:vAlign w:val="center"/>
          </w:tcPr>
          <w:p>
            <w:pPr>
              <w:pStyle w:val="22"/>
            </w:pPr>
            <w:r>
              <w:t>年度工作计划</w:t>
            </w:r>
          </w:p>
        </w:tc>
      </w:tr>
    </w:tbl>
    <w:p>
      <w:pPr>
        <w:pStyle w:val="20"/>
      </w:pPr>
    </w:p>
    <w:p>
      <w:pPr>
        <w:pStyle w:val="20"/>
        <w:ind w:firstLine="560"/>
        <w:rPr>
          <w:rFonts w:ascii="方正仿宋_GBK" w:hAnsi="方正仿宋_GBK" w:eastAsia="方正仿宋_GBK" w:cs="方正仿宋_GBK"/>
          <w:b/>
          <w:color w:val="000000"/>
          <w:sz w:val="28"/>
        </w:rPr>
      </w:pPr>
    </w:p>
    <w:p>
      <w:pPr>
        <w:pStyle w:val="20"/>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、高阳县城市景观建设及改造提升监理费绩效目标表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保证“高阳县城市景观建设及提升项目”施工的工程安全、质量、进度、资金使用等方面的规范和合理</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绿化工程量</w:t>
            </w:r>
          </w:p>
        </w:tc>
        <w:tc>
          <w:tcPr>
            <w:tcW w:w="2835" w:type="dxa"/>
            <w:vAlign w:val="center"/>
          </w:tcPr>
          <w:p>
            <w:pPr>
              <w:pStyle w:val="22"/>
            </w:pPr>
            <w:r>
              <w:t>合同规定实际监理的绿化面积数量</w:t>
            </w:r>
          </w:p>
        </w:tc>
        <w:tc>
          <w:tcPr>
            <w:tcW w:w="2551" w:type="dxa"/>
            <w:vAlign w:val="center"/>
          </w:tcPr>
          <w:p>
            <w:pPr>
              <w:pStyle w:val="22"/>
            </w:pPr>
            <w:r>
              <w:t>177440平方米</w:t>
            </w:r>
          </w:p>
        </w:tc>
        <w:tc>
          <w:tcPr>
            <w:tcW w:w="2268" w:type="dxa"/>
            <w:vAlign w:val="center"/>
          </w:tcPr>
          <w:p>
            <w:pPr>
              <w:pStyle w:val="22"/>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工程合格率</w:t>
            </w:r>
          </w:p>
        </w:tc>
        <w:tc>
          <w:tcPr>
            <w:tcW w:w="2835" w:type="dxa"/>
            <w:vAlign w:val="center"/>
          </w:tcPr>
          <w:p>
            <w:pPr>
              <w:pStyle w:val="22"/>
            </w:pPr>
            <w:r>
              <w:t>反映项目是否按照要求监理施工，工程合格情况</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监理期限完成率</w:t>
            </w:r>
          </w:p>
        </w:tc>
        <w:tc>
          <w:tcPr>
            <w:tcW w:w="2835" w:type="dxa"/>
            <w:vAlign w:val="center"/>
          </w:tcPr>
          <w:p>
            <w:pPr>
              <w:pStyle w:val="22"/>
            </w:pPr>
            <w:r>
              <w:t>合同约定最晚完成时间，在2020年4月30日前完成</w:t>
            </w:r>
          </w:p>
        </w:tc>
        <w:tc>
          <w:tcPr>
            <w:tcW w:w="2551" w:type="dxa"/>
            <w:vAlign w:val="center"/>
          </w:tcPr>
          <w:p>
            <w:pPr>
              <w:pStyle w:val="22"/>
            </w:pPr>
            <w:r>
              <w:t>≤100%</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监理预算成本</w:t>
            </w:r>
          </w:p>
        </w:tc>
        <w:tc>
          <w:tcPr>
            <w:tcW w:w="2835" w:type="dxa"/>
            <w:vAlign w:val="center"/>
          </w:tcPr>
          <w:p>
            <w:pPr>
              <w:pStyle w:val="22"/>
            </w:pPr>
            <w:r>
              <w:t>项目施工监理费单价</w:t>
            </w:r>
          </w:p>
        </w:tc>
        <w:tc>
          <w:tcPr>
            <w:tcW w:w="2551" w:type="dxa"/>
            <w:vAlign w:val="center"/>
          </w:tcPr>
          <w:p>
            <w:pPr>
              <w:pStyle w:val="22"/>
            </w:pPr>
            <w:r>
              <w:t>≤16.8万元</w:t>
            </w:r>
          </w:p>
        </w:tc>
        <w:tc>
          <w:tcPr>
            <w:tcW w:w="2268" w:type="dxa"/>
            <w:vAlign w:val="center"/>
          </w:tcPr>
          <w:p>
            <w:pPr>
              <w:pStyle w:val="22"/>
            </w:pPr>
            <w:r>
              <w:t>监理合同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可持续影响指标</w:t>
            </w:r>
          </w:p>
        </w:tc>
        <w:tc>
          <w:tcPr>
            <w:tcW w:w="2835" w:type="dxa"/>
            <w:vAlign w:val="center"/>
          </w:tcPr>
          <w:p>
            <w:pPr>
              <w:pStyle w:val="22"/>
            </w:pPr>
            <w:r>
              <w:t>工作效果开展的持续性</w:t>
            </w:r>
          </w:p>
        </w:tc>
        <w:tc>
          <w:tcPr>
            <w:tcW w:w="2835" w:type="dxa"/>
            <w:vAlign w:val="center"/>
          </w:tcPr>
          <w:p>
            <w:pPr>
              <w:pStyle w:val="22"/>
            </w:pPr>
            <w:r>
              <w:t>反映高阳县城市景观建设及改造提升工作开展的效果持续性情况</w:t>
            </w:r>
          </w:p>
        </w:tc>
        <w:tc>
          <w:tcPr>
            <w:tcW w:w="2551" w:type="dxa"/>
            <w:vAlign w:val="center"/>
          </w:tcPr>
          <w:p>
            <w:pPr>
              <w:pStyle w:val="22"/>
            </w:pPr>
            <w:r>
              <w:t>100%</w:t>
            </w:r>
          </w:p>
        </w:tc>
        <w:tc>
          <w:tcPr>
            <w:tcW w:w="2268" w:type="dxa"/>
            <w:vAlign w:val="center"/>
          </w:tcPr>
          <w:p>
            <w:pPr>
              <w:pStyle w:val="22"/>
            </w:pPr>
            <w:r>
              <w:t>年度工作计划</w:t>
            </w:r>
          </w:p>
        </w:tc>
      </w:tr>
    </w:tbl>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rPr>
          <w:rFonts w:ascii="方正仿宋_GBK" w:hAnsi="方正仿宋_GBK" w:eastAsia="方正仿宋_GBK" w:cs="方正仿宋_GBK"/>
          <w:b/>
          <w:color w:val="000000"/>
          <w:sz w:val="28"/>
        </w:rPr>
      </w:pPr>
    </w:p>
    <w:p>
      <w:pPr>
        <w:pStyle w:val="20"/>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、高阳县垃圾运输处理费绩效目标表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1.实行垃圾分类运输处理，及时将城乡生活垃圾和餐厨垃圾进行无害化处理</w:t>
            </w:r>
          </w:p>
          <w:p>
            <w:pPr>
              <w:pStyle w:val="22"/>
            </w:pPr>
            <w:r>
              <w:t>2.净化空气，避免环境污染，有效改善城乡居住环境</w:t>
            </w:r>
          </w:p>
          <w:p>
            <w:pPr>
              <w:pStyle w:val="22"/>
            </w:pPr>
            <w:r>
              <w:t>3.保障垃圾清运日产日清、为居民提供洁净卫生的居住环境</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无害化处理量</w:t>
            </w:r>
          </w:p>
        </w:tc>
        <w:tc>
          <w:tcPr>
            <w:tcW w:w="2835" w:type="dxa"/>
            <w:vAlign w:val="center"/>
          </w:tcPr>
          <w:p>
            <w:pPr>
              <w:pStyle w:val="22"/>
            </w:pPr>
            <w:r>
              <w:t>当年度无害化垃圾处理数量</w:t>
            </w:r>
          </w:p>
        </w:tc>
        <w:tc>
          <w:tcPr>
            <w:tcW w:w="2551" w:type="dxa"/>
            <w:vAlign w:val="center"/>
          </w:tcPr>
          <w:p>
            <w:pPr>
              <w:pStyle w:val="22"/>
            </w:pPr>
            <w:r>
              <w:t>≥30000吨</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垃圾清运合格率</w:t>
            </w:r>
          </w:p>
        </w:tc>
        <w:tc>
          <w:tcPr>
            <w:tcW w:w="2835" w:type="dxa"/>
            <w:vAlign w:val="center"/>
          </w:tcPr>
          <w:p>
            <w:pPr>
              <w:pStyle w:val="22"/>
            </w:pPr>
            <w:r>
              <w:t>生活垃圾应实行密闭化运输，运输过程中不得滴漏、撒落；对撒漏物应及时清除干净，反映垃圾清运的合格状况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资金支付及时性</w:t>
            </w:r>
          </w:p>
        </w:tc>
        <w:tc>
          <w:tcPr>
            <w:tcW w:w="2835" w:type="dxa"/>
            <w:vAlign w:val="center"/>
          </w:tcPr>
          <w:p>
            <w:pPr>
              <w:pStyle w:val="22"/>
            </w:pPr>
            <w:r>
              <w:t>反映资金支付的及时性状况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运输处理成本</w:t>
            </w:r>
          </w:p>
        </w:tc>
        <w:tc>
          <w:tcPr>
            <w:tcW w:w="2835" w:type="dxa"/>
            <w:vAlign w:val="center"/>
          </w:tcPr>
          <w:p>
            <w:pPr>
              <w:pStyle w:val="22"/>
            </w:pPr>
            <w:r>
              <w:t>垃圾运输处理单价</w:t>
            </w:r>
          </w:p>
        </w:tc>
        <w:tc>
          <w:tcPr>
            <w:tcW w:w="2551" w:type="dxa"/>
            <w:vAlign w:val="center"/>
          </w:tcPr>
          <w:p>
            <w:pPr>
              <w:pStyle w:val="22"/>
            </w:pPr>
            <w:r>
              <w:t>≤128.56元/吨</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居住环境投诉率</w:t>
            </w:r>
          </w:p>
        </w:tc>
        <w:tc>
          <w:tcPr>
            <w:tcW w:w="2835" w:type="dxa"/>
            <w:vAlign w:val="center"/>
          </w:tcPr>
          <w:p>
            <w:pPr>
              <w:pStyle w:val="22"/>
            </w:pPr>
            <w:r>
              <w:t>提升城市形象，美化城市环境，降低居民投诉率</w:t>
            </w:r>
          </w:p>
        </w:tc>
        <w:tc>
          <w:tcPr>
            <w:tcW w:w="2551" w:type="dxa"/>
            <w:vAlign w:val="center"/>
          </w:tcPr>
          <w:p>
            <w:pPr>
              <w:pStyle w:val="22"/>
            </w:pPr>
            <w:r>
              <w:t>≤10%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满意度指标</w:t>
            </w:r>
          </w:p>
        </w:tc>
        <w:tc>
          <w:tcPr>
            <w:tcW w:w="2268" w:type="dxa"/>
            <w:vAlign w:val="center"/>
          </w:tcPr>
          <w:p>
            <w:pPr>
              <w:pStyle w:val="22"/>
            </w:pPr>
            <w:r>
              <w:t>服务对象满意度指标</w:t>
            </w:r>
          </w:p>
        </w:tc>
        <w:tc>
          <w:tcPr>
            <w:tcW w:w="2835" w:type="dxa"/>
            <w:vAlign w:val="center"/>
          </w:tcPr>
          <w:p>
            <w:pPr>
              <w:pStyle w:val="22"/>
            </w:pPr>
            <w:r>
              <w:t>群众满意度</w:t>
            </w:r>
          </w:p>
        </w:tc>
        <w:tc>
          <w:tcPr>
            <w:tcW w:w="2835" w:type="dxa"/>
            <w:vAlign w:val="center"/>
          </w:tcPr>
          <w:p>
            <w:pPr>
              <w:pStyle w:val="22"/>
            </w:pPr>
            <w:r>
              <w:t>受访群众达到基本满意以上人数与全体受访人数的比值</w:t>
            </w:r>
          </w:p>
        </w:tc>
        <w:tc>
          <w:tcPr>
            <w:tcW w:w="2551" w:type="dxa"/>
            <w:vAlign w:val="center"/>
          </w:tcPr>
          <w:p>
            <w:pPr>
              <w:pStyle w:val="22"/>
            </w:pPr>
            <w:r>
              <w:t>≥90%</w:t>
            </w:r>
          </w:p>
        </w:tc>
        <w:tc>
          <w:tcPr>
            <w:tcW w:w="2268" w:type="dxa"/>
            <w:vAlign w:val="center"/>
          </w:tcPr>
          <w:p>
            <w:pPr>
              <w:pStyle w:val="22"/>
            </w:pPr>
            <w:r>
              <w:t>问卷调查</w:t>
            </w:r>
          </w:p>
        </w:tc>
      </w:tr>
    </w:tbl>
    <w:p>
      <w:pPr>
        <w:pStyle w:val="20"/>
      </w:pPr>
    </w:p>
    <w:p>
      <w:pPr>
        <w:pStyle w:val="20"/>
        <w:ind w:firstLine="560"/>
        <w:rPr>
          <w:rFonts w:ascii="方正仿宋_GBK" w:hAnsi="方正仿宋_GBK" w:eastAsia="方正仿宋_GBK" w:cs="方正仿宋_GBK"/>
          <w:b/>
          <w:color w:val="000000"/>
          <w:sz w:val="28"/>
        </w:rPr>
      </w:pPr>
    </w:p>
    <w:p>
      <w:pPr>
        <w:pStyle w:val="20"/>
        <w:ind w:firstLine="560"/>
        <w:rPr>
          <w:rFonts w:ascii="方正仿宋_GBK" w:hAnsi="方正仿宋_GBK" w:eastAsia="方正仿宋_GBK" w:cs="方正仿宋_GBK"/>
          <w:b/>
          <w:color w:val="000000"/>
          <w:sz w:val="28"/>
        </w:rPr>
      </w:pPr>
    </w:p>
    <w:p>
      <w:pPr>
        <w:pStyle w:val="20"/>
        <w:ind w:firstLine="560"/>
        <w:rPr>
          <w:rFonts w:ascii="方正仿宋_GBK" w:hAnsi="方正仿宋_GBK" w:eastAsia="方正仿宋_GBK" w:cs="方正仿宋_GBK"/>
          <w:b/>
          <w:color w:val="000000"/>
          <w:sz w:val="28"/>
        </w:rPr>
      </w:pPr>
    </w:p>
    <w:p>
      <w:pPr>
        <w:pStyle w:val="20"/>
        <w:ind w:firstLine="560"/>
        <w:rPr>
          <w:rFonts w:ascii="方正仿宋_GBK" w:hAnsi="方正仿宋_GBK" w:eastAsia="方正仿宋_GBK" w:cs="方正仿宋_GBK"/>
          <w:b/>
          <w:color w:val="000000"/>
          <w:sz w:val="28"/>
        </w:rPr>
      </w:pPr>
    </w:p>
    <w:p>
      <w:pPr>
        <w:pStyle w:val="20"/>
        <w:ind w:firstLine="560"/>
        <w:rPr>
          <w:rFonts w:ascii="方正仿宋_GBK" w:hAnsi="方正仿宋_GBK" w:eastAsia="方正仿宋_GBK" w:cs="方正仿宋_GBK"/>
          <w:b/>
          <w:color w:val="000000"/>
          <w:sz w:val="28"/>
        </w:rPr>
      </w:pPr>
    </w:p>
    <w:p>
      <w:pPr>
        <w:pStyle w:val="20"/>
        <w:ind w:firstLine="560"/>
        <w:rPr>
          <w:rFonts w:ascii="方正仿宋_GBK" w:hAnsi="方正仿宋_GBK" w:eastAsia="方正仿宋_GBK" w:cs="方正仿宋_GBK"/>
          <w:b/>
          <w:color w:val="000000"/>
          <w:sz w:val="28"/>
        </w:rPr>
      </w:pPr>
    </w:p>
    <w:p>
      <w:pPr>
        <w:pStyle w:val="20"/>
        <w:ind w:firstLine="560"/>
        <w:rPr>
          <w:rFonts w:ascii="方正仿宋_GBK" w:hAnsi="方正仿宋_GBK" w:eastAsia="方正仿宋_GBK" w:cs="方正仿宋_GBK"/>
          <w:b/>
          <w:color w:val="000000"/>
          <w:sz w:val="28"/>
        </w:rPr>
      </w:pPr>
    </w:p>
    <w:p>
      <w:pPr>
        <w:pStyle w:val="20"/>
        <w:ind w:firstLine="560"/>
        <w:rPr>
          <w:rFonts w:ascii="方正仿宋_GBK" w:hAnsi="方正仿宋_GBK" w:eastAsia="方正仿宋_GBK" w:cs="方正仿宋_GBK"/>
          <w:b/>
          <w:color w:val="000000"/>
          <w:sz w:val="28"/>
        </w:rPr>
      </w:pPr>
    </w:p>
    <w:p>
      <w:pPr>
        <w:pStyle w:val="20"/>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、高阳县绿道绿廊建设绩效目标表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提高城市绿化率，净化城市空气；改善城市环境质量，提高居民幸福指数</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3321"/>
        <w:gridCol w:w="2065"/>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3321" w:type="dxa"/>
            <w:vAlign w:val="center"/>
          </w:tcPr>
          <w:p>
            <w:pPr>
              <w:pStyle w:val="21"/>
            </w:pPr>
            <w:r>
              <w:t>绩效指标描述</w:t>
            </w:r>
          </w:p>
        </w:tc>
        <w:tc>
          <w:tcPr>
            <w:tcW w:w="2065"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绿化工程量</w:t>
            </w:r>
          </w:p>
        </w:tc>
        <w:tc>
          <w:tcPr>
            <w:tcW w:w="3321" w:type="dxa"/>
            <w:vAlign w:val="center"/>
          </w:tcPr>
          <w:p>
            <w:pPr>
              <w:pStyle w:val="22"/>
            </w:pPr>
            <w:r>
              <w:t>绿化种植实际完成面积</w:t>
            </w:r>
          </w:p>
        </w:tc>
        <w:tc>
          <w:tcPr>
            <w:tcW w:w="2065" w:type="dxa"/>
            <w:vAlign w:val="center"/>
          </w:tcPr>
          <w:p>
            <w:pPr>
              <w:pStyle w:val="22"/>
            </w:pPr>
            <w:r>
              <w:t>≥152256m3</w:t>
            </w:r>
          </w:p>
        </w:tc>
        <w:tc>
          <w:tcPr>
            <w:tcW w:w="2268" w:type="dxa"/>
            <w:vAlign w:val="center"/>
          </w:tcPr>
          <w:p>
            <w:pPr>
              <w:pStyle w:val="22"/>
            </w:pPr>
            <w: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验收合格率</w:t>
            </w:r>
          </w:p>
        </w:tc>
        <w:tc>
          <w:tcPr>
            <w:tcW w:w="3321" w:type="dxa"/>
            <w:vAlign w:val="center"/>
          </w:tcPr>
          <w:p>
            <w:pPr>
              <w:pStyle w:val="22"/>
            </w:pPr>
            <w:r>
              <w:t>通过验收的数量与实际建设数量的比例</w:t>
            </w:r>
          </w:p>
        </w:tc>
        <w:tc>
          <w:tcPr>
            <w:tcW w:w="2065"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建设期限</w:t>
            </w:r>
          </w:p>
        </w:tc>
        <w:tc>
          <w:tcPr>
            <w:tcW w:w="3321" w:type="dxa"/>
            <w:vAlign w:val="center"/>
          </w:tcPr>
          <w:p>
            <w:pPr>
              <w:pStyle w:val="22"/>
            </w:pPr>
            <w:r>
              <w:t>项目建设开工至完工所需时间</w:t>
            </w:r>
          </w:p>
        </w:tc>
        <w:tc>
          <w:tcPr>
            <w:tcW w:w="2065" w:type="dxa"/>
            <w:vAlign w:val="center"/>
          </w:tcPr>
          <w:p>
            <w:pPr>
              <w:pStyle w:val="22"/>
            </w:pPr>
            <w:r>
              <w:t>≤130天</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资金支付及时性</w:t>
            </w:r>
          </w:p>
        </w:tc>
        <w:tc>
          <w:tcPr>
            <w:tcW w:w="3321" w:type="dxa"/>
            <w:vAlign w:val="center"/>
          </w:tcPr>
          <w:p>
            <w:pPr>
              <w:pStyle w:val="22"/>
            </w:pPr>
            <w:r>
              <w:t>反映资金支付的及时性</w:t>
            </w:r>
          </w:p>
        </w:tc>
        <w:tc>
          <w:tcPr>
            <w:tcW w:w="2065"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3321" w:type="dxa"/>
            <w:vAlign w:val="center"/>
          </w:tcPr>
          <w:p>
            <w:pPr>
              <w:pStyle w:val="22"/>
            </w:pPr>
            <w:r>
              <w:t>实际支出金额占预算金额的比例</w:t>
            </w:r>
          </w:p>
        </w:tc>
        <w:tc>
          <w:tcPr>
            <w:tcW w:w="2065"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建设任务开展的持续性</w:t>
            </w:r>
          </w:p>
        </w:tc>
        <w:tc>
          <w:tcPr>
            <w:tcW w:w="3321" w:type="dxa"/>
            <w:vAlign w:val="center"/>
          </w:tcPr>
          <w:p>
            <w:pPr>
              <w:pStyle w:val="22"/>
            </w:pPr>
            <w:r>
              <w:t>反映建设任务是否正常持续开展</w:t>
            </w:r>
          </w:p>
        </w:tc>
        <w:tc>
          <w:tcPr>
            <w:tcW w:w="2065" w:type="dxa"/>
            <w:vAlign w:val="center"/>
          </w:tcPr>
          <w:p>
            <w:pPr>
              <w:pStyle w:val="22"/>
            </w:pPr>
            <w:r>
              <w:t>100%</w:t>
            </w:r>
          </w:p>
        </w:tc>
        <w:tc>
          <w:tcPr>
            <w:tcW w:w="2268" w:type="dxa"/>
            <w:vAlign w:val="center"/>
          </w:tcPr>
          <w:p>
            <w:pPr>
              <w:pStyle w:val="22"/>
            </w:pPr>
            <w:r>
              <w:t>年度工作计划</w:t>
            </w:r>
          </w:p>
        </w:tc>
      </w:tr>
    </w:tbl>
    <w:p>
      <w:pPr>
        <w:pStyle w:val="20"/>
      </w:pPr>
    </w:p>
    <w:p>
      <w:pPr>
        <w:pStyle w:val="20"/>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、高阳县西演垃圾转运站建设绩效目标表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1.为保障垃圾及时运输处理，建设1座生活垃圾转运站</w:t>
            </w:r>
          </w:p>
          <w:p>
            <w:pPr>
              <w:pStyle w:val="22"/>
            </w:pPr>
            <w:r>
              <w:t>2.保持区域干净整洁，减少环境污染，提升环境面貌</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建设新增转运站数量</w:t>
            </w:r>
          </w:p>
        </w:tc>
        <w:tc>
          <w:tcPr>
            <w:tcW w:w="2835" w:type="dxa"/>
            <w:vAlign w:val="center"/>
          </w:tcPr>
          <w:p>
            <w:pPr>
              <w:pStyle w:val="22"/>
            </w:pPr>
            <w:r>
              <w:t>当年度新增垃圾转运站数量</w:t>
            </w:r>
          </w:p>
        </w:tc>
        <w:tc>
          <w:tcPr>
            <w:tcW w:w="2551" w:type="dxa"/>
            <w:vAlign w:val="center"/>
          </w:tcPr>
          <w:p>
            <w:pPr>
              <w:pStyle w:val="22"/>
            </w:pPr>
            <w:r>
              <w:t>1座</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工程验收合格率</w:t>
            </w:r>
          </w:p>
        </w:tc>
        <w:tc>
          <w:tcPr>
            <w:tcW w:w="2835" w:type="dxa"/>
            <w:vAlign w:val="center"/>
          </w:tcPr>
          <w:p>
            <w:pPr>
              <w:pStyle w:val="22"/>
            </w:pPr>
            <w:r>
              <w:t>通过验收的建设工程占全部建设工程的比例</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 xml:space="preserve"> 建设期限</w:t>
            </w:r>
          </w:p>
        </w:tc>
        <w:tc>
          <w:tcPr>
            <w:tcW w:w="2835" w:type="dxa"/>
            <w:vAlign w:val="center"/>
          </w:tcPr>
          <w:p>
            <w:pPr>
              <w:pStyle w:val="22"/>
            </w:pPr>
            <w:r>
              <w:t>合同约定建设开工至完工历时天数</w:t>
            </w:r>
          </w:p>
        </w:tc>
        <w:tc>
          <w:tcPr>
            <w:tcW w:w="2551" w:type="dxa"/>
            <w:vAlign w:val="center"/>
          </w:tcPr>
          <w:p>
            <w:pPr>
              <w:pStyle w:val="22"/>
            </w:pPr>
            <w:r>
              <w:t>≤60天</w:t>
            </w:r>
          </w:p>
        </w:tc>
        <w:tc>
          <w:tcPr>
            <w:tcW w:w="2268" w:type="dxa"/>
            <w:vAlign w:val="center"/>
          </w:tcPr>
          <w:p>
            <w:pPr>
              <w:pStyle w:val="22"/>
            </w:pPr>
            <w:r>
              <w:t>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设备采购价</w:t>
            </w:r>
          </w:p>
        </w:tc>
        <w:tc>
          <w:tcPr>
            <w:tcW w:w="2835" w:type="dxa"/>
            <w:vAlign w:val="center"/>
          </w:tcPr>
          <w:p>
            <w:pPr>
              <w:pStyle w:val="22"/>
            </w:pPr>
            <w:r>
              <w:t>拟购置压缩设备整套价格</w:t>
            </w:r>
          </w:p>
        </w:tc>
        <w:tc>
          <w:tcPr>
            <w:tcW w:w="2551" w:type="dxa"/>
            <w:vAlign w:val="center"/>
          </w:tcPr>
          <w:p>
            <w:pPr>
              <w:pStyle w:val="22"/>
            </w:pPr>
            <w:r>
              <w:t>≤129.5万元/套</w:t>
            </w:r>
          </w:p>
        </w:tc>
        <w:tc>
          <w:tcPr>
            <w:tcW w:w="2268" w:type="dxa"/>
            <w:vAlign w:val="center"/>
          </w:tcPr>
          <w:p>
            <w:pPr>
              <w:pStyle w:val="22"/>
            </w:pPr>
            <w:r>
              <w:t>询价报告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社会效益指标</w:t>
            </w:r>
          </w:p>
        </w:tc>
        <w:tc>
          <w:tcPr>
            <w:tcW w:w="2835" w:type="dxa"/>
            <w:vAlign w:val="center"/>
          </w:tcPr>
          <w:p>
            <w:pPr>
              <w:pStyle w:val="22"/>
            </w:pPr>
            <w:r>
              <w:t>乡村环境投诉率</w:t>
            </w:r>
          </w:p>
        </w:tc>
        <w:tc>
          <w:tcPr>
            <w:tcW w:w="2835" w:type="dxa"/>
            <w:vAlign w:val="center"/>
          </w:tcPr>
          <w:p>
            <w:pPr>
              <w:pStyle w:val="22"/>
            </w:pPr>
            <w:r>
              <w:t>对中转站周边的生活垃圾及时转运，改善乡村环境质量，提升乡村环境面貌</w:t>
            </w:r>
          </w:p>
        </w:tc>
        <w:tc>
          <w:tcPr>
            <w:tcW w:w="2551" w:type="dxa"/>
            <w:vAlign w:val="center"/>
          </w:tcPr>
          <w:p>
            <w:pPr>
              <w:pStyle w:val="22"/>
            </w:pPr>
            <w:r>
              <w:t>≤10%</w:t>
            </w:r>
          </w:p>
        </w:tc>
        <w:tc>
          <w:tcPr>
            <w:tcW w:w="2268" w:type="dxa"/>
            <w:vAlign w:val="center"/>
          </w:tcPr>
          <w:p>
            <w:pPr>
              <w:pStyle w:val="22"/>
            </w:pPr>
            <w:r>
              <w:t>年度工作计划</w:t>
            </w:r>
          </w:p>
        </w:tc>
      </w:tr>
    </w:tbl>
    <w:p>
      <w:pPr>
        <w:pStyle w:val="20"/>
        <w:ind w:firstLine="560"/>
      </w:pPr>
      <w:r>
        <w:rPr>
          <w:rFonts w:hint="eastAsia" w:ascii="方正仿宋_GBK" w:hAnsi="方正仿宋_GBK" w:eastAsia="方正仿宋_GBK" w:cs="方正仿宋_GBK"/>
          <w:b/>
          <w:color w:val="000000"/>
          <w:sz w:val="28"/>
          <w:lang w:val="en-US" w:eastAsia="zh-CN"/>
        </w:rPr>
        <w:t>14</w:t>
      </w:r>
      <w:r>
        <w:rPr>
          <w:rFonts w:ascii="方正仿宋_GBK" w:hAnsi="方正仿宋_GBK" w:eastAsia="方正仿宋_GBK" w:cs="方正仿宋_GBK"/>
          <w:b/>
          <w:color w:val="000000"/>
          <w:sz w:val="28"/>
        </w:rPr>
        <w:t>、国防光缆迁改项目绩效目标表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保证国防通信光缆正常使用</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工作迁改数量</w:t>
            </w:r>
          </w:p>
        </w:tc>
        <w:tc>
          <w:tcPr>
            <w:tcW w:w="2835" w:type="dxa"/>
            <w:vAlign w:val="center"/>
          </w:tcPr>
          <w:p>
            <w:pPr>
              <w:pStyle w:val="22"/>
            </w:pPr>
            <w:r>
              <w:t>需要进行迁改的光缆数量</w:t>
            </w:r>
          </w:p>
        </w:tc>
        <w:tc>
          <w:tcPr>
            <w:tcW w:w="2551" w:type="dxa"/>
            <w:vAlign w:val="center"/>
          </w:tcPr>
          <w:p>
            <w:pPr>
              <w:pStyle w:val="22"/>
            </w:pPr>
            <w:r>
              <w:t>1条</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验收合格率</w:t>
            </w:r>
          </w:p>
        </w:tc>
        <w:tc>
          <w:tcPr>
            <w:tcW w:w="2835" w:type="dxa"/>
            <w:vAlign w:val="center"/>
          </w:tcPr>
          <w:p>
            <w:pPr>
              <w:pStyle w:val="22"/>
            </w:pPr>
            <w:r>
              <w:t>反映项目通过验收的情况</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建设期限内完成率</w:t>
            </w:r>
          </w:p>
        </w:tc>
        <w:tc>
          <w:tcPr>
            <w:tcW w:w="2835" w:type="dxa"/>
            <w:vAlign w:val="center"/>
          </w:tcPr>
          <w:p>
            <w:pPr>
              <w:pStyle w:val="22"/>
            </w:pPr>
            <w:r>
              <w:t>反映工程项目开工至完工时间内是否完成，（15日完成）</w:t>
            </w:r>
          </w:p>
        </w:tc>
        <w:tc>
          <w:tcPr>
            <w:tcW w:w="2551" w:type="dxa"/>
            <w:vAlign w:val="center"/>
          </w:tcPr>
          <w:p>
            <w:pPr>
              <w:pStyle w:val="22"/>
            </w:pPr>
            <w:r>
              <w:t>100%</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w:t>
            </w:r>
            <w:r>
              <w:rPr>
                <w:rFonts w:hint="eastAsia"/>
                <w:lang w:eastAsia="zh-CN"/>
              </w:rPr>
              <w:t>的</w:t>
            </w:r>
            <w:r>
              <w:t>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可持续影响指标</w:t>
            </w:r>
          </w:p>
        </w:tc>
        <w:tc>
          <w:tcPr>
            <w:tcW w:w="2835" w:type="dxa"/>
            <w:vAlign w:val="center"/>
          </w:tcPr>
          <w:p>
            <w:pPr>
              <w:pStyle w:val="22"/>
            </w:pPr>
            <w:r>
              <w:t>工作开展效果的持续性</w:t>
            </w:r>
          </w:p>
        </w:tc>
        <w:tc>
          <w:tcPr>
            <w:tcW w:w="2835" w:type="dxa"/>
            <w:vAlign w:val="center"/>
          </w:tcPr>
          <w:p>
            <w:pPr>
              <w:pStyle w:val="22"/>
            </w:pPr>
            <w:r>
              <w:t>是否能够长期较好的保障国防通信光缆正常运行的需要</w:t>
            </w:r>
          </w:p>
        </w:tc>
        <w:tc>
          <w:tcPr>
            <w:tcW w:w="2551" w:type="dxa"/>
            <w:vAlign w:val="center"/>
          </w:tcPr>
          <w:p>
            <w:pPr>
              <w:pStyle w:val="22"/>
            </w:pPr>
            <w:r>
              <w:t>100%</w:t>
            </w:r>
          </w:p>
        </w:tc>
        <w:tc>
          <w:tcPr>
            <w:tcW w:w="2268" w:type="dxa"/>
            <w:vAlign w:val="center"/>
          </w:tcPr>
          <w:p>
            <w:pPr>
              <w:pStyle w:val="22"/>
            </w:pPr>
            <w:r>
              <w:t>年度工作计划</w:t>
            </w:r>
          </w:p>
        </w:tc>
      </w:tr>
    </w:tbl>
    <w:p>
      <w:pPr>
        <w:pStyle w:val="20"/>
      </w:pPr>
    </w:p>
    <w:p>
      <w:pPr>
        <w:pStyle w:val="20"/>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、果皮箱和游园座椅经费绩效目标表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1.保障创建省级文明县城顺利通过，在人民公园安放100把座椅、200个果皮箱</w:t>
            </w:r>
          </w:p>
          <w:p>
            <w:pPr>
              <w:pStyle w:val="22"/>
            </w:pPr>
            <w:r>
              <w:t>2.改善园区基础设施，美化城市形象</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放置果皮箱数量</w:t>
            </w:r>
          </w:p>
        </w:tc>
        <w:tc>
          <w:tcPr>
            <w:tcW w:w="2835" w:type="dxa"/>
            <w:vAlign w:val="center"/>
          </w:tcPr>
          <w:p>
            <w:pPr>
              <w:pStyle w:val="22"/>
            </w:pPr>
            <w:r>
              <w:t>园区新增果皮箱数量</w:t>
            </w:r>
          </w:p>
        </w:tc>
        <w:tc>
          <w:tcPr>
            <w:tcW w:w="2551" w:type="dxa"/>
            <w:vAlign w:val="center"/>
          </w:tcPr>
          <w:p>
            <w:pPr>
              <w:pStyle w:val="22"/>
            </w:pPr>
            <w:r>
              <w:t>200个</w:t>
            </w:r>
          </w:p>
        </w:tc>
        <w:tc>
          <w:tcPr>
            <w:tcW w:w="2268" w:type="dxa"/>
            <w:vAlign w:val="center"/>
          </w:tcPr>
          <w:p>
            <w:pPr>
              <w:pStyle w:val="2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采购合格率</w:t>
            </w:r>
          </w:p>
        </w:tc>
        <w:tc>
          <w:tcPr>
            <w:tcW w:w="2835" w:type="dxa"/>
            <w:vAlign w:val="center"/>
          </w:tcPr>
          <w:p>
            <w:pPr>
              <w:pStyle w:val="22"/>
            </w:pPr>
            <w:r>
              <w:t>验收合格的设备数量与总购置数量的比值</w:t>
            </w:r>
          </w:p>
        </w:tc>
        <w:tc>
          <w:tcPr>
            <w:tcW w:w="2551" w:type="dxa"/>
            <w:vAlign w:val="center"/>
          </w:tcPr>
          <w:p>
            <w:pPr>
              <w:pStyle w:val="22"/>
            </w:pPr>
            <w:r>
              <w:t>100%</w:t>
            </w:r>
          </w:p>
        </w:tc>
        <w:tc>
          <w:tcPr>
            <w:tcW w:w="2268" w:type="dxa"/>
            <w:vAlign w:val="center"/>
          </w:tcPr>
          <w:p>
            <w:pPr>
              <w:pStyle w:val="2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交货及时率</w:t>
            </w:r>
          </w:p>
        </w:tc>
        <w:tc>
          <w:tcPr>
            <w:tcW w:w="2835" w:type="dxa"/>
            <w:vAlign w:val="center"/>
          </w:tcPr>
          <w:p>
            <w:pPr>
              <w:pStyle w:val="22"/>
            </w:pPr>
            <w:r>
              <w:t>及时交货的数量与计划采购数量的比值</w:t>
            </w:r>
          </w:p>
        </w:tc>
        <w:tc>
          <w:tcPr>
            <w:tcW w:w="2551" w:type="dxa"/>
            <w:vAlign w:val="center"/>
          </w:tcPr>
          <w:p>
            <w:pPr>
              <w:pStyle w:val="22"/>
            </w:pPr>
            <w:r>
              <w:t>100%</w:t>
            </w:r>
          </w:p>
        </w:tc>
        <w:tc>
          <w:tcPr>
            <w:tcW w:w="2268" w:type="dxa"/>
            <w:vAlign w:val="center"/>
          </w:tcPr>
          <w:p>
            <w:pPr>
              <w:pStyle w:val="22"/>
            </w:pPr>
            <w:r>
              <w:t>验收单及年度工作计划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资金支付及时率</w:t>
            </w:r>
          </w:p>
        </w:tc>
        <w:tc>
          <w:tcPr>
            <w:tcW w:w="2835" w:type="dxa"/>
            <w:vAlign w:val="center"/>
          </w:tcPr>
          <w:p>
            <w:pPr>
              <w:pStyle w:val="22"/>
            </w:pPr>
            <w:r>
              <w:t>反映资金支付的及时性状况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实际支出金额占预算金额的百分比</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可持续影响指标</w:t>
            </w:r>
          </w:p>
        </w:tc>
        <w:tc>
          <w:tcPr>
            <w:tcW w:w="2835" w:type="dxa"/>
            <w:vAlign w:val="center"/>
          </w:tcPr>
          <w:p>
            <w:pPr>
              <w:pStyle w:val="22"/>
            </w:pPr>
            <w:r>
              <w:t>工作开展持续性</w:t>
            </w:r>
          </w:p>
        </w:tc>
        <w:tc>
          <w:tcPr>
            <w:tcW w:w="2835" w:type="dxa"/>
            <w:vAlign w:val="center"/>
          </w:tcPr>
          <w:p>
            <w:pPr>
              <w:pStyle w:val="22"/>
            </w:pPr>
            <w:r>
              <w:t>反映工作开展的持续性状况</w:t>
            </w:r>
          </w:p>
        </w:tc>
        <w:tc>
          <w:tcPr>
            <w:tcW w:w="2551" w:type="dxa"/>
            <w:vAlign w:val="center"/>
          </w:tcPr>
          <w:p>
            <w:pPr>
              <w:pStyle w:val="22"/>
            </w:pPr>
            <w:r>
              <w:t>100%</w:t>
            </w:r>
          </w:p>
        </w:tc>
        <w:tc>
          <w:tcPr>
            <w:tcW w:w="2268" w:type="dxa"/>
            <w:vAlign w:val="center"/>
          </w:tcPr>
          <w:p>
            <w:pPr>
              <w:pStyle w:val="22"/>
            </w:pPr>
            <w:r>
              <w:t>年度工作计划</w:t>
            </w:r>
          </w:p>
        </w:tc>
      </w:tr>
    </w:tbl>
    <w:p>
      <w:pPr>
        <w:pStyle w:val="20"/>
      </w:pPr>
    </w:p>
    <w:p>
      <w:pPr>
        <w:pStyle w:val="20"/>
        <w:ind w:firstLine="560"/>
        <w:rPr>
          <w:rFonts w:ascii="方正仿宋_GBK" w:hAnsi="方正仿宋_GBK" w:eastAsia="方正仿宋_GBK" w:cs="方正仿宋_GBK"/>
          <w:b/>
          <w:color w:val="000000"/>
          <w:sz w:val="28"/>
        </w:rPr>
      </w:pPr>
    </w:p>
    <w:p>
      <w:pPr>
        <w:pStyle w:val="20"/>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、政府院内绿化工程绩效目标表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1.对政府大院内绿植进行修剪、栽植</w:t>
            </w:r>
          </w:p>
          <w:p>
            <w:pPr>
              <w:pStyle w:val="22"/>
            </w:pPr>
            <w:r>
              <w:t>2.美化政府大院环境，提升城市形象</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灌木完成数量</w:t>
            </w:r>
          </w:p>
        </w:tc>
        <w:tc>
          <w:tcPr>
            <w:tcW w:w="2835" w:type="dxa"/>
            <w:vAlign w:val="center"/>
          </w:tcPr>
          <w:p>
            <w:pPr>
              <w:pStyle w:val="22"/>
            </w:pPr>
            <w:r>
              <w:t>实际栽植移植各类灌木数量</w:t>
            </w:r>
          </w:p>
        </w:tc>
        <w:tc>
          <w:tcPr>
            <w:tcW w:w="2551" w:type="dxa"/>
            <w:vAlign w:val="center"/>
          </w:tcPr>
          <w:p>
            <w:pPr>
              <w:pStyle w:val="22"/>
            </w:pPr>
            <w:r>
              <w:t>150株</w:t>
            </w:r>
          </w:p>
        </w:tc>
        <w:tc>
          <w:tcPr>
            <w:tcW w:w="2268" w:type="dxa"/>
            <w:vAlign w:val="center"/>
          </w:tcPr>
          <w:p>
            <w:pPr>
              <w:pStyle w:val="22"/>
            </w:pPr>
            <w: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验收合格率</w:t>
            </w:r>
          </w:p>
        </w:tc>
        <w:tc>
          <w:tcPr>
            <w:tcW w:w="2835" w:type="dxa"/>
            <w:vAlign w:val="center"/>
          </w:tcPr>
          <w:p>
            <w:pPr>
              <w:pStyle w:val="22"/>
            </w:pPr>
            <w:r>
              <w:t>验收合格数量占施工总数量的比例</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工作按时完成率</w:t>
            </w:r>
          </w:p>
        </w:tc>
        <w:tc>
          <w:tcPr>
            <w:tcW w:w="2835" w:type="dxa"/>
            <w:vAlign w:val="center"/>
          </w:tcPr>
          <w:p>
            <w:pPr>
              <w:pStyle w:val="22"/>
            </w:pPr>
            <w:r>
              <w:t>施工合同签订的最晚完成时间，2020年5月30日前完成</w:t>
            </w:r>
          </w:p>
        </w:tc>
        <w:tc>
          <w:tcPr>
            <w:tcW w:w="2551" w:type="dxa"/>
            <w:vAlign w:val="center"/>
          </w:tcPr>
          <w:p>
            <w:pPr>
              <w:pStyle w:val="22"/>
            </w:pPr>
            <w:r>
              <w:t>100%</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可持续影响指标</w:t>
            </w:r>
          </w:p>
        </w:tc>
        <w:tc>
          <w:tcPr>
            <w:tcW w:w="2835" w:type="dxa"/>
            <w:vAlign w:val="center"/>
          </w:tcPr>
          <w:p>
            <w:pPr>
              <w:pStyle w:val="22"/>
            </w:pPr>
            <w:r>
              <w:t>工作开展效果的持续性</w:t>
            </w:r>
          </w:p>
        </w:tc>
        <w:tc>
          <w:tcPr>
            <w:tcW w:w="2835" w:type="dxa"/>
            <w:vAlign w:val="center"/>
          </w:tcPr>
          <w:p>
            <w:pPr>
              <w:pStyle w:val="22"/>
            </w:pPr>
            <w:r>
              <w:t>反映工作效果开展的持续性情况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满意度指标</w:t>
            </w:r>
          </w:p>
        </w:tc>
        <w:tc>
          <w:tcPr>
            <w:tcW w:w="2268" w:type="dxa"/>
            <w:vAlign w:val="center"/>
          </w:tcPr>
          <w:p>
            <w:pPr>
              <w:pStyle w:val="22"/>
            </w:pPr>
            <w:r>
              <w:t>服务对象满意度指标</w:t>
            </w:r>
          </w:p>
        </w:tc>
        <w:tc>
          <w:tcPr>
            <w:tcW w:w="2835" w:type="dxa"/>
            <w:vAlign w:val="center"/>
          </w:tcPr>
          <w:p>
            <w:pPr>
              <w:pStyle w:val="22"/>
            </w:pPr>
            <w:r>
              <w:t>公众满意度</w:t>
            </w:r>
          </w:p>
        </w:tc>
        <w:tc>
          <w:tcPr>
            <w:tcW w:w="2835" w:type="dxa"/>
            <w:vAlign w:val="center"/>
          </w:tcPr>
          <w:p>
            <w:pPr>
              <w:pStyle w:val="22"/>
            </w:pPr>
            <w:r>
              <w:t>达到基本满意以上的受访人员与全体受访人数的比值</w:t>
            </w:r>
          </w:p>
        </w:tc>
        <w:tc>
          <w:tcPr>
            <w:tcW w:w="2551" w:type="dxa"/>
            <w:vAlign w:val="center"/>
          </w:tcPr>
          <w:p>
            <w:pPr>
              <w:pStyle w:val="22"/>
            </w:pPr>
            <w:r>
              <w:t>≥95%</w:t>
            </w:r>
          </w:p>
        </w:tc>
        <w:tc>
          <w:tcPr>
            <w:tcW w:w="2268" w:type="dxa"/>
            <w:vAlign w:val="center"/>
          </w:tcPr>
          <w:p>
            <w:pPr>
              <w:pStyle w:val="22"/>
            </w:pPr>
            <w:r>
              <w:t>问卷调查</w:t>
            </w:r>
          </w:p>
        </w:tc>
      </w:tr>
    </w:tbl>
    <w:p>
      <w:pPr>
        <w:pStyle w:val="20"/>
      </w:pPr>
    </w:p>
    <w:p>
      <w:pPr>
        <w:pStyle w:val="20"/>
        <w:ind w:firstLine="560"/>
      </w:pPr>
      <w:r>
        <w:rPr>
          <w:rFonts w:hint="eastAsia" w:ascii="方正仿宋_GBK" w:hAnsi="方正仿宋_GBK" w:eastAsia="方正仿宋_GBK" w:cs="方正仿宋_GBK"/>
          <w:b/>
          <w:color w:val="000000"/>
          <w:sz w:val="28"/>
          <w:lang w:val="en-US" w:eastAsia="zh-CN"/>
        </w:rPr>
        <w:t>17</w:t>
      </w:r>
      <w:r>
        <w:rPr>
          <w:rFonts w:ascii="方正仿宋_GBK" w:hAnsi="方正仿宋_GBK" w:eastAsia="方正仿宋_GBK" w:cs="方正仿宋_GBK"/>
          <w:b/>
          <w:color w:val="000000"/>
          <w:sz w:val="28"/>
        </w:rPr>
        <w:t>、执法局城区公厕运行维护费绩效目标表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1.保障城区公厕正常运行</w:t>
            </w:r>
          </w:p>
          <w:p>
            <w:pPr>
              <w:pStyle w:val="22"/>
            </w:pPr>
            <w:r>
              <w:t>2.完善城市整体功能，提升城市形象品质</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2835"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2268" w:type="dxa"/>
            <w:vAlign w:val="center"/>
          </w:tcPr>
          <w:p>
            <w:pPr>
              <w:pStyle w:val="22"/>
            </w:pPr>
            <w:r>
              <w:t>数量指标</w:t>
            </w:r>
          </w:p>
        </w:tc>
        <w:tc>
          <w:tcPr>
            <w:tcW w:w="2835" w:type="dxa"/>
            <w:vAlign w:val="center"/>
          </w:tcPr>
          <w:p>
            <w:pPr>
              <w:pStyle w:val="22"/>
            </w:pPr>
            <w:r>
              <w:t>公厕正常运行数量</w:t>
            </w:r>
          </w:p>
        </w:tc>
        <w:tc>
          <w:tcPr>
            <w:tcW w:w="2835" w:type="dxa"/>
            <w:vAlign w:val="center"/>
          </w:tcPr>
          <w:p>
            <w:pPr>
              <w:pStyle w:val="22"/>
            </w:pPr>
            <w:r>
              <w:t>城区范围内正常运转的公厕数量</w:t>
            </w:r>
          </w:p>
        </w:tc>
        <w:tc>
          <w:tcPr>
            <w:tcW w:w="2551" w:type="dxa"/>
            <w:vAlign w:val="center"/>
          </w:tcPr>
          <w:p>
            <w:pPr>
              <w:pStyle w:val="22"/>
            </w:pPr>
            <w:r>
              <w:t>17座</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质量指标</w:t>
            </w:r>
          </w:p>
        </w:tc>
        <w:tc>
          <w:tcPr>
            <w:tcW w:w="2835" w:type="dxa"/>
            <w:vAlign w:val="center"/>
          </w:tcPr>
          <w:p>
            <w:pPr>
              <w:pStyle w:val="22"/>
            </w:pPr>
            <w:r>
              <w:t>维修合格率</w:t>
            </w:r>
          </w:p>
        </w:tc>
        <w:tc>
          <w:tcPr>
            <w:tcW w:w="2835" w:type="dxa"/>
            <w:vAlign w:val="center"/>
          </w:tcPr>
          <w:p>
            <w:pPr>
              <w:pStyle w:val="22"/>
            </w:pPr>
            <w:r>
              <w:t>维修质量合格产品与全部维修产品比例</w:t>
            </w:r>
          </w:p>
        </w:tc>
        <w:tc>
          <w:tcPr>
            <w:tcW w:w="2551" w:type="dxa"/>
            <w:vAlign w:val="center"/>
          </w:tcPr>
          <w:p>
            <w:pPr>
              <w:pStyle w:val="22"/>
            </w:pPr>
            <w:r>
              <w:t>100%</w:t>
            </w:r>
          </w:p>
        </w:tc>
        <w:tc>
          <w:tcPr>
            <w:tcW w:w="2268" w:type="dxa"/>
            <w:vAlign w:val="center"/>
          </w:tcPr>
          <w:p>
            <w:pPr>
              <w:pStyle w:val="22"/>
            </w:pPr>
            <w:r>
              <w:t>验收报告、年度工作计划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时效指标</w:t>
            </w:r>
          </w:p>
        </w:tc>
        <w:tc>
          <w:tcPr>
            <w:tcW w:w="2835" w:type="dxa"/>
            <w:vAlign w:val="center"/>
          </w:tcPr>
          <w:p>
            <w:pPr>
              <w:pStyle w:val="22"/>
            </w:pPr>
            <w:r>
              <w:t>资金支付及时率</w:t>
            </w:r>
          </w:p>
        </w:tc>
        <w:tc>
          <w:tcPr>
            <w:tcW w:w="2835" w:type="dxa"/>
            <w:vAlign w:val="center"/>
          </w:tcPr>
          <w:p>
            <w:pPr>
              <w:pStyle w:val="22"/>
            </w:pPr>
            <w:r>
              <w:t>按规定时间要求支出资金的比率</w:t>
            </w:r>
          </w:p>
        </w:tc>
        <w:tc>
          <w:tcPr>
            <w:tcW w:w="2551" w:type="dxa"/>
            <w:vAlign w:val="center"/>
          </w:tcPr>
          <w:p>
            <w:pPr>
              <w:pStyle w:val="22"/>
            </w:pPr>
            <w:r>
              <w:t>≥90%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2268" w:type="dxa"/>
            <w:vAlign w:val="center"/>
          </w:tcPr>
          <w:p>
            <w:pPr>
              <w:pStyle w:val="22"/>
            </w:pPr>
            <w:r>
              <w:t>成本指标</w:t>
            </w:r>
          </w:p>
        </w:tc>
        <w:tc>
          <w:tcPr>
            <w:tcW w:w="2835" w:type="dxa"/>
            <w:vAlign w:val="center"/>
          </w:tcPr>
          <w:p>
            <w:pPr>
              <w:pStyle w:val="22"/>
            </w:pPr>
            <w:r>
              <w:t>成本控制率</w:t>
            </w:r>
          </w:p>
        </w:tc>
        <w:tc>
          <w:tcPr>
            <w:tcW w:w="2835"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2268" w:type="dxa"/>
            <w:vAlign w:val="center"/>
          </w:tcPr>
          <w:p>
            <w:pPr>
              <w:pStyle w:val="22"/>
            </w:pPr>
            <w:r>
              <w:t>可持续影响指标</w:t>
            </w:r>
          </w:p>
        </w:tc>
        <w:tc>
          <w:tcPr>
            <w:tcW w:w="2835" w:type="dxa"/>
            <w:vAlign w:val="center"/>
          </w:tcPr>
          <w:p>
            <w:pPr>
              <w:pStyle w:val="22"/>
            </w:pPr>
            <w:r>
              <w:t>工作开展的持续性</w:t>
            </w:r>
          </w:p>
        </w:tc>
        <w:tc>
          <w:tcPr>
            <w:tcW w:w="2835" w:type="dxa"/>
            <w:vAlign w:val="center"/>
          </w:tcPr>
          <w:p>
            <w:pPr>
              <w:pStyle w:val="22"/>
            </w:pPr>
            <w:r>
              <w:t>反映工作开展的持续性状况</w:t>
            </w:r>
          </w:p>
        </w:tc>
        <w:tc>
          <w:tcPr>
            <w:tcW w:w="2551" w:type="dxa"/>
            <w:vAlign w:val="center"/>
          </w:tcPr>
          <w:p>
            <w:pPr>
              <w:pStyle w:val="22"/>
            </w:pPr>
            <w:r>
              <w:t>100%</w:t>
            </w:r>
          </w:p>
        </w:tc>
        <w:tc>
          <w:tcPr>
            <w:tcW w:w="2268" w:type="dxa"/>
            <w:vAlign w:val="center"/>
          </w:tcPr>
          <w:p>
            <w:pPr>
              <w:pStyle w:val="22"/>
            </w:pPr>
            <w:r>
              <w:t>年度工作计划</w:t>
            </w:r>
          </w:p>
        </w:tc>
      </w:tr>
    </w:tbl>
    <w:p>
      <w:pPr>
        <w:pStyle w:val="20"/>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、执法局城区环卫作业市场化经费绩效目标表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1.推进城区环卫作业市场化服务，实现城区垃圾日产日清</w:t>
            </w:r>
          </w:p>
          <w:p>
            <w:pPr>
              <w:pStyle w:val="22"/>
            </w:pPr>
            <w:r>
              <w:t>2.改善城区环境卫生，提升城市形象，为居民创造整洁、干净的城市环境</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99"/>
        <w:gridCol w:w="2160"/>
        <w:gridCol w:w="4179"/>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1599" w:type="dxa"/>
            <w:vAlign w:val="center"/>
          </w:tcPr>
          <w:p>
            <w:pPr>
              <w:pStyle w:val="21"/>
            </w:pPr>
            <w:r>
              <w:t>二级指标</w:t>
            </w:r>
          </w:p>
        </w:tc>
        <w:tc>
          <w:tcPr>
            <w:tcW w:w="2160" w:type="dxa"/>
            <w:vAlign w:val="center"/>
          </w:tcPr>
          <w:p>
            <w:pPr>
              <w:pStyle w:val="21"/>
            </w:pPr>
            <w:r>
              <w:t>三级指标</w:t>
            </w:r>
          </w:p>
        </w:tc>
        <w:tc>
          <w:tcPr>
            <w:tcW w:w="4179"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1599" w:type="dxa"/>
            <w:vAlign w:val="center"/>
          </w:tcPr>
          <w:p>
            <w:pPr>
              <w:pStyle w:val="22"/>
            </w:pPr>
            <w:r>
              <w:t>数量指标</w:t>
            </w:r>
          </w:p>
        </w:tc>
        <w:tc>
          <w:tcPr>
            <w:tcW w:w="2160" w:type="dxa"/>
            <w:vAlign w:val="center"/>
          </w:tcPr>
          <w:p>
            <w:pPr>
              <w:pStyle w:val="22"/>
            </w:pPr>
            <w:r>
              <w:t>清扫工作量</w:t>
            </w:r>
          </w:p>
        </w:tc>
        <w:tc>
          <w:tcPr>
            <w:tcW w:w="4179" w:type="dxa"/>
            <w:vAlign w:val="center"/>
          </w:tcPr>
          <w:p>
            <w:pPr>
              <w:pStyle w:val="22"/>
            </w:pPr>
            <w:r>
              <w:t>实际清扫服务面积</w:t>
            </w:r>
          </w:p>
        </w:tc>
        <w:tc>
          <w:tcPr>
            <w:tcW w:w="2551" w:type="dxa"/>
            <w:vAlign w:val="center"/>
          </w:tcPr>
          <w:p>
            <w:pPr>
              <w:pStyle w:val="22"/>
            </w:pPr>
            <w:r>
              <w:t>≥333万平方米</w:t>
            </w:r>
          </w:p>
        </w:tc>
        <w:tc>
          <w:tcPr>
            <w:tcW w:w="2268" w:type="dxa"/>
            <w:vAlign w:val="center"/>
          </w:tcPr>
          <w:p>
            <w:pPr>
              <w:pStyle w:val="22"/>
            </w:pPr>
            <w:r>
              <w:t>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质量指标</w:t>
            </w:r>
          </w:p>
        </w:tc>
        <w:tc>
          <w:tcPr>
            <w:tcW w:w="2160" w:type="dxa"/>
            <w:vAlign w:val="center"/>
          </w:tcPr>
          <w:p>
            <w:pPr>
              <w:pStyle w:val="22"/>
            </w:pPr>
            <w:r>
              <w:t>清扫面积合格率</w:t>
            </w:r>
          </w:p>
        </w:tc>
        <w:tc>
          <w:tcPr>
            <w:tcW w:w="4179" w:type="dxa"/>
            <w:vAlign w:val="center"/>
          </w:tcPr>
          <w:p>
            <w:pPr>
              <w:pStyle w:val="22"/>
            </w:pPr>
            <w:r>
              <w:t>道路清扫需要达到的基本要求，提高合格率</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时效指标</w:t>
            </w:r>
          </w:p>
        </w:tc>
        <w:tc>
          <w:tcPr>
            <w:tcW w:w="2160" w:type="dxa"/>
            <w:vAlign w:val="center"/>
          </w:tcPr>
          <w:p>
            <w:pPr>
              <w:pStyle w:val="22"/>
            </w:pPr>
            <w:r>
              <w:t>完成率</w:t>
            </w:r>
          </w:p>
        </w:tc>
        <w:tc>
          <w:tcPr>
            <w:tcW w:w="4179" w:type="dxa"/>
            <w:vAlign w:val="center"/>
          </w:tcPr>
          <w:p>
            <w:pPr>
              <w:pStyle w:val="22"/>
            </w:pPr>
            <w:r>
              <w:t>反映清扫任务完成情况</w:t>
            </w:r>
          </w:p>
        </w:tc>
        <w:tc>
          <w:tcPr>
            <w:tcW w:w="2551" w:type="dxa"/>
            <w:vAlign w:val="center"/>
          </w:tcPr>
          <w:p>
            <w:pPr>
              <w:pStyle w:val="22"/>
            </w:pPr>
            <w:r>
              <w:t>100%</w:t>
            </w:r>
          </w:p>
        </w:tc>
        <w:tc>
          <w:tcPr>
            <w:tcW w:w="2268" w:type="dxa"/>
            <w:vAlign w:val="center"/>
          </w:tcPr>
          <w:p>
            <w:pPr>
              <w:pStyle w:val="22"/>
            </w:pPr>
            <w:r>
              <w:t>考核单、年度工作计划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时效指标</w:t>
            </w:r>
          </w:p>
        </w:tc>
        <w:tc>
          <w:tcPr>
            <w:tcW w:w="2160" w:type="dxa"/>
            <w:vAlign w:val="center"/>
          </w:tcPr>
          <w:p>
            <w:pPr>
              <w:pStyle w:val="22"/>
            </w:pPr>
            <w:r>
              <w:t>资金支付及时率</w:t>
            </w:r>
          </w:p>
        </w:tc>
        <w:tc>
          <w:tcPr>
            <w:tcW w:w="4179" w:type="dxa"/>
            <w:vAlign w:val="center"/>
          </w:tcPr>
          <w:p>
            <w:pPr>
              <w:pStyle w:val="22"/>
            </w:pPr>
            <w:r>
              <w:t>反映资金支付的及时性状况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成本指标</w:t>
            </w:r>
          </w:p>
        </w:tc>
        <w:tc>
          <w:tcPr>
            <w:tcW w:w="2160" w:type="dxa"/>
            <w:vAlign w:val="center"/>
          </w:tcPr>
          <w:p>
            <w:pPr>
              <w:pStyle w:val="22"/>
            </w:pPr>
            <w:r>
              <w:t>成本控制率</w:t>
            </w:r>
          </w:p>
        </w:tc>
        <w:tc>
          <w:tcPr>
            <w:tcW w:w="4179"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1599" w:type="dxa"/>
            <w:vAlign w:val="center"/>
          </w:tcPr>
          <w:p>
            <w:pPr>
              <w:pStyle w:val="22"/>
            </w:pPr>
            <w:r>
              <w:t>社会效益指标</w:t>
            </w:r>
          </w:p>
        </w:tc>
        <w:tc>
          <w:tcPr>
            <w:tcW w:w="2160" w:type="dxa"/>
            <w:vAlign w:val="center"/>
          </w:tcPr>
          <w:p>
            <w:pPr>
              <w:pStyle w:val="22"/>
            </w:pPr>
            <w:r>
              <w:t>居住环境投诉率</w:t>
            </w:r>
          </w:p>
        </w:tc>
        <w:tc>
          <w:tcPr>
            <w:tcW w:w="4179" w:type="dxa"/>
            <w:vAlign w:val="center"/>
          </w:tcPr>
          <w:p>
            <w:pPr>
              <w:pStyle w:val="22"/>
            </w:pPr>
            <w:r>
              <w:t>提升城市形象，美化城市环境，降低居民投诉率</w:t>
            </w:r>
          </w:p>
        </w:tc>
        <w:tc>
          <w:tcPr>
            <w:tcW w:w="2551" w:type="dxa"/>
            <w:vAlign w:val="center"/>
          </w:tcPr>
          <w:p>
            <w:pPr>
              <w:pStyle w:val="22"/>
            </w:pPr>
            <w:r>
              <w:t>≤10%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满意度指标</w:t>
            </w:r>
          </w:p>
        </w:tc>
        <w:tc>
          <w:tcPr>
            <w:tcW w:w="1599" w:type="dxa"/>
            <w:vAlign w:val="center"/>
          </w:tcPr>
          <w:p>
            <w:pPr>
              <w:pStyle w:val="22"/>
            </w:pPr>
            <w:r>
              <w:t>服务对象满意度指标</w:t>
            </w:r>
          </w:p>
        </w:tc>
        <w:tc>
          <w:tcPr>
            <w:tcW w:w="2160" w:type="dxa"/>
            <w:vAlign w:val="center"/>
          </w:tcPr>
          <w:p>
            <w:pPr>
              <w:pStyle w:val="22"/>
            </w:pPr>
            <w:r>
              <w:t>群众满意度</w:t>
            </w:r>
          </w:p>
        </w:tc>
        <w:tc>
          <w:tcPr>
            <w:tcW w:w="4179" w:type="dxa"/>
            <w:vAlign w:val="center"/>
          </w:tcPr>
          <w:p>
            <w:pPr>
              <w:pStyle w:val="22"/>
            </w:pPr>
            <w:r>
              <w:t>受访群众达到基本满意以上人数与全体受访人数的比值</w:t>
            </w:r>
          </w:p>
        </w:tc>
        <w:tc>
          <w:tcPr>
            <w:tcW w:w="2551" w:type="dxa"/>
            <w:vAlign w:val="center"/>
          </w:tcPr>
          <w:p>
            <w:pPr>
              <w:pStyle w:val="22"/>
            </w:pPr>
            <w:r>
              <w:t>≥90%</w:t>
            </w:r>
          </w:p>
        </w:tc>
        <w:tc>
          <w:tcPr>
            <w:tcW w:w="2268" w:type="dxa"/>
            <w:vAlign w:val="center"/>
          </w:tcPr>
          <w:p>
            <w:pPr>
              <w:pStyle w:val="22"/>
            </w:pPr>
            <w:r>
              <w:t>问卷调查</w:t>
            </w:r>
          </w:p>
        </w:tc>
      </w:tr>
    </w:tbl>
    <w:p>
      <w:pPr>
        <w:pStyle w:val="20"/>
      </w:pPr>
    </w:p>
    <w:p>
      <w:pPr>
        <w:pStyle w:val="20"/>
        <w:ind w:firstLine="560"/>
      </w:pPr>
      <w:r>
        <w:rPr>
          <w:rFonts w:hint="eastAsia" w:ascii="方正仿宋_GBK" w:hAnsi="方正仿宋_GBK" w:eastAsia="方正仿宋_GBK" w:cs="方正仿宋_GBK"/>
          <w:b/>
          <w:color w:val="000000"/>
          <w:sz w:val="28"/>
          <w:lang w:val="en-US" w:eastAsia="zh-CN"/>
        </w:rPr>
        <w:t>19</w:t>
      </w:r>
      <w:r>
        <w:rPr>
          <w:rFonts w:ascii="方正仿宋_GBK" w:hAnsi="方正仿宋_GBK" w:eastAsia="方正仿宋_GBK" w:cs="方正仿宋_GBK"/>
          <w:b/>
          <w:color w:val="000000"/>
          <w:sz w:val="28"/>
        </w:rPr>
        <w:t>、执法局服装购置费绩效目标表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执法人员服装及标志标识统一，使城市管理更加规范化</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99"/>
        <w:gridCol w:w="2175"/>
        <w:gridCol w:w="4164"/>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1599" w:type="dxa"/>
            <w:vAlign w:val="center"/>
          </w:tcPr>
          <w:p>
            <w:pPr>
              <w:pStyle w:val="21"/>
            </w:pPr>
            <w:r>
              <w:t>二级指标</w:t>
            </w:r>
          </w:p>
        </w:tc>
        <w:tc>
          <w:tcPr>
            <w:tcW w:w="2175" w:type="dxa"/>
            <w:vAlign w:val="center"/>
          </w:tcPr>
          <w:p>
            <w:pPr>
              <w:pStyle w:val="21"/>
            </w:pPr>
            <w:r>
              <w:t>三级指标</w:t>
            </w:r>
          </w:p>
        </w:tc>
        <w:tc>
          <w:tcPr>
            <w:tcW w:w="4164"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1599" w:type="dxa"/>
            <w:vAlign w:val="center"/>
          </w:tcPr>
          <w:p>
            <w:pPr>
              <w:pStyle w:val="22"/>
            </w:pPr>
            <w:r>
              <w:t>数量指标</w:t>
            </w:r>
          </w:p>
        </w:tc>
        <w:tc>
          <w:tcPr>
            <w:tcW w:w="2175" w:type="dxa"/>
            <w:vAlign w:val="center"/>
          </w:tcPr>
          <w:p>
            <w:pPr>
              <w:pStyle w:val="22"/>
            </w:pPr>
            <w:r>
              <w:t>采购数量</w:t>
            </w:r>
          </w:p>
        </w:tc>
        <w:tc>
          <w:tcPr>
            <w:tcW w:w="4164" w:type="dxa"/>
            <w:vAlign w:val="center"/>
          </w:tcPr>
          <w:p>
            <w:pPr>
              <w:pStyle w:val="22"/>
            </w:pPr>
            <w:r>
              <w:t>当年度计划更新服装的执法人员数量</w:t>
            </w:r>
          </w:p>
        </w:tc>
        <w:tc>
          <w:tcPr>
            <w:tcW w:w="2551" w:type="dxa"/>
            <w:vAlign w:val="center"/>
          </w:tcPr>
          <w:p>
            <w:pPr>
              <w:pStyle w:val="22"/>
            </w:pPr>
            <w:r>
              <w:t>147人</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质量指标</w:t>
            </w:r>
          </w:p>
        </w:tc>
        <w:tc>
          <w:tcPr>
            <w:tcW w:w="2175" w:type="dxa"/>
            <w:vAlign w:val="center"/>
          </w:tcPr>
          <w:p>
            <w:pPr>
              <w:pStyle w:val="22"/>
            </w:pPr>
            <w:r>
              <w:t>合格率</w:t>
            </w:r>
          </w:p>
        </w:tc>
        <w:tc>
          <w:tcPr>
            <w:tcW w:w="4164" w:type="dxa"/>
            <w:vAlign w:val="center"/>
          </w:tcPr>
          <w:p>
            <w:pPr>
              <w:pStyle w:val="22"/>
            </w:pPr>
            <w:r>
              <w:t>采购合格产品与全部产品的比值</w:t>
            </w:r>
          </w:p>
        </w:tc>
        <w:tc>
          <w:tcPr>
            <w:tcW w:w="2551" w:type="dxa"/>
            <w:vAlign w:val="center"/>
          </w:tcPr>
          <w:p>
            <w:pPr>
              <w:pStyle w:val="22"/>
            </w:pPr>
            <w:r>
              <w:t>100%</w:t>
            </w:r>
          </w:p>
        </w:tc>
        <w:tc>
          <w:tcPr>
            <w:tcW w:w="2268" w:type="dxa"/>
            <w:vAlign w:val="center"/>
          </w:tcPr>
          <w:p>
            <w:pPr>
              <w:pStyle w:val="22"/>
            </w:pPr>
            <w:r>
              <w:t>验收清单，年度工作计划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时效指标</w:t>
            </w:r>
          </w:p>
        </w:tc>
        <w:tc>
          <w:tcPr>
            <w:tcW w:w="2175" w:type="dxa"/>
            <w:vAlign w:val="center"/>
          </w:tcPr>
          <w:p>
            <w:pPr>
              <w:pStyle w:val="22"/>
            </w:pPr>
            <w:r>
              <w:t>交货及时率</w:t>
            </w:r>
          </w:p>
        </w:tc>
        <w:tc>
          <w:tcPr>
            <w:tcW w:w="4164" w:type="dxa"/>
            <w:vAlign w:val="center"/>
          </w:tcPr>
          <w:p>
            <w:pPr>
              <w:pStyle w:val="22"/>
            </w:pPr>
            <w:r>
              <w:t>及时交货的数量与计划采购数量的比值</w:t>
            </w:r>
          </w:p>
        </w:tc>
        <w:tc>
          <w:tcPr>
            <w:tcW w:w="2551" w:type="dxa"/>
            <w:vAlign w:val="center"/>
          </w:tcPr>
          <w:p>
            <w:pPr>
              <w:pStyle w:val="22"/>
            </w:pPr>
            <w:r>
              <w:t>≥90%</w:t>
            </w:r>
          </w:p>
        </w:tc>
        <w:tc>
          <w:tcPr>
            <w:tcW w:w="2268" w:type="dxa"/>
            <w:vAlign w:val="center"/>
          </w:tcPr>
          <w:p>
            <w:pPr>
              <w:pStyle w:val="22"/>
            </w:pPr>
            <w:r>
              <w:t>验收清单、年度工作计划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成本指标</w:t>
            </w:r>
          </w:p>
        </w:tc>
        <w:tc>
          <w:tcPr>
            <w:tcW w:w="2175" w:type="dxa"/>
            <w:vAlign w:val="center"/>
          </w:tcPr>
          <w:p>
            <w:pPr>
              <w:pStyle w:val="22"/>
            </w:pPr>
            <w:r>
              <w:t>采购单价</w:t>
            </w:r>
          </w:p>
        </w:tc>
        <w:tc>
          <w:tcPr>
            <w:tcW w:w="4164" w:type="dxa"/>
            <w:vAlign w:val="center"/>
          </w:tcPr>
          <w:p>
            <w:pPr>
              <w:pStyle w:val="22"/>
            </w:pPr>
            <w:r>
              <w:t>拟采购全套服装单价</w:t>
            </w:r>
          </w:p>
        </w:tc>
        <w:tc>
          <w:tcPr>
            <w:tcW w:w="2551" w:type="dxa"/>
            <w:vAlign w:val="center"/>
          </w:tcPr>
          <w:p>
            <w:pPr>
              <w:pStyle w:val="22"/>
            </w:pPr>
            <w:r>
              <w:t>≤5400元/套</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成本指标</w:t>
            </w:r>
          </w:p>
        </w:tc>
        <w:tc>
          <w:tcPr>
            <w:tcW w:w="2175" w:type="dxa"/>
            <w:vAlign w:val="center"/>
          </w:tcPr>
          <w:p>
            <w:pPr>
              <w:pStyle w:val="22"/>
            </w:pPr>
            <w:r>
              <w:t>成本控制率</w:t>
            </w:r>
          </w:p>
        </w:tc>
        <w:tc>
          <w:tcPr>
            <w:tcW w:w="4164"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1599" w:type="dxa"/>
            <w:vAlign w:val="center"/>
          </w:tcPr>
          <w:p>
            <w:pPr>
              <w:pStyle w:val="22"/>
            </w:pPr>
            <w:r>
              <w:t>社会效益指标</w:t>
            </w:r>
          </w:p>
        </w:tc>
        <w:tc>
          <w:tcPr>
            <w:tcW w:w="2175" w:type="dxa"/>
            <w:vAlign w:val="center"/>
          </w:tcPr>
          <w:p>
            <w:pPr>
              <w:pStyle w:val="22"/>
            </w:pPr>
            <w:r>
              <w:t>执法工作着装合格率</w:t>
            </w:r>
          </w:p>
        </w:tc>
        <w:tc>
          <w:tcPr>
            <w:tcW w:w="4164" w:type="dxa"/>
            <w:vAlign w:val="center"/>
          </w:tcPr>
          <w:p>
            <w:pPr>
              <w:pStyle w:val="22"/>
            </w:pPr>
            <w:r>
              <w:t>树立文明执法形象，增强执法人员自律性</w:t>
            </w:r>
          </w:p>
        </w:tc>
        <w:tc>
          <w:tcPr>
            <w:tcW w:w="2551" w:type="dxa"/>
            <w:vAlign w:val="center"/>
          </w:tcPr>
          <w:p>
            <w:pPr>
              <w:pStyle w:val="22"/>
            </w:pPr>
            <w:r>
              <w:t>100%</w:t>
            </w:r>
          </w:p>
        </w:tc>
        <w:tc>
          <w:tcPr>
            <w:tcW w:w="2268" w:type="dxa"/>
            <w:vAlign w:val="center"/>
          </w:tcPr>
          <w:p>
            <w:pPr>
              <w:pStyle w:val="22"/>
            </w:pPr>
            <w:r>
              <w:t>年度工作计划</w:t>
            </w:r>
          </w:p>
        </w:tc>
      </w:tr>
    </w:tbl>
    <w:p>
      <w:pPr>
        <w:pStyle w:val="20"/>
        <w:ind w:firstLine="560"/>
        <w:rPr>
          <w:rFonts w:ascii="方正仿宋_GBK" w:hAnsi="方正仿宋_GBK" w:eastAsia="方正仿宋_GBK" w:cs="方正仿宋_GBK"/>
          <w:b/>
          <w:color w:val="000000"/>
          <w:sz w:val="28"/>
        </w:rPr>
      </w:pPr>
    </w:p>
    <w:p>
      <w:pPr>
        <w:pStyle w:val="20"/>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、执法局垃圾中转站运行维护费绩效目标表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1.保障垃圾中转站正常运转</w:t>
            </w:r>
          </w:p>
          <w:p>
            <w:pPr>
              <w:pStyle w:val="22"/>
            </w:pPr>
            <w:r>
              <w:t>2.实现垃圾日产日清，改善城乡环境卫生脏乱差现状</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84"/>
        <w:gridCol w:w="2190"/>
        <w:gridCol w:w="4164"/>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1584" w:type="dxa"/>
            <w:vAlign w:val="center"/>
          </w:tcPr>
          <w:p>
            <w:pPr>
              <w:pStyle w:val="21"/>
            </w:pPr>
            <w:r>
              <w:t>二级指标</w:t>
            </w:r>
          </w:p>
        </w:tc>
        <w:tc>
          <w:tcPr>
            <w:tcW w:w="2190" w:type="dxa"/>
            <w:vAlign w:val="center"/>
          </w:tcPr>
          <w:p>
            <w:pPr>
              <w:pStyle w:val="21"/>
            </w:pPr>
            <w:r>
              <w:t>三级指标</w:t>
            </w:r>
          </w:p>
        </w:tc>
        <w:tc>
          <w:tcPr>
            <w:tcW w:w="4164"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1584" w:type="dxa"/>
            <w:vAlign w:val="center"/>
          </w:tcPr>
          <w:p>
            <w:pPr>
              <w:pStyle w:val="22"/>
            </w:pPr>
            <w:r>
              <w:t>数量指标</w:t>
            </w:r>
          </w:p>
        </w:tc>
        <w:tc>
          <w:tcPr>
            <w:tcW w:w="2190" w:type="dxa"/>
            <w:vAlign w:val="center"/>
          </w:tcPr>
          <w:p>
            <w:pPr>
              <w:pStyle w:val="22"/>
            </w:pPr>
            <w:r>
              <w:t>设备运转率</w:t>
            </w:r>
          </w:p>
        </w:tc>
        <w:tc>
          <w:tcPr>
            <w:tcW w:w="4164" w:type="dxa"/>
            <w:vAlign w:val="center"/>
          </w:tcPr>
          <w:p>
            <w:pPr>
              <w:pStyle w:val="22"/>
            </w:pPr>
            <w:r>
              <w:t>正常运转设备占全部设备数量的比例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质量指标</w:t>
            </w:r>
          </w:p>
        </w:tc>
        <w:tc>
          <w:tcPr>
            <w:tcW w:w="2190" w:type="dxa"/>
            <w:vAlign w:val="center"/>
          </w:tcPr>
          <w:p>
            <w:pPr>
              <w:pStyle w:val="22"/>
            </w:pPr>
            <w:r>
              <w:t>维修合格率</w:t>
            </w:r>
          </w:p>
        </w:tc>
        <w:tc>
          <w:tcPr>
            <w:tcW w:w="4164" w:type="dxa"/>
            <w:vAlign w:val="center"/>
          </w:tcPr>
          <w:p>
            <w:pPr>
              <w:pStyle w:val="22"/>
            </w:pPr>
            <w:r>
              <w:t>维修质量合格产品与全部维修产品比例</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时效指标</w:t>
            </w:r>
          </w:p>
        </w:tc>
        <w:tc>
          <w:tcPr>
            <w:tcW w:w="2190" w:type="dxa"/>
            <w:vAlign w:val="center"/>
          </w:tcPr>
          <w:p>
            <w:pPr>
              <w:pStyle w:val="22"/>
            </w:pPr>
            <w:r>
              <w:t>资金支付及时性</w:t>
            </w:r>
          </w:p>
        </w:tc>
        <w:tc>
          <w:tcPr>
            <w:tcW w:w="4164" w:type="dxa"/>
            <w:vAlign w:val="center"/>
          </w:tcPr>
          <w:p>
            <w:pPr>
              <w:pStyle w:val="22"/>
            </w:pPr>
            <w:r>
              <w:t>是否在规定时间内对资金进行支付</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成本指标</w:t>
            </w:r>
          </w:p>
        </w:tc>
        <w:tc>
          <w:tcPr>
            <w:tcW w:w="2190" w:type="dxa"/>
            <w:vAlign w:val="center"/>
          </w:tcPr>
          <w:p>
            <w:pPr>
              <w:pStyle w:val="22"/>
            </w:pPr>
            <w:r>
              <w:t>租赁单价</w:t>
            </w:r>
          </w:p>
        </w:tc>
        <w:tc>
          <w:tcPr>
            <w:tcW w:w="4164" w:type="dxa"/>
            <w:vAlign w:val="center"/>
          </w:tcPr>
          <w:p>
            <w:pPr>
              <w:pStyle w:val="22"/>
            </w:pPr>
            <w:r>
              <w:t>专用车辆租赁单价</w:t>
            </w:r>
          </w:p>
        </w:tc>
        <w:tc>
          <w:tcPr>
            <w:tcW w:w="2551" w:type="dxa"/>
            <w:vAlign w:val="center"/>
          </w:tcPr>
          <w:p>
            <w:pPr>
              <w:pStyle w:val="22"/>
            </w:pPr>
            <w:r>
              <w:t>≤1.5万元/月</w:t>
            </w:r>
          </w:p>
        </w:tc>
        <w:tc>
          <w:tcPr>
            <w:tcW w:w="2268" w:type="dxa"/>
            <w:vAlign w:val="center"/>
          </w:tcPr>
          <w:p>
            <w:pPr>
              <w:pStyle w:val="22"/>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成本指标</w:t>
            </w:r>
          </w:p>
        </w:tc>
        <w:tc>
          <w:tcPr>
            <w:tcW w:w="2190" w:type="dxa"/>
            <w:vAlign w:val="center"/>
          </w:tcPr>
          <w:p>
            <w:pPr>
              <w:pStyle w:val="22"/>
            </w:pPr>
            <w:r>
              <w:t>成本控制率</w:t>
            </w:r>
          </w:p>
        </w:tc>
        <w:tc>
          <w:tcPr>
            <w:tcW w:w="4164"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1584" w:type="dxa"/>
            <w:vAlign w:val="center"/>
          </w:tcPr>
          <w:p>
            <w:pPr>
              <w:pStyle w:val="22"/>
            </w:pPr>
            <w:r>
              <w:t>社会效益指标</w:t>
            </w:r>
          </w:p>
        </w:tc>
        <w:tc>
          <w:tcPr>
            <w:tcW w:w="2190" w:type="dxa"/>
            <w:vAlign w:val="center"/>
          </w:tcPr>
          <w:p>
            <w:pPr>
              <w:pStyle w:val="22"/>
            </w:pPr>
            <w:r>
              <w:t>中转站问题投诉率</w:t>
            </w:r>
          </w:p>
        </w:tc>
        <w:tc>
          <w:tcPr>
            <w:tcW w:w="4164" w:type="dxa"/>
            <w:vAlign w:val="center"/>
          </w:tcPr>
          <w:p>
            <w:pPr>
              <w:pStyle w:val="22"/>
            </w:pPr>
            <w:r>
              <w:t>反映因维护不利，居民群众投诉的情况</w:t>
            </w:r>
          </w:p>
        </w:tc>
        <w:tc>
          <w:tcPr>
            <w:tcW w:w="2551" w:type="dxa"/>
            <w:vAlign w:val="center"/>
          </w:tcPr>
          <w:p>
            <w:pPr>
              <w:pStyle w:val="22"/>
            </w:pPr>
            <w:r>
              <w:t>≤10%</w:t>
            </w:r>
          </w:p>
        </w:tc>
        <w:tc>
          <w:tcPr>
            <w:tcW w:w="2268" w:type="dxa"/>
            <w:vAlign w:val="center"/>
          </w:tcPr>
          <w:p>
            <w:pPr>
              <w:pStyle w:val="22"/>
            </w:pPr>
            <w:r>
              <w:t>年度工作计划</w:t>
            </w:r>
          </w:p>
        </w:tc>
      </w:tr>
    </w:tbl>
    <w:p>
      <w:pPr>
        <w:pStyle w:val="20"/>
      </w:pPr>
    </w:p>
    <w:p>
      <w:pPr>
        <w:pStyle w:val="20"/>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、执法局农村环卫作业市场化经费绩效目标表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1.保障全县123个村庄清扫保洁和垃圾清运</w:t>
            </w:r>
          </w:p>
          <w:p>
            <w:pPr>
              <w:pStyle w:val="22"/>
            </w:pPr>
            <w:r>
              <w:t>2.改善农村街道脏乱差面貌，创建干净整洁的农村新形象</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99"/>
        <w:gridCol w:w="2175"/>
        <w:gridCol w:w="4164"/>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1599" w:type="dxa"/>
            <w:vAlign w:val="center"/>
          </w:tcPr>
          <w:p>
            <w:pPr>
              <w:pStyle w:val="21"/>
            </w:pPr>
            <w:r>
              <w:t>二级指标</w:t>
            </w:r>
          </w:p>
        </w:tc>
        <w:tc>
          <w:tcPr>
            <w:tcW w:w="2175" w:type="dxa"/>
            <w:vAlign w:val="center"/>
          </w:tcPr>
          <w:p>
            <w:pPr>
              <w:pStyle w:val="21"/>
            </w:pPr>
            <w:r>
              <w:t>三级指标</w:t>
            </w:r>
          </w:p>
        </w:tc>
        <w:tc>
          <w:tcPr>
            <w:tcW w:w="4164"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1599" w:type="dxa"/>
            <w:vAlign w:val="center"/>
          </w:tcPr>
          <w:p>
            <w:pPr>
              <w:pStyle w:val="22"/>
            </w:pPr>
            <w:r>
              <w:t>数量指标</w:t>
            </w:r>
          </w:p>
        </w:tc>
        <w:tc>
          <w:tcPr>
            <w:tcW w:w="2175" w:type="dxa"/>
            <w:vAlign w:val="center"/>
          </w:tcPr>
          <w:p>
            <w:pPr>
              <w:pStyle w:val="22"/>
            </w:pPr>
            <w:r>
              <w:t>服务村庄数量</w:t>
            </w:r>
          </w:p>
        </w:tc>
        <w:tc>
          <w:tcPr>
            <w:tcW w:w="4164" w:type="dxa"/>
            <w:vAlign w:val="center"/>
          </w:tcPr>
          <w:p>
            <w:pPr>
              <w:pStyle w:val="22"/>
            </w:pPr>
            <w:r>
              <w:t>辖区范围内服务村庄覆盖数量</w:t>
            </w:r>
          </w:p>
        </w:tc>
        <w:tc>
          <w:tcPr>
            <w:tcW w:w="2551" w:type="dxa"/>
            <w:vAlign w:val="center"/>
          </w:tcPr>
          <w:p>
            <w:pPr>
              <w:pStyle w:val="22"/>
            </w:pPr>
            <w:r>
              <w:t>123个</w:t>
            </w:r>
          </w:p>
        </w:tc>
        <w:tc>
          <w:tcPr>
            <w:tcW w:w="2268" w:type="dxa"/>
            <w:vAlign w:val="center"/>
          </w:tcPr>
          <w:p>
            <w:pPr>
              <w:pStyle w:val="22"/>
            </w:pPr>
            <w:r>
              <w:t>合同、年度工作计划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质量指标</w:t>
            </w:r>
          </w:p>
        </w:tc>
        <w:tc>
          <w:tcPr>
            <w:tcW w:w="2175" w:type="dxa"/>
            <w:vAlign w:val="center"/>
          </w:tcPr>
          <w:p>
            <w:pPr>
              <w:pStyle w:val="22"/>
            </w:pPr>
            <w:r>
              <w:t>清扫区域合格率</w:t>
            </w:r>
          </w:p>
        </w:tc>
        <w:tc>
          <w:tcPr>
            <w:tcW w:w="4164" w:type="dxa"/>
            <w:vAlign w:val="center"/>
          </w:tcPr>
          <w:p>
            <w:pPr>
              <w:pStyle w:val="22"/>
            </w:pPr>
            <w:r>
              <w:t>反映项目是否按照要求清扫</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时效指标</w:t>
            </w:r>
          </w:p>
        </w:tc>
        <w:tc>
          <w:tcPr>
            <w:tcW w:w="2175" w:type="dxa"/>
            <w:vAlign w:val="center"/>
          </w:tcPr>
          <w:p>
            <w:pPr>
              <w:pStyle w:val="22"/>
            </w:pPr>
            <w:r>
              <w:t xml:space="preserve"> 工作完成率</w:t>
            </w:r>
          </w:p>
        </w:tc>
        <w:tc>
          <w:tcPr>
            <w:tcW w:w="4164" w:type="dxa"/>
            <w:vAlign w:val="center"/>
          </w:tcPr>
          <w:p>
            <w:pPr>
              <w:pStyle w:val="22"/>
            </w:pPr>
            <w:r>
              <w:t>反映清扫任务完成情况</w:t>
            </w:r>
          </w:p>
        </w:tc>
        <w:tc>
          <w:tcPr>
            <w:tcW w:w="2551" w:type="dxa"/>
            <w:vAlign w:val="center"/>
          </w:tcPr>
          <w:p>
            <w:pPr>
              <w:pStyle w:val="22"/>
            </w:pPr>
            <w:r>
              <w:t>100%</w:t>
            </w:r>
          </w:p>
        </w:tc>
        <w:tc>
          <w:tcPr>
            <w:tcW w:w="2268" w:type="dxa"/>
            <w:vAlign w:val="center"/>
          </w:tcPr>
          <w:p>
            <w:pPr>
              <w:pStyle w:val="22"/>
            </w:pPr>
            <w:r>
              <w:t>考核单、年度工作计划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时效指标</w:t>
            </w:r>
          </w:p>
        </w:tc>
        <w:tc>
          <w:tcPr>
            <w:tcW w:w="2175" w:type="dxa"/>
            <w:vAlign w:val="center"/>
          </w:tcPr>
          <w:p>
            <w:pPr>
              <w:pStyle w:val="22"/>
            </w:pPr>
            <w:r>
              <w:t>资金支付及时率</w:t>
            </w:r>
          </w:p>
        </w:tc>
        <w:tc>
          <w:tcPr>
            <w:tcW w:w="4164" w:type="dxa"/>
            <w:vAlign w:val="center"/>
          </w:tcPr>
          <w:p>
            <w:pPr>
              <w:pStyle w:val="22"/>
            </w:pPr>
            <w:r>
              <w:t>反映资金支付的及时性状况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99" w:type="dxa"/>
            <w:vAlign w:val="center"/>
          </w:tcPr>
          <w:p>
            <w:pPr>
              <w:pStyle w:val="22"/>
            </w:pPr>
            <w:r>
              <w:t>成本指标</w:t>
            </w:r>
          </w:p>
        </w:tc>
        <w:tc>
          <w:tcPr>
            <w:tcW w:w="2175" w:type="dxa"/>
            <w:vAlign w:val="center"/>
          </w:tcPr>
          <w:p>
            <w:pPr>
              <w:pStyle w:val="22"/>
            </w:pPr>
            <w:r>
              <w:t>成本控制率</w:t>
            </w:r>
          </w:p>
        </w:tc>
        <w:tc>
          <w:tcPr>
            <w:tcW w:w="4164"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1599" w:type="dxa"/>
            <w:vAlign w:val="center"/>
          </w:tcPr>
          <w:p>
            <w:pPr>
              <w:pStyle w:val="22"/>
            </w:pPr>
            <w:r>
              <w:t>社会效益指标</w:t>
            </w:r>
          </w:p>
        </w:tc>
        <w:tc>
          <w:tcPr>
            <w:tcW w:w="2175" w:type="dxa"/>
            <w:vAlign w:val="center"/>
          </w:tcPr>
          <w:p>
            <w:pPr>
              <w:pStyle w:val="22"/>
            </w:pPr>
            <w:r>
              <w:t>居住环境投诉率</w:t>
            </w:r>
          </w:p>
        </w:tc>
        <w:tc>
          <w:tcPr>
            <w:tcW w:w="4164" w:type="dxa"/>
            <w:vAlign w:val="center"/>
          </w:tcPr>
          <w:p>
            <w:pPr>
              <w:pStyle w:val="22"/>
            </w:pPr>
            <w:r>
              <w:t>提升城市形象，美化城市环境，降低居民投诉率</w:t>
            </w:r>
          </w:p>
        </w:tc>
        <w:tc>
          <w:tcPr>
            <w:tcW w:w="2551" w:type="dxa"/>
            <w:vAlign w:val="center"/>
          </w:tcPr>
          <w:p>
            <w:pPr>
              <w:pStyle w:val="22"/>
            </w:pPr>
            <w:r>
              <w:t>≤10%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满意度指标</w:t>
            </w:r>
          </w:p>
        </w:tc>
        <w:tc>
          <w:tcPr>
            <w:tcW w:w="1599" w:type="dxa"/>
            <w:vAlign w:val="center"/>
          </w:tcPr>
          <w:p>
            <w:pPr>
              <w:pStyle w:val="22"/>
            </w:pPr>
            <w:r>
              <w:t>服务对象满意度指标</w:t>
            </w:r>
          </w:p>
        </w:tc>
        <w:tc>
          <w:tcPr>
            <w:tcW w:w="2175" w:type="dxa"/>
            <w:vAlign w:val="center"/>
          </w:tcPr>
          <w:p>
            <w:pPr>
              <w:pStyle w:val="22"/>
            </w:pPr>
            <w:r>
              <w:t>群众满意度</w:t>
            </w:r>
          </w:p>
        </w:tc>
        <w:tc>
          <w:tcPr>
            <w:tcW w:w="4164" w:type="dxa"/>
            <w:vAlign w:val="center"/>
          </w:tcPr>
          <w:p>
            <w:pPr>
              <w:pStyle w:val="22"/>
            </w:pPr>
            <w:r>
              <w:t>受访群众达到基本满意以上人数与全体受访人数的比值</w:t>
            </w:r>
          </w:p>
        </w:tc>
        <w:tc>
          <w:tcPr>
            <w:tcW w:w="2551" w:type="dxa"/>
            <w:vAlign w:val="center"/>
          </w:tcPr>
          <w:p>
            <w:pPr>
              <w:pStyle w:val="22"/>
            </w:pPr>
            <w:r>
              <w:t>≥90%</w:t>
            </w:r>
          </w:p>
        </w:tc>
        <w:tc>
          <w:tcPr>
            <w:tcW w:w="2268" w:type="dxa"/>
            <w:vAlign w:val="center"/>
          </w:tcPr>
          <w:p>
            <w:pPr>
              <w:pStyle w:val="22"/>
            </w:pPr>
            <w:r>
              <w:t>问卷调查</w:t>
            </w:r>
          </w:p>
        </w:tc>
      </w:tr>
    </w:tbl>
    <w:p>
      <w:pPr>
        <w:pStyle w:val="20"/>
      </w:pPr>
    </w:p>
    <w:p>
      <w:pPr>
        <w:pStyle w:val="20"/>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、执法局数字化城管运行经费绩效目标表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1.搭建一条省、市、县联网服务平台</w:t>
            </w:r>
          </w:p>
          <w:p>
            <w:pPr>
              <w:pStyle w:val="22"/>
            </w:pPr>
            <w:r>
              <w:t>2.保障数字化管理平台正常运行</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84"/>
        <w:gridCol w:w="2175"/>
        <w:gridCol w:w="4179"/>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1584" w:type="dxa"/>
            <w:vAlign w:val="center"/>
          </w:tcPr>
          <w:p>
            <w:pPr>
              <w:pStyle w:val="21"/>
            </w:pPr>
            <w:r>
              <w:t>二级指标</w:t>
            </w:r>
          </w:p>
        </w:tc>
        <w:tc>
          <w:tcPr>
            <w:tcW w:w="2175" w:type="dxa"/>
            <w:vAlign w:val="center"/>
          </w:tcPr>
          <w:p>
            <w:pPr>
              <w:pStyle w:val="21"/>
            </w:pPr>
            <w:r>
              <w:t>三级指标</w:t>
            </w:r>
          </w:p>
        </w:tc>
        <w:tc>
          <w:tcPr>
            <w:tcW w:w="4179"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1584" w:type="dxa"/>
            <w:vAlign w:val="center"/>
          </w:tcPr>
          <w:p>
            <w:pPr>
              <w:pStyle w:val="22"/>
            </w:pPr>
            <w:r>
              <w:t>数量指标</w:t>
            </w:r>
          </w:p>
        </w:tc>
        <w:tc>
          <w:tcPr>
            <w:tcW w:w="2175" w:type="dxa"/>
            <w:vAlign w:val="center"/>
          </w:tcPr>
          <w:p>
            <w:pPr>
              <w:pStyle w:val="22"/>
            </w:pPr>
            <w:r>
              <w:t>信息采集率</w:t>
            </w:r>
          </w:p>
        </w:tc>
        <w:tc>
          <w:tcPr>
            <w:tcW w:w="4179" w:type="dxa"/>
            <w:vAlign w:val="center"/>
          </w:tcPr>
          <w:p>
            <w:pPr>
              <w:pStyle w:val="22"/>
            </w:pPr>
            <w:r>
              <w:t>数字化城管平台信息实际采集数量与应采集数量比例</w:t>
            </w:r>
          </w:p>
        </w:tc>
        <w:tc>
          <w:tcPr>
            <w:tcW w:w="2551" w:type="dxa"/>
            <w:vAlign w:val="center"/>
          </w:tcPr>
          <w:p>
            <w:pPr>
              <w:pStyle w:val="22"/>
            </w:pPr>
            <w:r>
              <w:t>≥90%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质量指标</w:t>
            </w:r>
          </w:p>
        </w:tc>
        <w:tc>
          <w:tcPr>
            <w:tcW w:w="2175" w:type="dxa"/>
            <w:vAlign w:val="center"/>
          </w:tcPr>
          <w:p>
            <w:pPr>
              <w:pStyle w:val="22"/>
            </w:pPr>
            <w:r>
              <w:t>系统故障率</w:t>
            </w:r>
          </w:p>
        </w:tc>
        <w:tc>
          <w:tcPr>
            <w:tcW w:w="4179" w:type="dxa"/>
            <w:vAlign w:val="center"/>
          </w:tcPr>
          <w:p>
            <w:pPr>
              <w:pStyle w:val="22"/>
            </w:pPr>
            <w:r>
              <w:t>发生系统故障的设备与全体运行设备的比例</w:t>
            </w:r>
          </w:p>
        </w:tc>
        <w:tc>
          <w:tcPr>
            <w:tcW w:w="2551" w:type="dxa"/>
            <w:vAlign w:val="center"/>
          </w:tcPr>
          <w:p>
            <w:pPr>
              <w:pStyle w:val="22"/>
            </w:pPr>
            <w:r>
              <w:t>≤10%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时效指标</w:t>
            </w:r>
          </w:p>
        </w:tc>
        <w:tc>
          <w:tcPr>
            <w:tcW w:w="2175" w:type="dxa"/>
            <w:vAlign w:val="center"/>
          </w:tcPr>
          <w:p>
            <w:pPr>
              <w:pStyle w:val="22"/>
            </w:pPr>
            <w:r>
              <w:t>资金支付及时率</w:t>
            </w:r>
          </w:p>
        </w:tc>
        <w:tc>
          <w:tcPr>
            <w:tcW w:w="4179" w:type="dxa"/>
            <w:vAlign w:val="center"/>
          </w:tcPr>
          <w:p>
            <w:pPr>
              <w:pStyle w:val="22"/>
            </w:pPr>
            <w:r>
              <w:t>反映资金支付的及时性状况</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时效指标</w:t>
            </w:r>
          </w:p>
        </w:tc>
        <w:tc>
          <w:tcPr>
            <w:tcW w:w="2175" w:type="dxa"/>
            <w:vAlign w:val="center"/>
          </w:tcPr>
          <w:p>
            <w:pPr>
              <w:pStyle w:val="22"/>
            </w:pPr>
            <w:r>
              <w:t>信息采集及时率</w:t>
            </w:r>
          </w:p>
        </w:tc>
        <w:tc>
          <w:tcPr>
            <w:tcW w:w="4179" w:type="dxa"/>
            <w:vAlign w:val="center"/>
          </w:tcPr>
          <w:p>
            <w:pPr>
              <w:pStyle w:val="22"/>
            </w:pPr>
            <w:r>
              <w:t>反映数字化城管平台信息采集时间效率</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成本指标</w:t>
            </w:r>
          </w:p>
        </w:tc>
        <w:tc>
          <w:tcPr>
            <w:tcW w:w="2175" w:type="dxa"/>
            <w:vAlign w:val="center"/>
          </w:tcPr>
          <w:p>
            <w:pPr>
              <w:pStyle w:val="22"/>
            </w:pPr>
            <w:r>
              <w:t>成本控制率</w:t>
            </w:r>
          </w:p>
        </w:tc>
        <w:tc>
          <w:tcPr>
            <w:tcW w:w="4179"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1584" w:type="dxa"/>
            <w:vAlign w:val="center"/>
          </w:tcPr>
          <w:p>
            <w:pPr>
              <w:pStyle w:val="22"/>
            </w:pPr>
            <w:r>
              <w:t>社会效益指标</w:t>
            </w:r>
          </w:p>
        </w:tc>
        <w:tc>
          <w:tcPr>
            <w:tcW w:w="2175" w:type="dxa"/>
            <w:vAlign w:val="center"/>
          </w:tcPr>
          <w:p>
            <w:pPr>
              <w:pStyle w:val="22"/>
            </w:pPr>
            <w:r>
              <w:t>城市管理服务水平信息共享率</w:t>
            </w:r>
          </w:p>
        </w:tc>
        <w:tc>
          <w:tcPr>
            <w:tcW w:w="4179" w:type="dxa"/>
            <w:vAlign w:val="center"/>
          </w:tcPr>
          <w:p>
            <w:pPr>
              <w:pStyle w:val="22"/>
            </w:pPr>
            <w:r>
              <w:t>实现了对城市“科学、雅阁、精细、长效”的管理，反映信息共享情况</w:t>
            </w:r>
          </w:p>
        </w:tc>
        <w:tc>
          <w:tcPr>
            <w:tcW w:w="2551" w:type="dxa"/>
            <w:vAlign w:val="center"/>
          </w:tcPr>
          <w:p>
            <w:pPr>
              <w:pStyle w:val="22"/>
            </w:pPr>
            <w:r>
              <w:t>100%</w:t>
            </w:r>
          </w:p>
        </w:tc>
        <w:tc>
          <w:tcPr>
            <w:tcW w:w="2268" w:type="dxa"/>
            <w:vAlign w:val="center"/>
          </w:tcPr>
          <w:p>
            <w:pPr>
              <w:pStyle w:val="22"/>
            </w:pPr>
            <w:r>
              <w:t>年度工作计划</w:t>
            </w:r>
          </w:p>
        </w:tc>
      </w:tr>
    </w:tbl>
    <w:p>
      <w:pPr>
        <w:pStyle w:val="20"/>
      </w:pPr>
    </w:p>
    <w:p>
      <w:pPr>
        <w:pStyle w:val="20"/>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、执法局执法专项经费绩效目标表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1.保障劳务派遣人员工资及各项保险正常发放或缴纳</w:t>
            </w:r>
          </w:p>
          <w:p>
            <w:pPr>
              <w:pStyle w:val="22"/>
            </w:pPr>
            <w:r>
              <w:t>2.提高城市市容市貌管理和执法、提升城市形象</w:t>
            </w:r>
          </w:p>
          <w:p>
            <w:pPr>
              <w:pStyle w:val="22"/>
            </w:pPr>
            <w:r>
              <w:t>3.对17辆执法车辆进行装备配置</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84"/>
        <w:gridCol w:w="2160"/>
        <w:gridCol w:w="4194"/>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1584" w:type="dxa"/>
            <w:vAlign w:val="center"/>
          </w:tcPr>
          <w:p>
            <w:pPr>
              <w:pStyle w:val="21"/>
            </w:pPr>
            <w:r>
              <w:t>二级指标</w:t>
            </w:r>
          </w:p>
        </w:tc>
        <w:tc>
          <w:tcPr>
            <w:tcW w:w="2160" w:type="dxa"/>
            <w:vAlign w:val="center"/>
          </w:tcPr>
          <w:p>
            <w:pPr>
              <w:pStyle w:val="21"/>
            </w:pPr>
            <w:r>
              <w:t>三级指标</w:t>
            </w:r>
          </w:p>
        </w:tc>
        <w:tc>
          <w:tcPr>
            <w:tcW w:w="4194"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1584" w:type="dxa"/>
            <w:vAlign w:val="center"/>
          </w:tcPr>
          <w:p>
            <w:pPr>
              <w:pStyle w:val="22"/>
            </w:pPr>
            <w:r>
              <w:t>数量指标</w:t>
            </w:r>
          </w:p>
        </w:tc>
        <w:tc>
          <w:tcPr>
            <w:tcW w:w="2160" w:type="dxa"/>
            <w:vAlign w:val="center"/>
          </w:tcPr>
          <w:p>
            <w:pPr>
              <w:pStyle w:val="22"/>
            </w:pPr>
            <w:r>
              <w:t>劳务派遣人员保障数量</w:t>
            </w:r>
          </w:p>
        </w:tc>
        <w:tc>
          <w:tcPr>
            <w:tcW w:w="4194" w:type="dxa"/>
            <w:vAlign w:val="center"/>
          </w:tcPr>
          <w:p>
            <w:pPr>
              <w:pStyle w:val="22"/>
            </w:pPr>
            <w:r>
              <w:t>当年度劳务派遣人员数量</w:t>
            </w:r>
          </w:p>
        </w:tc>
        <w:tc>
          <w:tcPr>
            <w:tcW w:w="2551" w:type="dxa"/>
            <w:vAlign w:val="center"/>
          </w:tcPr>
          <w:p>
            <w:pPr>
              <w:pStyle w:val="22"/>
            </w:pPr>
            <w:r>
              <w:t>11人</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质量指标</w:t>
            </w:r>
          </w:p>
        </w:tc>
        <w:tc>
          <w:tcPr>
            <w:tcW w:w="2160" w:type="dxa"/>
            <w:vAlign w:val="center"/>
          </w:tcPr>
          <w:p>
            <w:pPr>
              <w:pStyle w:val="22"/>
            </w:pPr>
            <w:r>
              <w:t>采购合格率</w:t>
            </w:r>
          </w:p>
        </w:tc>
        <w:tc>
          <w:tcPr>
            <w:tcW w:w="4194" w:type="dxa"/>
            <w:vAlign w:val="center"/>
          </w:tcPr>
          <w:p>
            <w:pPr>
              <w:pStyle w:val="22"/>
            </w:pPr>
            <w:r>
              <w:t>验收合格的设备数量与总购置数量的比值</w:t>
            </w:r>
          </w:p>
        </w:tc>
        <w:tc>
          <w:tcPr>
            <w:tcW w:w="2551" w:type="dxa"/>
            <w:vAlign w:val="center"/>
          </w:tcPr>
          <w:p>
            <w:pPr>
              <w:pStyle w:val="22"/>
            </w:pPr>
            <w:r>
              <w:t>100%</w:t>
            </w:r>
          </w:p>
        </w:tc>
        <w:tc>
          <w:tcPr>
            <w:tcW w:w="2268" w:type="dxa"/>
            <w:vAlign w:val="center"/>
          </w:tcPr>
          <w:p>
            <w:pPr>
              <w:pStyle w:val="22"/>
            </w:pPr>
            <w:r>
              <w:t>验收报告、年度工作计划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时效指标</w:t>
            </w:r>
          </w:p>
        </w:tc>
        <w:tc>
          <w:tcPr>
            <w:tcW w:w="2160" w:type="dxa"/>
            <w:vAlign w:val="center"/>
          </w:tcPr>
          <w:p>
            <w:pPr>
              <w:pStyle w:val="22"/>
            </w:pPr>
            <w:r>
              <w:t>资金支付及时率</w:t>
            </w:r>
          </w:p>
        </w:tc>
        <w:tc>
          <w:tcPr>
            <w:tcW w:w="4194" w:type="dxa"/>
            <w:vAlign w:val="center"/>
          </w:tcPr>
          <w:p>
            <w:pPr>
              <w:pStyle w:val="22"/>
            </w:pPr>
            <w:r>
              <w:t>反映资金支付的及时性</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84" w:type="dxa"/>
            <w:vAlign w:val="center"/>
          </w:tcPr>
          <w:p>
            <w:pPr>
              <w:pStyle w:val="22"/>
            </w:pPr>
            <w:r>
              <w:t>成本指标</w:t>
            </w:r>
          </w:p>
        </w:tc>
        <w:tc>
          <w:tcPr>
            <w:tcW w:w="2160" w:type="dxa"/>
            <w:vAlign w:val="center"/>
          </w:tcPr>
          <w:p>
            <w:pPr>
              <w:pStyle w:val="22"/>
            </w:pPr>
            <w:r>
              <w:t>成本控制率</w:t>
            </w:r>
          </w:p>
        </w:tc>
        <w:tc>
          <w:tcPr>
            <w:tcW w:w="4194" w:type="dxa"/>
            <w:vAlign w:val="center"/>
          </w:tcPr>
          <w:p>
            <w:pPr>
              <w:pStyle w:val="22"/>
            </w:pPr>
            <w:r>
              <w:t>实际支出金额占预算金额的百分比</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1584" w:type="dxa"/>
            <w:vAlign w:val="center"/>
          </w:tcPr>
          <w:p>
            <w:pPr>
              <w:pStyle w:val="22"/>
            </w:pPr>
            <w:r>
              <w:t>社会效益指标</w:t>
            </w:r>
          </w:p>
        </w:tc>
        <w:tc>
          <w:tcPr>
            <w:tcW w:w="2160" w:type="dxa"/>
            <w:vAlign w:val="center"/>
          </w:tcPr>
          <w:p>
            <w:pPr>
              <w:pStyle w:val="22"/>
            </w:pPr>
            <w:r>
              <w:t>违规建设与经营问题解决率</w:t>
            </w:r>
          </w:p>
        </w:tc>
        <w:tc>
          <w:tcPr>
            <w:tcW w:w="4194" w:type="dxa"/>
            <w:vAlign w:val="center"/>
          </w:tcPr>
          <w:p>
            <w:pPr>
              <w:pStyle w:val="22"/>
            </w:pPr>
            <w:r>
              <w:t>反映发现的违建、店外经营等问题的整改情况</w:t>
            </w:r>
          </w:p>
        </w:tc>
        <w:tc>
          <w:tcPr>
            <w:tcW w:w="2551" w:type="dxa"/>
            <w:vAlign w:val="center"/>
          </w:tcPr>
          <w:p>
            <w:pPr>
              <w:pStyle w:val="22"/>
            </w:pPr>
            <w:r>
              <w:t>≥90%</w:t>
            </w:r>
          </w:p>
        </w:tc>
        <w:tc>
          <w:tcPr>
            <w:tcW w:w="2268" w:type="dxa"/>
            <w:vAlign w:val="center"/>
          </w:tcPr>
          <w:p>
            <w:pPr>
              <w:pStyle w:val="22"/>
            </w:pPr>
            <w:r>
              <w:t>年度工作计划</w:t>
            </w:r>
          </w:p>
        </w:tc>
      </w:tr>
    </w:tbl>
    <w:p>
      <w:pPr>
        <w:pStyle w:val="20"/>
      </w:pPr>
    </w:p>
    <w:p>
      <w:pPr>
        <w:pStyle w:val="20"/>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、颛顼公园水源井对接市政网管工程绩效目标表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1"/>
            </w:pPr>
            <w:r>
              <w:t>绩效目标</w:t>
            </w:r>
          </w:p>
        </w:tc>
        <w:tc>
          <w:tcPr>
            <w:tcW w:w="12756" w:type="dxa"/>
            <w:tcBorders>
              <w:bottom w:val="single" w:color="FFFFFF" w:sz="6" w:space="0"/>
            </w:tcBorders>
            <w:vAlign w:val="center"/>
          </w:tcPr>
          <w:p>
            <w:pPr>
              <w:pStyle w:val="22"/>
            </w:pPr>
            <w:r>
              <w:t>1.保障颛顼公园水源井与市政管网对接工程正常开展</w:t>
            </w:r>
          </w:p>
          <w:p>
            <w:pPr>
              <w:pStyle w:val="22"/>
            </w:pPr>
            <w:r>
              <w:t>2.确保颛顼公园正常灌溉</w:t>
            </w:r>
          </w:p>
        </w:tc>
      </w:tr>
    </w:tbl>
    <w:p>
      <w:pPr>
        <w:pStyle w:val="20"/>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69"/>
        <w:gridCol w:w="2190"/>
        <w:gridCol w:w="4179"/>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1"/>
            </w:pPr>
            <w:r>
              <w:t>一级指标</w:t>
            </w:r>
          </w:p>
        </w:tc>
        <w:tc>
          <w:tcPr>
            <w:tcW w:w="1569" w:type="dxa"/>
            <w:vAlign w:val="center"/>
          </w:tcPr>
          <w:p>
            <w:pPr>
              <w:pStyle w:val="21"/>
            </w:pPr>
            <w:r>
              <w:t>二级指标</w:t>
            </w:r>
          </w:p>
        </w:tc>
        <w:tc>
          <w:tcPr>
            <w:tcW w:w="2190" w:type="dxa"/>
            <w:vAlign w:val="center"/>
          </w:tcPr>
          <w:p>
            <w:pPr>
              <w:pStyle w:val="21"/>
            </w:pPr>
            <w:r>
              <w:t>三级指标</w:t>
            </w:r>
          </w:p>
        </w:tc>
        <w:tc>
          <w:tcPr>
            <w:tcW w:w="4179" w:type="dxa"/>
            <w:vAlign w:val="center"/>
          </w:tcPr>
          <w:p>
            <w:pPr>
              <w:pStyle w:val="21"/>
            </w:pPr>
            <w:r>
              <w:t>绩效指标描述</w:t>
            </w:r>
          </w:p>
        </w:tc>
        <w:tc>
          <w:tcPr>
            <w:tcW w:w="2551" w:type="dxa"/>
            <w:vAlign w:val="center"/>
          </w:tcPr>
          <w:p>
            <w:pPr>
              <w:pStyle w:val="21"/>
            </w:pPr>
            <w:r>
              <w:t>指标值</w:t>
            </w:r>
          </w:p>
        </w:tc>
        <w:tc>
          <w:tcPr>
            <w:tcW w:w="2268" w:type="dxa"/>
            <w:vAlign w:val="center"/>
          </w:tcPr>
          <w:p>
            <w:pPr>
              <w:pStyle w:val="2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3"/>
            </w:pPr>
            <w:r>
              <w:t>产出指标</w:t>
            </w:r>
          </w:p>
        </w:tc>
        <w:tc>
          <w:tcPr>
            <w:tcW w:w="1569" w:type="dxa"/>
            <w:vAlign w:val="center"/>
          </w:tcPr>
          <w:p>
            <w:pPr>
              <w:pStyle w:val="22"/>
            </w:pPr>
            <w:r>
              <w:t>数量指标</w:t>
            </w:r>
          </w:p>
        </w:tc>
        <w:tc>
          <w:tcPr>
            <w:tcW w:w="2190" w:type="dxa"/>
            <w:vAlign w:val="center"/>
          </w:tcPr>
          <w:p>
            <w:pPr>
              <w:pStyle w:val="22"/>
            </w:pPr>
            <w:r>
              <w:t>施工完成数量</w:t>
            </w:r>
          </w:p>
        </w:tc>
        <w:tc>
          <w:tcPr>
            <w:tcW w:w="4179" w:type="dxa"/>
            <w:vAlign w:val="center"/>
          </w:tcPr>
          <w:p>
            <w:pPr>
              <w:pStyle w:val="22"/>
            </w:pPr>
            <w:r>
              <w:t>颛顼公园灌溉系统与市政管网的对接管网系统数量</w:t>
            </w:r>
          </w:p>
        </w:tc>
        <w:tc>
          <w:tcPr>
            <w:tcW w:w="2551" w:type="dxa"/>
            <w:vAlign w:val="center"/>
          </w:tcPr>
          <w:p>
            <w:pPr>
              <w:pStyle w:val="22"/>
            </w:pPr>
            <w:r>
              <w:t>1条</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69" w:type="dxa"/>
            <w:vAlign w:val="center"/>
          </w:tcPr>
          <w:p>
            <w:pPr>
              <w:pStyle w:val="22"/>
            </w:pPr>
            <w:r>
              <w:t>质量指标</w:t>
            </w:r>
          </w:p>
        </w:tc>
        <w:tc>
          <w:tcPr>
            <w:tcW w:w="2190" w:type="dxa"/>
            <w:vAlign w:val="center"/>
          </w:tcPr>
          <w:p>
            <w:pPr>
              <w:pStyle w:val="22"/>
            </w:pPr>
            <w:r>
              <w:t>验收通过率</w:t>
            </w:r>
          </w:p>
        </w:tc>
        <w:tc>
          <w:tcPr>
            <w:tcW w:w="4179" w:type="dxa"/>
            <w:vAlign w:val="center"/>
          </w:tcPr>
          <w:p>
            <w:pPr>
              <w:pStyle w:val="22"/>
            </w:pPr>
            <w:r>
              <w:t>反映项目验收通过情况</w:t>
            </w:r>
          </w:p>
        </w:tc>
        <w:tc>
          <w:tcPr>
            <w:tcW w:w="2551" w:type="dxa"/>
            <w:vAlign w:val="center"/>
          </w:tcPr>
          <w:p>
            <w:pPr>
              <w:pStyle w:val="22"/>
            </w:pPr>
            <w:r>
              <w:t>100%</w:t>
            </w:r>
          </w:p>
        </w:tc>
        <w:tc>
          <w:tcPr>
            <w:tcW w:w="2268" w:type="dxa"/>
            <w:vAlign w:val="center"/>
          </w:tcPr>
          <w:p>
            <w:pPr>
              <w:pStyle w:val="2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69" w:type="dxa"/>
            <w:vAlign w:val="center"/>
          </w:tcPr>
          <w:p>
            <w:pPr>
              <w:pStyle w:val="22"/>
            </w:pPr>
            <w:r>
              <w:t>时效指标</w:t>
            </w:r>
          </w:p>
        </w:tc>
        <w:tc>
          <w:tcPr>
            <w:tcW w:w="2190" w:type="dxa"/>
            <w:vAlign w:val="center"/>
          </w:tcPr>
          <w:p>
            <w:pPr>
              <w:pStyle w:val="22"/>
            </w:pPr>
            <w:r>
              <w:t xml:space="preserve"> 建设期限</w:t>
            </w:r>
          </w:p>
        </w:tc>
        <w:tc>
          <w:tcPr>
            <w:tcW w:w="4179" w:type="dxa"/>
            <w:vAlign w:val="center"/>
          </w:tcPr>
          <w:p>
            <w:pPr>
              <w:pStyle w:val="22"/>
            </w:pPr>
            <w:r>
              <w:t>合同约定开工至完工所经历的时间</w:t>
            </w:r>
          </w:p>
        </w:tc>
        <w:tc>
          <w:tcPr>
            <w:tcW w:w="2551" w:type="dxa"/>
            <w:vAlign w:val="center"/>
          </w:tcPr>
          <w:p>
            <w:pPr>
              <w:pStyle w:val="22"/>
            </w:pPr>
            <w:r>
              <w:t>≤20天</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69" w:type="dxa"/>
            <w:vAlign w:val="center"/>
          </w:tcPr>
          <w:p>
            <w:pPr>
              <w:pStyle w:val="22"/>
            </w:pPr>
            <w:r>
              <w:t>成本指标</w:t>
            </w:r>
          </w:p>
        </w:tc>
        <w:tc>
          <w:tcPr>
            <w:tcW w:w="2190" w:type="dxa"/>
            <w:vAlign w:val="center"/>
          </w:tcPr>
          <w:p>
            <w:pPr>
              <w:pStyle w:val="22"/>
            </w:pPr>
            <w:r>
              <w:t>工程单价预算成本</w:t>
            </w:r>
          </w:p>
        </w:tc>
        <w:tc>
          <w:tcPr>
            <w:tcW w:w="4179" w:type="dxa"/>
            <w:vAlign w:val="center"/>
          </w:tcPr>
          <w:p>
            <w:pPr>
              <w:pStyle w:val="22"/>
            </w:pPr>
            <w:r>
              <w:t>工程单价控制情况</w:t>
            </w:r>
          </w:p>
        </w:tc>
        <w:tc>
          <w:tcPr>
            <w:tcW w:w="2551" w:type="dxa"/>
            <w:vAlign w:val="center"/>
          </w:tcPr>
          <w:p>
            <w:pPr>
              <w:pStyle w:val="22"/>
            </w:pPr>
            <w:r>
              <w:t>≤15.92万元</w:t>
            </w:r>
          </w:p>
        </w:tc>
        <w:tc>
          <w:tcPr>
            <w:tcW w:w="2268" w:type="dxa"/>
            <w:vAlign w:val="center"/>
          </w:tcPr>
          <w:p>
            <w:pPr>
              <w:pStyle w:val="2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0"/>
            </w:pPr>
          </w:p>
        </w:tc>
        <w:tc>
          <w:tcPr>
            <w:tcW w:w="1569" w:type="dxa"/>
            <w:vAlign w:val="center"/>
          </w:tcPr>
          <w:p>
            <w:pPr>
              <w:pStyle w:val="22"/>
            </w:pPr>
            <w:r>
              <w:t>成本指标</w:t>
            </w:r>
          </w:p>
        </w:tc>
        <w:tc>
          <w:tcPr>
            <w:tcW w:w="2190" w:type="dxa"/>
            <w:vAlign w:val="center"/>
          </w:tcPr>
          <w:p>
            <w:pPr>
              <w:pStyle w:val="22"/>
            </w:pPr>
            <w:r>
              <w:t>成本控制率</w:t>
            </w:r>
          </w:p>
        </w:tc>
        <w:tc>
          <w:tcPr>
            <w:tcW w:w="4179" w:type="dxa"/>
            <w:vAlign w:val="center"/>
          </w:tcPr>
          <w:p>
            <w:pPr>
              <w:pStyle w:val="22"/>
            </w:pPr>
            <w:r>
              <w:t>实际支出金额占预算金额的比例</w:t>
            </w:r>
          </w:p>
        </w:tc>
        <w:tc>
          <w:tcPr>
            <w:tcW w:w="2551" w:type="dxa"/>
            <w:vAlign w:val="center"/>
          </w:tcPr>
          <w:p>
            <w:pPr>
              <w:pStyle w:val="22"/>
            </w:pPr>
            <w:r>
              <w:t>≤100%</w:t>
            </w:r>
          </w:p>
        </w:tc>
        <w:tc>
          <w:tcPr>
            <w:tcW w:w="2268" w:type="dxa"/>
            <w:vAlign w:val="center"/>
          </w:tcPr>
          <w:p>
            <w:pPr>
              <w:pStyle w:val="2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3"/>
            </w:pPr>
            <w:r>
              <w:t>效益指标</w:t>
            </w:r>
          </w:p>
        </w:tc>
        <w:tc>
          <w:tcPr>
            <w:tcW w:w="1569" w:type="dxa"/>
            <w:vAlign w:val="center"/>
          </w:tcPr>
          <w:p>
            <w:pPr>
              <w:pStyle w:val="22"/>
            </w:pPr>
            <w:r>
              <w:t>可持续影响指标</w:t>
            </w:r>
          </w:p>
        </w:tc>
        <w:tc>
          <w:tcPr>
            <w:tcW w:w="2190" w:type="dxa"/>
            <w:vAlign w:val="center"/>
          </w:tcPr>
          <w:p>
            <w:pPr>
              <w:pStyle w:val="22"/>
            </w:pPr>
            <w:r>
              <w:t>正常灌溉持续性</w:t>
            </w:r>
          </w:p>
        </w:tc>
        <w:tc>
          <w:tcPr>
            <w:tcW w:w="4179" w:type="dxa"/>
            <w:vAlign w:val="center"/>
          </w:tcPr>
          <w:p>
            <w:pPr>
              <w:pStyle w:val="22"/>
            </w:pPr>
            <w:r>
              <w:t>反映项目实施对园区影响程度，灌溉工作的持续程度</w:t>
            </w:r>
          </w:p>
        </w:tc>
        <w:tc>
          <w:tcPr>
            <w:tcW w:w="2551" w:type="dxa"/>
            <w:vAlign w:val="center"/>
          </w:tcPr>
          <w:p>
            <w:pPr>
              <w:pStyle w:val="22"/>
            </w:pPr>
            <w:r>
              <w:t>100%</w:t>
            </w:r>
          </w:p>
        </w:tc>
        <w:tc>
          <w:tcPr>
            <w:tcW w:w="2268" w:type="dxa"/>
            <w:vAlign w:val="center"/>
          </w:tcPr>
          <w:p>
            <w:pPr>
              <w:pStyle w:val="22"/>
            </w:pPr>
            <w:r>
              <w:t>年度工作计划</w:t>
            </w:r>
          </w:p>
        </w:tc>
      </w:tr>
    </w:tbl>
    <w:p>
      <w:pPr>
        <w:pStyle w:val="20"/>
        <w:sectPr>
          <w:pgSz w:w="16840" w:h="11900" w:orient="landscape"/>
          <w:pgMar w:top="1361" w:right="1020" w:bottom="1361" w:left="1020" w:header="720" w:footer="720" w:gutter="0"/>
          <w:pgNumType w:fmt="decimal"/>
          <w:cols w:space="720" w:num="1"/>
        </w:sectPr>
      </w:pPr>
    </w:p>
    <w:p>
      <w:pPr>
        <w:pStyle w:val="20"/>
        <w:spacing w:line="2" w:lineRule="exact"/>
        <w:jc w:val="center"/>
      </w:pPr>
    </w:p>
    <w:p>
      <w:pPr>
        <w:pStyle w:val="20"/>
        <w:spacing w:line="2" w:lineRule="exact"/>
        <w:jc w:val="center"/>
      </w:pPr>
      <w:r>
        <w:rPr>
          <w:rFonts w:ascii="方正书宋_GBK" w:hAnsi="方正书宋_GBK" w:eastAsia="方正书宋_GBK" w:cs="方正书宋_GBK"/>
          <w:color w:val="000000"/>
          <w:sz w:val="18"/>
        </w:rPr>
        <w:t xml:space="preserve"> </w:t>
      </w:r>
    </w:p>
    <w:p>
      <w:pPr>
        <w:pStyle w:val="20"/>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2022年，高阳县城市管理综合行政执法局（行政）安排政府采购预算6500.00万元。具体内容见下表。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498"/>
        <w:gridCol w:w="1065"/>
        <w:gridCol w:w="975"/>
        <w:gridCol w:w="555"/>
        <w:gridCol w:w="1005"/>
        <w:gridCol w:w="1110"/>
        <w:gridCol w:w="1005"/>
        <w:gridCol w:w="1020"/>
        <w:gridCol w:w="795"/>
        <w:gridCol w:w="690"/>
        <w:gridCol w:w="743"/>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763" w:type="dxa"/>
            <w:gridSpan w:val="7"/>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8255"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498" w:type="dxa"/>
            <w:vMerge w:val="restart"/>
            <w:vAlign w:val="center"/>
          </w:tcPr>
          <w:p>
            <w:pPr>
              <w:pStyle w:val="10"/>
            </w:pPr>
            <w:r>
              <w:t>采购物品名称</w:t>
            </w:r>
          </w:p>
        </w:tc>
        <w:tc>
          <w:tcPr>
            <w:tcW w:w="1065" w:type="dxa"/>
            <w:vMerge w:val="restart"/>
            <w:vAlign w:val="center"/>
          </w:tcPr>
          <w:p>
            <w:pPr>
              <w:pStyle w:val="10"/>
            </w:pPr>
            <w:r>
              <w:t>政府采购目录序号</w:t>
            </w:r>
          </w:p>
        </w:tc>
        <w:tc>
          <w:tcPr>
            <w:tcW w:w="975" w:type="dxa"/>
            <w:vMerge w:val="restart"/>
            <w:vAlign w:val="center"/>
          </w:tcPr>
          <w:p>
            <w:pPr>
              <w:pStyle w:val="10"/>
            </w:pPr>
            <w:r>
              <w:t>计量  单位</w:t>
            </w:r>
          </w:p>
        </w:tc>
        <w:tc>
          <w:tcPr>
            <w:tcW w:w="555" w:type="dxa"/>
            <w:vMerge w:val="restart"/>
            <w:vAlign w:val="center"/>
          </w:tcPr>
          <w:p>
            <w:pPr>
              <w:pStyle w:val="10"/>
            </w:pPr>
            <w:r>
              <w:t>数量</w:t>
            </w:r>
          </w:p>
        </w:tc>
        <w:tc>
          <w:tcPr>
            <w:tcW w:w="1005" w:type="dxa"/>
            <w:vMerge w:val="restart"/>
            <w:vAlign w:val="center"/>
          </w:tcPr>
          <w:p>
            <w:pPr>
              <w:pStyle w:val="10"/>
            </w:pPr>
            <w:r>
              <w:t>单价</w:t>
            </w:r>
          </w:p>
        </w:tc>
        <w:tc>
          <w:tcPr>
            <w:tcW w:w="7291"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498" w:type="dxa"/>
            <w:vMerge w:val="continue"/>
          </w:tcPr>
          <w:p/>
        </w:tc>
        <w:tc>
          <w:tcPr>
            <w:tcW w:w="1065" w:type="dxa"/>
            <w:vMerge w:val="continue"/>
          </w:tcPr>
          <w:p/>
        </w:tc>
        <w:tc>
          <w:tcPr>
            <w:tcW w:w="975" w:type="dxa"/>
            <w:vMerge w:val="continue"/>
          </w:tcPr>
          <w:p/>
        </w:tc>
        <w:tc>
          <w:tcPr>
            <w:tcW w:w="555" w:type="dxa"/>
            <w:vMerge w:val="continue"/>
          </w:tcPr>
          <w:p/>
        </w:tc>
        <w:tc>
          <w:tcPr>
            <w:tcW w:w="1005" w:type="dxa"/>
            <w:vMerge w:val="continue"/>
          </w:tcPr>
          <w:p/>
        </w:tc>
        <w:tc>
          <w:tcPr>
            <w:tcW w:w="1110" w:type="dxa"/>
            <w:vAlign w:val="center"/>
          </w:tcPr>
          <w:p>
            <w:pPr>
              <w:pStyle w:val="10"/>
            </w:pPr>
            <w:r>
              <w:t>合计</w:t>
            </w:r>
          </w:p>
        </w:tc>
        <w:tc>
          <w:tcPr>
            <w:tcW w:w="1005" w:type="dxa"/>
            <w:vAlign w:val="center"/>
          </w:tcPr>
          <w:p>
            <w:pPr>
              <w:pStyle w:val="10"/>
            </w:pPr>
            <w:r>
              <w:t>一般公共预算拨款</w:t>
            </w:r>
          </w:p>
        </w:tc>
        <w:tc>
          <w:tcPr>
            <w:tcW w:w="1020" w:type="dxa"/>
            <w:vAlign w:val="center"/>
          </w:tcPr>
          <w:p>
            <w:pPr>
              <w:pStyle w:val="10"/>
            </w:pPr>
            <w:r>
              <w:t>基金预算拨款</w:t>
            </w:r>
          </w:p>
        </w:tc>
        <w:tc>
          <w:tcPr>
            <w:tcW w:w="795" w:type="dxa"/>
            <w:vAlign w:val="center"/>
          </w:tcPr>
          <w:p>
            <w:pPr>
              <w:pStyle w:val="10"/>
            </w:pPr>
            <w:r>
              <w:t>国有资本经营预算拨款</w:t>
            </w:r>
          </w:p>
        </w:tc>
        <w:tc>
          <w:tcPr>
            <w:tcW w:w="690" w:type="dxa"/>
            <w:vAlign w:val="center"/>
          </w:tcPr>
          <w:p>
            <w:pPr>
              <w:pStyle w:val="10"/>
            </w:pPr>
            <w:r>
              <w:t>财政专户核拨</w:t>
            </w:r>
          </w:p>
        </w:tc>
        <w:tc>
          <w:tcPr>
            <w:tcW w:w="743"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498" w:type="dxa"/>
            <w:vAlign w:val="center"/>
          </w:tcPr>
          <w:p>
            <w:pPr>
              <w:pStyle w:val="16"/>
            </w:pPr>
          </w:p>
        </w:tc>
        <w:tc>
          <w:tcPr>
            <w:tcW w:w="1065" w:type="dxa"/>
            <w:vAlign w:val="center"/>
          </w:tcPr>
          <w:p>
            <w:pPr>
              <w:pStyle w:val="16"/>
            </w:pPr>
          </w:p>
        </w:tc>
        <w:tc>
          <w:tcPr>
            <w:tcW w:w="975" w:type="dxa"/>
            <w:vAlign w:val="center"/>
          </w:tcPr>
          <w:p>
            <w:pPr>
              <w:pStyle w:val="14"/>
            </w:pPr>
          </w:p>
        </w:tc>
        <w:tc>
          <w:tcPr>
            <w:tcW w:w="555" w:type="dxa"/>
            <w:vAlign w:val="center"/>
          </w:tcPr>
          <w:p>
            <w:pPr>
              <w:pStyle w:val="15"/>
            </w:pPr>
          </w:p>
        </w:tc>
        <w:tc>
          <w:tcPr>
            <w:tcW w:w="1005" w:type="dxa"/>
            <w:vAlign w:val="center"/>
          </w:tcPr>
          <w:p>
            <w:pPr>
              <w:pStyle w:val="15"/>
            </w:pPr>
          </w:p>
        </w:tc>
        <w:tc>
          <w:tcPr>
            <w:tcW w:w="1110" w:type="dxa"/>
            <w:vAlign w:val="center"/>
          </w:tcPr>
          <w:p>
            <w:pPr>
              <w:pStyle w:val="15"/>
            </w:pPr>
            <w:r>
              <w:t>6500.00</w:t>
            </w:r>
          </w:p>
        </w:tc>
        <w:tc>
          <w:tcPr>
            <w:tcW w:w="1005" w:type="dxa"/>
            <w:vAlign w:val="center"/>
          </w:tcPr>
          <w:p>
            <w:pPr>
              <w:pStyle w:val="15"/>
            </w:pPr>
            <w:r>
              <w:t>1300.00</w:t>
            </w:r>
          </w:p>
        </w:tc>
        <w:tc>
          <w:tcPr>
            <w:tcW w:w="1020" w:type="dxa"/>
            <w:vAlign w:val="center"/>
          </w:tcPr>
          <w:p>
            <w:pPr>
              <w:pStyle w:val="15"/>
            </w:pPr>
            <w:r>
              <w:t>5200.00</w:t>
            </w:r>
          </w:p>
        </w:tc>
        <w:tc>
          <w:tcPr>
            <w:tcW w:w="795" w:type="dxa"/>
            <w:vAlign w:val="center"/>
          </w:tcPr>
          <w:p>
            <w:pPr>
              <w:pStyle w:val="15"/>
            </w:pPr>
          </w:p>
        </w:tc>
        <w:tc>
          <w:tcPr>
            <w:tcW w:w="690" w:type="dxa"/>
            <w:vAlign w:val="center"/>
          </w:tcPr>
          <w:p>
            <w:pPr>
              <w:pStyle w:val="15"/>
            </w:pPr>
          </w:p>
        </w:tc>
        <w:tc>
          <w:tcPr>
            <w:tcW w:w="743"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高阳县城市管理综合行政执法局（行政）小计</w:t>
            </w:r>
          </w:p>
        </w:tc>
        <w:tc>
          <w:tcPr>
            <w:tcW w:w="964" w:type="dxa"/>
            <w:vAlign w:val="center"/>
          </w:tcPr>
          <w:p>
            <w:pPr>
              <w:pStyle w:val="15"/>
            </w:pPr>
          </w:p>
        </w:tc>
        <w:tc>
          <w:tcPr>
            <w:tcW w:w="1498" w:type="dxa"/>
            <w:vAlign w:val="center"/>
          </w:tcPr>
          <w:p>
            <w:pPr>
              <w:pStyle w:val="16"/>
            </w:pPr>
          </w:p>
        </w:tc>
        <w:tc>
          <w:tcPr>
            <w:tcW w:w="1065" w:type="dxa"/>
            <w:vAlign w:val="center"/>
          </w:tcPr>
          <w:p>
            <w:pPr>
              <w:pStyle w:val="16"/>
            </w:pPr>
          </w:p>
        </w:tc>
        <w:tc>
          <w:tcPr>
            <w:tcW w:w="975" w:type="dxa"/>
            <w:vAlign w:val="center"/>
          </w:tcPr>
          <w:p>
            <w:pPr>
              <w:pStyle w:val="14"/>
            </w:pPr>
          </w:p>
        </w:tc>
        <w:tc>
          <w:tcPr>
            <w:tcW w:w="555" w:type="dxa"/>
            <w:vAlign w:val="center"/>
          </w:tcPr>
          <w:p>
            <w:pPr>
              <w:pStyle w:val="15"/>
            </w:pPr>
          </w:p>
        </w:tc>
        <w:tc>
          <w:tcPr>
            <w:tcW w:w="1005" w:type="dxa"/>
            <w:vAlign w:val="center"/>
          </w:tcPr>
          <w:p>
            <w:pPr>
              <w:pStyle w:val="15"/>
            </w:pPr>
          </w:p>
        </w:tc>
        <w:tc>
          <w:tcPr>
            <w:tcW w:w="1110" w:type="dxa"/>
            <w:vAlign w:val="center"/>
          </w:tcPr>
          <w:p>
            <w:pPr>
              <w:pStyle w:val="15"/>
            </w:pPr>
            <w:r>
              <w:t>6500.00</w:t>
            </w:r>
          </w:p>
        </w:tc>
        <w:tc>
          <w:tcPr>
            <w:tcW w:w="1005" w:type="dxa"/>
            <w:vAlign w:val="center"/>
          </w:tcPr>
          <w:p>
            <w:pPr>
              <w:pStyle w:val="15"/>
            </w:pPr>
            <w:r>
              <w:t>1300.00</w:t>
            </w:r>
          </w:p>
        </w:tc>
        <w:tc>
          <w:tcPr>
            <w:tcW w:w="1020" w:type="dxa"/>
            <w:vAlign w:val="center"/>
          </w:tcPr>
          <w:p>
            <w:pPr>
              <w:pStyle w:val="15"/>
            </w:pPr>
            <w:r>
              <w:t>5200.00</w:t>
            </w:r>
          </w:p>
        </w:tc>
        <w:tc>
          <w:tcPr>
            <w:tcW w:w="795" w:type="dxa"/>
            <w:vAlign w:val="center"/>
          </w:tcPr>
          <w:p>
            <w:pPr>
              <w:pStyle w:val="15"/>
            </w:pPr>
          </w:p>
        </w:tc>
        <w:tc>
          <w:tcPr>
            <w:tcW w:w="690" w:type="dxa"/>
            <w:vAlign w:val="center"/>
          </w:tcPr>
          <w:p>
            <w:pPr>
              <w:pStyle w:val="15"/>
            </w:pPr>
          </w:p>
        </w:tc>
        <w:tc>
          <w:tcPr>
            <w:tcW w:w="743"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高阳县垃圾运输处理费</w:t>
            </w:r>
          </w:p>
        </w:tc>
        <w:tc>
          <w:tcPr>
            <w:tcW w:w="964" w:type="dxa"/>
            <w:vAlign w:val="center"/>
          </w:tcPr>
          <w:p>
            <w:pPr>
              <w:pStyle w:val="13"/>
            </w:pPr>
            <w:r>
              <w:t>1300.00</w:t>
            </w:r>
          </w:p>
        </w:tc>
        <w:tc>
          <w:tcPr>
            <w:tcW w:w="1498" w:type="dxa"/>
            <w:vAlign w:val="center"/>
          </w:tcPr>
          <w:p>
            <w:pPr>
              <w:pStyle w:val="12"/>
            </w:pPr>
            <w:r>
              <w:t>垃圾处理服务</w:t>
            </w:r>
          </w:p>
        </w:tc>
        <w:tc>
          <w:tcPr>
            <w:tcW w:w="1065" w:type="dxa"/>
            <w:vAlign w:val="center"/>
          </w:tcPr>
          <w:p>
            <w:pPr>
              <w:pStyle w:val="12"/>
            </w:pPr>
            <w:r>
              <w:t>C160102</w:t>
            </w:r>
          </w:p>
        </w:tc>
        <w:tc>
          <w:tcPr>
            <w:tcW w:w="975" w:type="dxa"/>
            <w:vAlign w:val="center"/>
          </w:tcPr>
          <w:p>
            <w:pPr>
              <w:pStyle w:val="11"/>
            </w:pPr>
            <w:r>
              <w:t>万元/年</w:t>
            </w:r>
          </w:p>
        </w:tc>
        <w:tc>
          <w:tcPr>
            <w:tcW w:w="555" w:type="dxa"/>
            <w:vAlign w:val="center"/>
          </w:tcPr>
          <w:p>
            <w:pPr>
              <w:pStyle w:val="13"/>
            </w:pPr>
            <w:r>
              <w:t>1</w:t>
            </w:r>
          </w:p>
        </w:tc>
        <w:tc>
          <w:tcPr>
            <w:tcW w:w="1005" w:type="dxa"/>
            <w:vAlign w:val="center"/>
          </w:tcPr>
          <w:p>
            <w:pPr>
              <w:pStyle w:val="13"/>
            </w:pPr>
            <w:r>
              <w:t>1300.00</w:t>
            </w:r>
          </w:p>
        </w:tc>
        <w:tc>
          <w:tcPr>
            <w:tcW w:w="1110" w:type="dxa"/>
            <w:vAlign w:val="center"/>
          </w:tcPr>
          <w:p>
            <w:pPr>
              <w:pStyle w:val="13"/>
            </w:pPr>
            <w:r>
              <w:t>1300.00</w:t>
            </w:r>
          </w:p>
        </w:tc>
        <w:tc>
          <w:tcPr>
            <w:tcW w:w="1005" w:type="dxa"/>
            <w:vAlign w:val="center"/>
          </w:tcPr>
          <w:p>
            <w:pPr>
              <w:pStyle w:val="13"/>
            </w:pPr>
            <w:r>
              <w:t>1300.00</w:t>
            </w:r>
          </w:p>
        </w:tc>
        <w:tc>
          <w:tcPr>
            <w:tcW w:w="1020" w:type="dxa"/>
            <w:vAlign w:val="center"/>
          </w:tcPr>
          <w:p>
            <w:pPr>
              <w:pStyle w:val="13"/>
            </w:pPr>
          </w:p>
        </w:tc>
        <w:tc>
          <w:tcPr>
            <w:tcW w:w="795" w:type="dxa"/>
            <w:vAlign w:val="center"/>
          </w:tcPr>
          <w:p>
            <w:pPr>
              <w:pStyle w:val="13"/>
            </w:pPr>
          </w:p>
        </w:tc>
        <w:tc>
          <w:tcPr>
            <w:tcW w:w="690" w:type="dxa"/>
            <w:vAlign w:val="center"/>
          </w:tcPr>
          <w:p>
            <w:pPr>
              <w:pStyle w:val="13"/>
            </w:pPr>
          </w:p>
        </w:tc>
        <w:tc>
          <w:tcPr>
            <w:tcW w:w="743"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执法局城区环卫作业市场化经费</w:t>
            </w:r>
          </w:p>
        </w:tc>
        <w:tc>
          <w:tcPr>
            <w:tcW w:w="964" w:type="dxa"/>
            <w:vAlign w:val="center"/>
          </w:tcPr>
          <w:p>
            <w:pPr>
              <w:pStyle w:val="13"/>
            </w:pPr>
            <w:r>
              <w:t>3400.00</w:t>
            </w:r>
          </w:p>
        </w:tc>
        <w:tc>
          <w:tcPr>
            <w:tcW w:w="1498" w:type="dxa"/>
            <w:vAlign w:val="center"/>
          </w:tcPr>
          <w:p>
            <w:pPr>
              <w:pStyle w:val="12"/>
            </w:pPr>
            <w:r>
              <w:t>清扫服务</w:t>
            </w:r>
          </w:p>
        </w:tc>
        <w:tc>
          <w:tcPr>
            <w:tcW w:w="1065" w:type="dxa"/>
            <w:vAlign w:val="center"/>
          </w:tcPr>
          <w:p>
            <w:pPr>
              <w:pStyle w:val="12"/>
            </w:pPr>
            <w:r>
              <w:t>C160101</w:t>
            </w:r>
          </w:p>
        </w:tc>
        <w:tc>
          <w:tcPr>
            <w:tcW w:w="975" w:type="dxa"/>
            <w:vAlign w:val="center"/>
          </w:tcPr>
          <w:p>
            <w:pPr>
              <w:pStyle w:val="11"/>
            </w:pPr>
            <w:r>
              <w:t>万元/年</w:t>
            </w:r>
          </w:p>
        </w:tc>
        <w:tc>
          <w:tcPr>
            <w:tcW w:w="555" w:type="dxa"/>
            <w:vAlign w:val="center"/>
          </w:tcPr>
          <w:p>
            <w:pPr>
              <w:pStyle w:val="13"/>
            </w:pPr>
            <w:r>
              <w:t>1</w:t>
            </w:r>
          </w:p>
        </w:tc>
        <w:tc>
          <w:tcPr>
            <w:tcW w:w="1005" w:type="dxa"/>
            <w:vAlign w:val="center"/>
          </w:tcPr>
          <w:p>
            <w:pPr>
              <w:pStyle w:val="13"/>
            </w:pPr>
            <w:r>
              <w:t>3400.00</w:t>
            </w:r>
          </w:p>
        </w:tc>
        <w:tc>
          <w:tcPr>
            <w:tcW w:w="1110" w:type="dxa"/>
            <w:vAlign w:val="center"/>
          </w:tcPr>
          <w:p>
            <w:pPr>
              <w:pStyle w:val="13"/>
            </w:pPr>
            <w:r>
              <w:t>3400.00</w:t>
            </w:r>
          </w:p>
        </w:tc>
        <w:tc>
          <w:tcPr>
            <w:tcW w:w="1005" w:type="dxa"/>
            <w:vAlign w:val="center"/>
          </w:tcPr>
          <w:p>
            <w:pPr>
              <w:pStyle w:val="13"/>
            </w:pPr>
          </w:p>
        </w:tc>
        <w:tc>
          <w:tcPr>
            <w:tcW w:w="1020" w:type="dxa"/>
            <w:vAlign w:val="center"/>
          </w:tcPr>
          <w:p>
            <w:pPr>
              <w:pStyle w:val="13"/>
            </w:pPr>
            <w:r>
              <w:t>3400.00</w:t>
            </w:r>
          </w:p>
        </w:tc>
        <w:tc>
          <w:tcPr>
            <w:tcW w:w="795" w:type="dxa"/>
            <w:vAlign w:val="center"/>
          </w:tcPr>
          <w:p>
            <w:pPr>
              <w:pStyle w:val="13"/>
            </w:pPr>
          </w:p>
        </w:tc>
        <w:tc>
          <w:tcPr>
            <w:tcW w:w="690" w:type="dxa"/>
            <w:vAlign w:val="center"/>
          </w:tcPr>
          <w:p>
            <w:pPr>
              <w:pStyle w:val="13"/>
            </w:pPr>
          </w:p>
        </w:tc>
        <w:tc>
          <w:tcPr>
            <w:tcW w:w="743"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执法局农村环卫作业市场化经费</w:t>
            </w:r>
          </w:p>
        </w:tc>
        <w:tc>
          <w:tcPr>
            <w:tcW w:w="964" w:type="dxa"/>
            <w:vAlign w:val="center"/>
          </w:tcPr>
          <w:p>
            <w:pPr>
              <w:pStyle w:val="13"/>
            </w:pPr>
            <w:r>
              <w:t>1800.00</w:t>
            </w:r>
          </w:p>
        </w:tc>
        <w:tc>
          <w:tcPr>
            <w:tcW w:w="1498" w:type="dxa"/>
            <w:vAlign w:val="center"/>
          </w:tcPr>
          <w:p>
            <w:pPr>
              <w:pStyle w:val="12"/>
            </w:pPr>
            <w:r>
              <w:t>清扫服务</w:t>
            </w:r>
          </w:p>
        </w:tc>
        <w:tc>
          <w:tcPr>
            <w:tcW w:w="1065" w:type="dxa"/>
            <w:vAlign w:val="center"/>
          </w:tcPr>
          <w:p>
            <w:pPr>
              <w:pStyle w:val="12"/>
            </w:pPr>
            <w:r>
              <w:t>C160101</w:t>
            </w:r>
          </w:p>
        </w:tc>
        <w:tc>
          <w:tcPr>
            <w:tcW w:w="975" w:type="dxa"/>
            <w:vAlign w:val="center"/>
          </w:tcPr>
          <w:p>
            <w:pPr>
              <w:pStyle w:val="11"/>
            </w:pPr>
            <w:r>
              <w:t>万元/年</w:t>
            </w:r>
          </w:p>
        </w:tc>
        <w:tc>
          <w:tcPr>
            <w:tcW w:w="555" w:type="dxa"/>
            <w:vAlign w:val="center"/>
          </w:tcPr>
          <w:p>
            <w:pPr>
              <w:pStyle w:val="13"/>
            </w:pPr>
            <w:r>
              <w:t>1</w:t>
            </w:r>
          </w:p>
        </w:tc>
        <w:tc>
          <w:tcPr>
            <w:tcW w:w="1005" w:type="dxa"/>
            <w:vAlign w:val="center"/>
          </w:tcPr>
          <w:p>
            <w:pPr>
              <w:pStyle w:val="13"/>
            </w:pPr>
            <w:r>
              <w:t>1800.00</w:t>
            </w:r>
          </w:p>
        </w:tc>
        <w:tc>
          <w:tcPr>
            <w:tcW w:w="1110" w:type="dxa"/>
            <w:vAlign w:val="center"/>
          </w:tcPr>
          <w:p>
            <w:pPr>
              <w:pStyle w:val="13"/>
            </w:pPr>
            <w:r>
              <w:t>1800.00</w:t>
            </w:r>
          </w:p>
        </w:tc>
        <w:tc>
          <w:tcPr>
            <w:tcW w:w="1005" w:type="dxa"/>
            <w:vAlign w:val="center"/>
          </w:tcPr>
          <w:p>
            <w:pPr>
              <w:pStyle w:val="13"/>
            </w:pPr>
          </w:p>
        </w:tc>
        <w:tc>
          <w:tcPr>
            <w:tcW w:w="1020" w:type="dxa"/>
            <w:vAlign w:val="center"/>
          </w:tcPr>
          <w:p>
            <w:pPr>
              <w:pStyle w:val="13"/>
            </w:pPr>
            <w:r>
              <w:t>1800.00</w:t>
            </w:r>
          </w:p>
        </w:tc>
        <w:tc>
          <w:tcPr>
            <w:tcW w:w="795" w:type="dxa"/>
            <w:vAlign w:val="center"/>
          </w:tcPr>
          <w:p>
            <w:pPr>
              <w:pStyle w:val="13"/>
            </w:pPr>
          </w:p>
        </w:tc>
        <w:tc>
          <w:tcPr>
            <w:tcW w:w="690" w:type="dxa"/>
            <w:vAlign w:val="center"/>
          </w:tcPr>
          <w:p>
            <w:pPr>
              <w:pStyle w:val="13"/>
            </w:pPr>
          </w:p>
        </w:tc>
        <w:tc>
          <w:tcPr>
            <w:tcW w:w="743"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900.00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高阳县城市管理综合行政执法局（行政）上年末固定资产金额为</w:t>
      </w:r>
      <w:r>
        <w:rPr>
          <w:rFonts w:hint="eastAsia" w:eastAsia="方正仿宋_GBK"/>
          <w:color w:val="000000"/>
          <w:sz w:val="28"/>
          <w:lang w:val="en-US" w:eastAsia="zh-CN"/>
        </w:rPr>
        <w:t>713.36</w:t>
      </w:r>
      <w:r>
        <w:rPr>
          <w:rFonts w:eastAsia="方正仿宋_GBK"/>
          <w:color w:val="000000"/>
          <w:sz w:val="28"/>
        </w:rPr>
        <w:t>万元（详见下表）。本年度拟购置固定资产总额为19.96万元</w:t>
      </w:r>
      <w:r>
        <w:rPr>
          <w:rFonts w:hint="eastAsia" w:eastAsia="方正仿宋_GBK"/>
          <w:color w:val="000000"/>
          <w:sz w:val="28"/>
          <w:lang w:eastAsia="zh-CN"/>
        </w:rPr>
        <w:t>，主要用于购置执法设备及办公设备。</w:t>
      </w:r>
      <w:r>
        <w:rPr>
          <w:rFonts w:hint="eastAsia" w:eastAsia="方正仿宋_GBK"/>
          <w:color w:val="000000"/>
          <w:sz w:val="28"/>
          <w:lang w:val="en-US" w:eastAsia="zh-CN"/>
        </w:rPr>
        <w:t>没有达到政府采购标准，不在政府采购预算体现</w:t>
      </w:r>
      <w:r>
        <w:rPr>
          <w:rFonts w:eastAsia="方正仿宋_GBK"/>
          <w:color w:val="000000"/>
          <w:sz w:val="28"/>
        </w:rPr>
        <w:t>。</w:t>
      </w:r>
    </w:p>
    <w:p>
      <w:pPr>
        <w:spacing w:line="500" w:lineRule="exact"/>
        <w:ind w:firstLine="560"/>
      </w:pP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335001高阳县城市管理综合行政执法局（行政）</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1"/>
            </w:pPr>
          </w:p>
        </w:tc>
        <w:tc>
          <w:tcPr>
            <w:tcW w:w="2835" w:type="dxa"/>
            <w:vAlign w:val="center"/>
          </w:tcPr>
          <w:p>
            <w:pPr>
              <w:pStyle w:val="13"/>
              <w:rPr>
                <w:rFonts w:hint="default" w:eastAsia="方正书宋_GBK"/>
                <w:lang w:val="en-US" w:eastAsia="zh-CN"/>
              </w:rPr>
            </w:pPr>
            <w:r>
              <w:rPr>
                <w:rFonts w:hint="eastAsia"/>
                <w:lang w:val="en-US" w:eastAsia="zh-CN"/>
              </w:rPr>
              <w:t>713.36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1"/>
            </w:pPr>
            <w:r>
              <w:t>16</w:t>
            </w:r>
          </w:p>
        </w:tc>
        <w:tc>
          <w:tcPr>
            <w:tcW w:w="2835" w:type="dxa"/>
            <w:vAlign w:val="center"/>
          </w:tcPr>
          <w:p>
            <w:pPr>
              <w:pStyle w:val="13"/>
            </w:pPr>
            <w:r>
              <w:t>433.14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1"/>
            </w:pPr>
            <w:r>
              <w:t>847</w:t>
            </w:r>
          </w:p>
        </w:tc>
        <w:tc>
          <w:tcPr>
            <w:tcW w:w="2835" w:type="dxa"/>
            <w:vAlign w:val="center"/>
          </w:tcPr>
          <w:p>
            <w:pPr>
              <w:pStyle w:val="13"/>
            </w:pPr>
            <w:r>
              <w:t>280.22</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pgNumType w:fmt="decimal"/>
          <w:cols w:space="720" w:num="1"/>
        </w:sectPr>
      </w:pPr>
      <w:r>
        <w:rPr>
          <w:rFonts w:hint="eastAsia" w:eastAsia="方正仿宋_GBK"/>
          <w:color w:val="000000"/>
          <w:sz w:val="28"/>
          <w:lang w:eastAsia="zh-CN"/>
        </w:rPr>
        <w:t>高阳县城市管理综合行政执法局（行政）</w:t>
      </w:r>
      <w:r>
        <w:rPr>
          <w:rFonts w:eastAsia="方正仿宋_GBK"/>
          <w:color w:val="000000"/>
          <w:sz w:val="28"/>
        </w:rPr>
        <w:t>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二、高阳县城市管理综合行政执法局（事业）收支预算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137.27</w:t>
            </w:r>
          </w:p>
        </w:tc>
        <w:tc>
          <w:tcPr>
            <w:tcW w:w="4535" w:type="dxa"/>
            <w:vAlign w:val="center"/>
          </w:tcPr>
          <w:p>
            <w:pPr>
              <w:pStyle w:val="12"/>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13.41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r>
              <w:t>110.93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137.27</w:t>
            </w:r>
          </w:p>
        </w:tc>
        <w:tc>
          <w:tcPr>
            <w:tcW w:w="4535" w:type="dxa"/>
            <w:vAlign w:val="center"/>
          </w:tcPr>
          <w:p>
            <w:pPr>
              <w:pStyle w:val="14"/>
            </w:pPr>
            <w:r>
              <w:t>本年支出合计</w:t>
            </w:r>
          </w:p>
        </w:tc>
        <w:tc>
          <w:tcPr>
            <w:tcW w:w="2126" w:type="dxa"/>
            <w:vAlign w:val="center"/>
          </w:tcPr>
          <w:p>
            <w:pPr>
              <w:pStyle w:val="15"/>
            </w:pPr>
            <w:r>
              <w:t>137.27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137.27</w:t>
            </w:r>
          </w:p>
        </w:tc>
        <w:tc>
          <w:tcPr>
            <w:tcW w:w="4535" w:type="dxa"/>
            <w:vAlign w:val="center"/>
          </w:tcPr>
          <w:p>
            <w:pPr>
              <w:pStyle w:val="14"/>
            </w:pPr>
            <w:r>
              <w:t>支出总计</w:t>
            </w:r>
          </w:p>
        </w:tc>
        <w:tc>
          <w:tcPr>
            <w:tcW w:w="2126" w:type="dxa"/>
            <w:vAlign w:val="center"/>
          </w:tcPr>
          <w:p>
            <w:pPr>
              <w:pStyle w:val="15"/>
            </w:pPr>
            <w:r>
              <w:t>137.27</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137.27</w:t>
            </w:r>
          </w:p>
        </w:tc>
        <w:tc>
          <w:tcPr>
            <w:tcW w:w="1134" w:type="dxa"/>
            <w:vAlign w:val="center"/>
          </w:tcPr>
          <w:p>
            <w:pPr>
              <w:pStyle w:val="15"/>
            </w:pPr>
            <w:r>
              <w:t>137.27</w:t>
            </w:r>
          </w:p>
        </w:tc>
        <w:tc>
          <w:tcPr>
            <w:tcW w:w="1134" w:type="dxa"/>
            <w:vAlign w:val="center"/>
          </w:tcPr>
          <w:p>
            <w:pPr>
              <w:pStyle w:val="15"/>
            </w:pPr>
            <w:r>
              <w:t>137.27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3"/>
            </w:pPr>
            <w:r>
              <w:t>13.41</w:t>
            </w:r>
          </w:p>
        </w:tc>
        <w:tc>
          <w:tcPr>
            <w:tcW w:w="1134" w:type="dxa"/>
            <w:vAlign w:val="center"/>
          </w:tcPr>
          <w:p>
            <w:pPr>
              <w:pStyle w:val="13"/>
            </w:pPr>
            <w:r>
              <w:t>13.41</w:t>
            </w:r>
          </w:p>
        </w:tc>
        <w:tc>
          <w:tcPr>
            <w:tcW w:w="1134" w:type="dxa"/>
            <w:vAlign w:val="center"/>
          </w:tcPr>
          <w:p>
            <w:pPr>
              <w:pStyle w:val="13"/>
            </w:pPr>
            <w:r>
              <w:t>13.41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3"/>
            </w:pPr>
            <w:r>
              <w:t>12.61</w:t>
            </w:r>
          </w:p>
        </w:tc>
        <w:tc>
          <w:tcPr>
            <w:tcW w:w="1134" w:type="dxa"/>
            <w:vAlign w:val="center"/>
          </w:tcPr>
          <w:p>
            <w:pPr>
              <w:pStyle w:val="13"/>
            </w:pPr>
            <w:r>
              <w:t>12.61</w:t>
            </w:r>
          </w:p>
        </w:tc>
        <w:tc>
          <w:tcPr>
            <w:tcW w:w="1134" w:type="dxa"/>
            <w:vAlign w:val="center"/>
          </w:tcPr>
          <w:p>
            <w:pPr>
              <w:pStyle w:val="13"/>
            </w:pPr>
            <w:r>
              <w:t>12.61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3"/>
            </w:pPr>
            <w:r>
              <w:t>12.61</w:t>
            </w:r>
          </w:p>
        </w:tc>
        <w:tc>
          <w:tcPr>
            <w:tcW w:w="1134" w:type="dxa"/>
            <w:vAlign w:val="center"/>
          </w:tcPr>
          <w:p>
            <w:pPr>
              <w:pStyle w:val="13"/>
            </w:pPr>
            <w:r>
              <w:t>12.61</w:t>
            </w:r>
          </w:p>
        </w:tc>
        <w:tc>
          <w:tcPr>
            <w:tcW w:w="1134" w:type="dxa"/>
            <w:vAlign w:val="center"/>
          </w:tcPr>
          <w:p>
            <w:pPr>
              <w:pStyle w:val="13"/>
            </w:pPr>
            <w:r>
              <w:t>12.61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3"/>
            </w:pPr>
            <w:r>
              <w:t>5.05</w:t>
            </w:r>
          </w:p>
        </w:tc>
        <w:tc>
          <w:tcPr>
            <w:tcW w:w="1134" w:type="dxa"/>
            <w:vAlign w:val="center"/>
          </w:tcPr>
          <w:p>
            <w:pPr>
              <w:pStyle w:val="13"/>
            </w:pPr>
            <w:r>
              <w:t>5.05</w:t>
            </w:r>
          </w:p>
        </w:tc>
        <w:tc>
          <w:tcPr>
            <w:tcW w:w="1134" w:type="dxa"/>
            <w:vAlign w:val="center"/>
          </w:tcPr>
          <w:p>
            <w:pPr>
              <w:pStyle w:val="13"/>
            </w:pPr>
            <w:r>
              <w:t>5.05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3"/>
            </w:pPr>
            <w:r>
              <w:t>5.05</w:t>
            </w:r>
          </w:p>
        </w:tc>
        <w:tc>
          <w:tcPr>
            <w:tcW w:w="1134" w:type="dxa"/>
            <w:vAlign w:val="center"/>
          </w:tcPr>
          <w:p>
            <w:pPr>
              <w:pStyle w:val="13"/>
            </w:pPr>
            <w:r>
              <w:t>5.05</w:t>
            </w:r>
          </w:p>
        </w:tc>
        <w:tc>
          <w:tcPr>
            <w:tcW w:w="1134" w:type="dxa"/>
            <w:vAlign w:val="center"/>
          </w:tcPr>
          <w:p>
            <w:pPr>
              <w:pStyle w:val="13"/>
            </w:pPr>
            <w:r>
              <w:t>5.05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3"/>
            </w:pPr>
            <w:r>
              <w:t>5.05</w:t>
            </w:r>
          </w:p>
        </w:tc>
        <w:tc>
          <w:tcPr>
            <w:tcW w:w="1134" w:type="dxa"/>
            <w:vAlign w:val="center"/>
          </w:tcPr>
          <w:p>
            <w:pPr>
              <w:pStyle w:val="13"/>
            </w:pPr>
            <w:r>
              <w:t>5.05</w:t>
            </w:r>
          </w:p>
        </w:tc>
        <w:tc>
          <w:tcPr>
            <w:tcW w:w="1134" w:type="dxa"/>
            <w:vAlign w:val="center"/>
          </w:tcPr>
          <w:p>
            <w:pPr>
              <w:pStyle w:val="13"/>
            </w:pPr>
            <w:r>
              <w:t>5.05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3"/>
            </w:pPr>
            <w:r>
              <w:t>110.93</w:t>
            </w:r>
          </w:p>
        </w:tc>
        <w:tc>
          <w:tcPr>
            <w:tcW w:w="1134" w:type="dxa"/>
            <w:vAlign w:val="center"/>
          </w:tcPr>
          <w:p>
            <w:pPr>
              <w:pStyle w:val="13"/>
            </w:pPr>
            <w:r>
              <w:t>110.93</w:t>
            </w:r>
          </w:p>
        </w:tc>
        <w:tc>
          <w:tcPr>
            <w:tcW w:w="1134" w:type="dxa"/>
            <w:vAlign w:val="center"/>
          </w:tcPr>
          <w:p>
            <w:pPr>
              <w:pStyle w:val="13"/>
            </w:pPr>
            <w:r>
              <w:t>110.93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3"/>
            </w:pPr>
            <w:r>
              <w:t>110.93</w:t>
            </w:r>
          </w:p>
        </w:tc>
        <w:tc>
          <w:tcPr>
            <w:tcW w:w="1134" w:type="dxa"/>
            <w:vAlign w:val="center"/>
          </w:tcPr>
          <w:p>
            <w:pPr>
              <w:pStyle w:val="13"/>
            </w:pPr>
            <w:r>
              <w:t>110.93</w:t>
            </w:r>
          </w:p>
        </w:tc>
        <w:tc>
          <w:tcPr>
            <w:tcW w:w="1134" w:type="dxa"/>
            <w:vAlign w:val="center"/>
          </w:tcPr>
          <w:p>
            <w:pPr>
              <w:pStyle w:val="13"/>
            </w:pPr>
            <w:r>
              <w:t>110.93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3"/>
            </w:pPr>
            <w:r>
              <w:t>110.93</w:t>
            </w:r>
          </w:p>
        </w:tc>
        <w:tc>
          <w:tcPr>
            <w:tcW w:w="1134" w:type="dxa"/>
            <w:vAlign w:val="center"/>
          </w:tcPr>
          <w:p>
            <w:pPr>
              <w:pStyle w:val="13"/>
            </w:pPr>
            <w:r>
              <w:t>110.93</w:t>
            </w:r>
          </w:p>
        </w:tc>
        <w:tc>
          <w:tcPr>
            <w:tcW w:w="1134" w:type="dxa"/>
            <w:vAlign w:val="center"/>
          </w:tcPr>
          <w:p>
            <w:pPr>
              <w:pStyle w:val="13"/>
            </w:pPr>
            <w:r>
              <w:t>110.93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3"/>
            </w:pPr>
            <w:r>
              <w:t>7.88</w:t>
            </w:r>
          </w:p>
        </w:tc>
        <w:tc>
          <w:tcPr>
            <w:tcW w:w="1134" w:type="dxa"/>
            <w:vAlign w:val="center"/>
          </w:tcPr>
          <w:p>
            <w:pPr>
              <w:pStyle w:val="13"/>
            </w:pPr>
            <w:r>
              <w:t>7.88</w:t>
            </w:r>
          </w:p>
        </w:tc>
        <w:tc>
          <w:tcPr>
            <w:tcW w:w="1134" w:type="dxa"/>
            <w:vAlign w:val="center"/>
          </w:tcPr>
          <w:p>
            <w:pPr>
              <w:pStyle w:val="13"/>
            </w:pPr>
            <w:r>
              <w:t>7.88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3"/>
            </w:pPr>
            <w:r>
              <w:t>7.88</w:t>
            </w:r>
          </w:p>
        </w:tc>
        <w:tc>
          <w:tcPr>
            <w:tcW w:w="1134" w:type="dxa"/>
            <w:vAlign w:val="center"/>
          </w:tcPr>
          <w:p>
            <w:pPr>
              <w:pStyle w:val="13"/>
            </w:pPr>
            <w:r>
              <w:t>7.88</w:t>
            </w:r>
          </w:p>
        </w:tc>
        <w:tc>
          <w:tcPr>
            <w:tcW w:w="1134" w:type="dxa"/>
            <w:vAlign w:val="center"/>
          </w:tcPr>
          <w:p>
            <w:pPr>
              <w:pStyle w:val="13"/>
            </w:pPr>
            <w:r>
              <w:t>7.88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3"/>
            </w:pPr>
            <w:r>
              <w:t>7.88</w:t>
            </w:r>
          </w:p>
        </w:tc>
        <w:tc>
          <w:tcPr>
            <w:tcW w:w="1134" w:type="dxa"/>
            <w:vAlign w:val="center"/>
          </w:tcPr>
          <w:p>
            <w:pPr>
              <w:pStyle w:val="13"/>
            </w:pPr>
            <w:r>
              <w:t>7.88</w:t>
            </w:r>
          </w:p>
        </w:tc>
        <w:tc>
          <w:tcPr>
            <w:tcW w:w="1134" w:type="dxa"/>
            <w:vAlign w:val="center"/>
          </w:tcPr>
          <w:p>
            <w:pPr>
              <w:pStyle w:val="13"/>
            </w:pPr>
            <w:r>
              <w:t>7.88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137.27</w:t>
            </w:r>
          </w:p>
        </w:tc>
        <w:tc>
          <w:tcPr>
            <w:tcW w:w="1361" w:type="dxa"/>
            <w:vAlign w:val="center"/>
          </w:tcPr>
          <w:p>
            <w:pPr>
              <w:pStyle w:val="15"/>
            </w:pPr>
            <w:r>
              <w:t>137.27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3"/>
            </w:pPr>
            <w:r>
              <w:t>13.41</w:t>
            </w:r>
          </w:p>
        </w:tc>
        <w:tc>
          <w:tcPr>
            <w:tcW w:w="1361" w:type="dxa"/>
            <w:vAlign w:val="center"/>
          </w:tcPr>
          <w:p>
            <w:pPr>
              <w:pStyle w:val="13"/>
            </w:pPr>
            <w:r>
              <w:t>13.41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3"/>
            </w:pPr>
            <w:r>
              <w:t>12.61</w:t>
            </w:r>
          </w:p>
        </w:tc>
        <w:tc>
          <w:tcPr>
            <w:tcW w:w="1361" w:type="dxa"/>
            <w:vAlign w:val="center"/>
          </w:tcPr>
          <w:p>
            <w:pPr>
              <w:pStyle w:val="13"/>
            </w:pPr>
            <w:r>
              <w:t>12.61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3"/>
            </w:pPr>
            <w:r>
              <w:t>12.61</w:t>
            </w:r>
          </w:p>
        </w:tc>
        <w:tc>
          <w:tcPr>
            <w:tcW w:w="1361" w:type="dxa"/>
            <w:vAlign w:val="center"/>
          </w:tcPr>
          <w:p>
            <w:pPr>
              <w:pStyle w:val="13"/>
            </w:pPr>
            <w:r>
              <w:t>12.61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3"/>
            </w:pPr>
            <w:r>
              <w:t>5.05</w:t>
            </w:r>
          </w:p>
        </w:tc>
        <w:tc>
          <w:tcPr>
            <w:tcW w:w="1361" w:type="dxa"/>
            <w:vAlign w:val="center"/>
          </w:tcPr>
          <w:p>
            <w:pPr>
              <w:pStyle w:val="13"/>
            </w:pPr>
            <w:r>
              <w:t>5.05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3"/>
            </w:pPr>
            <w:r>
              <w:t>5.05</w:t>
            </w:r>
          </w:p>
        </w:tc>
        <w:tc>
          <w:tcPr>
            <w:tcW w:w="1361" w:type="dxa"/>
            <w:vAlign w:val="center"/>
          </w:tcPr>
          <w:p>
            <w:pPr>
              <w:pStyle w:val="13"/>
            </w:pPr>
            <w:r>
              <w:t>5.05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3"/>
            </w:pPr>
            <w:r>
              <w:t>5.05</w:t>
            </w:r>
          </w:p>
        </w:tc>
        <w:tc>
          <w:tcPr>
            <w:tcW w:w="1361" w:type="dxa"/>
            <w:vAlign w:val="center"/>
          </w:tcPr>
          <w:p>
            <w:pPr>
              <w:pStyle w:val="13"/>
            </w:pPr>
            <w:r>
              <w:t>5.05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3"/>
            </w:pPr>
            <w:r>
              <w:t>110.93</w:t>
            </w:r>
          </w:p>
        </w:tc>
        <w:tc>
          <w:tcPr>
            <w:tcW w:w="1361" w:type="dxa"/>
            <w:vAlign w:val="center"/>
          </w:tcPr>
          <w:p>
            <w:pPr>
              <w:pStyle w:val="13"/>
            </w:pPr>
            <w:r>
              <w:t>110.93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3"/>
            </w:pPr>
            <w:r>
              <w:t>110.93</w:t>
            </w:r>
          </w:p>
        </w:tc>
        <w:tc>
          <w:tcPr>
            <w:tcW w:w="1361" w:type="dxa"/>
            <w:vAlign w:val="center"/>
          </w:tcPr>
          <w:p>
            <w:pPr>
              <w:pStyle w:val="13"/>
            </w:pPr>
            <w:r>
              <w:t>110.93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3"/>
            </w:pPr>
            <w:r>
              <w:t>110.93</w:t>
            </w:r>
          </w:p>
        </w:tc>
        <w:tc>
          <w:tcPr>
            <w:tcW w:w="1361" w:type="dxa"/>
            <w:vAlign w:val="center"/>
          </w:tcPr>
          <w:p>
            <w:pPr>
              <w:pStyle w:val="13"/>
            </w:pPr>
            <w:r>
              <w:t>110.93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3"/>
            </w:pPr>
            <w:r>
              <w:t>7.88</w:t>
            </w:r>
          </w:p>
        </w:tc>
        <w:tc>
          <w:tcPr>
            <w:tcW w:w="1361" w:type="dxa"/>
            <w:vAlign w:val="center"/>
          </w:tcPr>
          <w:p>
            <w:pPr>
              <w:pStyle w:val="13"/>
            </w:pPr>
            <w:r>
              <w:t>7.88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3"/>
            </w:pPr>
            <w:r>
              <w:t>7.88</w:t>
            </w:r>
          </w:p>
        </w:tc>
        <w:tc>
          <w:tcPr>
            <w:tcW w:w="1361" w:type="dxa"/>
            <w:vAlign w:val="center"/>
          </w:tcPr>
          <w:p>
            <w:pPr>
              <w:pStyle w:val="13"/>
            </w:pPr>
            <w:r>
              <w:t>7.88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3"/>
            </w:pPr>
            <w:r>
              <w:t>7.88</w:t>
            </w:r>
          </w:p>
        </w:tc>
        <w:tc>
          <w:tcPr>
            <w:tcW w:w="1361" w:type="dxa"/>
            <w:vAlign w:val="center"/>
          </w:tcPr>
          <w:p>
            <w:pPr>
              <w:pStyle w:val="13"/>
            </w:pPr>
            <w:r>
              <w:t>7.88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137.27</w:t>
            </w:r>
          </w:p>
        </w:tc>
        <w:tc>
          <w:tcPr>
            <w:tcW w:w="3402" w:type="dxa"/>
            <w:vAlign w:val="center"/>
          </w:tcPr>
          <w:p>
            <w:pPr>
              <w:pStyle w:val="12"/>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13.41</w:t>
            </w:r>
          </w:p>
        </w:tc>
        <w:tc>
          <w:tcPr>
            <w:tcW w:w="1474" w:type="dxa"/>
            <w:vAlign w:val="center"/>
          </w:tcPr>
          <w:p>
            <w:pPr>
              <w:pStyle w:val="13"/>
            </w:pPr>
            <w:r>
              <w:t>13.41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5.05</w:t>
            </w:r>
          </w:p>
        </w:tc>
        <w:tc>
          <w:tcPr>
            <w:tcW w:w="1474" w:type="dxa"/>
            <w:vAlign w:val="center"/>
          </w:tcPr>
          <w:p>
            <w:pPr>
              <w:pStyle w:val="13"/>
            </w:pPr>
            <w:r>
              <w:t>5.05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r>
              <w:t>110.93</w:t>
            </w:r>
          </w:p>
        </w:tc>
        <w:tc>
          <w:tcPr>
            <w:tcW w:w="1474" w:type="dxa"/>
            <w:vAlign w:val="center"/>
          </w:tcPr>
          <w:p>
            <w:pPr>
              <w:pStyle w:val="13"/>
            </w:pPr>
            <w:r>
              <w:t>110.93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7.88</w:t>
            </w:r>
          </w:p>
        </w:tc>
        <w:tc>
          <w:tcPr>
            <w:tcW w:w="1474" w:type="dxa"/>
            <w:vAlign w:val="center"/>
          </w:tcPr>
          <w:p>
            <w:pPr>
              <w:pStyle w:val="13"/>
            </w:pPr>
            <w:r>
              <w:t>7.88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137.27</w:t>
            </w:r>
          </w:p>
        </w:tc>
        <w:tc>
          <w:tcPr>
            <w:tcW w:w="3402" w:type="dxa"/>
            <w:vAlign w:val="center"/>
          </w:tcPr>
          <w:p>
            <w:pPr>
              <w:pStyle w:val="14"/>
            </w:pPr>
            <w:r>
              <w:t>本年支出合计</w:t>
            </w:r>
          </w:p>
        </w:tc>
        <w:tc>
          <w:tcPr>
            <w:tcW w:w="1474" w:type="dxa"/>
            <w:vAlign w:val="center"/>
          </w:tcPr>
          <w:p>
            <w:pPr>
              <w:pStyle w:val="15"/>
            </w:pPr>
            <w:r>
              <w:t>137.27</w:t>
            </w:r>
          </w:p>
        </w:tc>
        <w:tc>
          <w:tcPr>
            <w:tcW w:w="1474" w:type="dxa"/>
            <w:vAlign w:val="center"/>
          </w:tcPr>
          <w:p>
            <w:pPr>
              <w:pStyle w:val="15"/>
            </w:pPr>
            <w:r>
              <w:t>137.27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137.27</w:t>
            </w:r>
          </w:p>
        </w:tc>
        <w:tc>
          <w:tcPr>
            <w:tcW w:w="3402" w:type="dxa"/>
            <w:vAlign w:val="center"/>
          </w:tcPr>
          <w:p>
            <w:pPr>
              <w:pStyle w:val="14"/>
            </w:pPr>
            <w:r>
              <w:t>支出总计</w:t>
            </w:r>
          </w:p>
        </w:tc>
        <w:tc>
          <w:tcPr>
            <w:tcW w:w="1474" w:type="dxa"/>
            <w:vAlign w:val="center"/>
          </w:tcPr>
          <w:p>
            <w:pPr>
              <w:pStyle w:val="15"/>
            </w:pPr>
            <w:r>
              <w:t>137.27</w:t>
            </w:r>
          </w:p>
        </w:tc>
        <w:tc>
          <w:tcPr>
            <w:tcW w:w="1474" w:type="dxa"/>
            <w:vAlign w:val="center"/>
          </w:tcPr>
          <w:p>
            <w:pPr>
              <w:pStyle w:val="15"/>
            </w:pPr>
            <w:r>
              <w:t>137.27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137.27</w:t>
            </w:r>
          </w:p>
        </w:tc>
        <w:tc>
          <w:tcPr>
            <w:tcW w:w="2551" w:type="dxa"/>
            <w:vAlign w:val="center"/>
          </w:tcPr>
          <w:p>
            <w:pPr>
              <w:pStyle w:val="15"/>
            </w:pPr>
            <w:r>
              <w:t>137.27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13.41</w:t>
            </w:r>
          </w:p>
        </w:tc>
        <w:tc>
          <w:tcPr>
            <w:tcW w:w="2551" w:type="dxa"/>
            <w:vAlign w:val="center"/>
          </w:tcPr>
          <w:p>
            <w:pPr>
              <w:pStyle w:val="13"/>
            </w:pPr>
            <w:r>
              <w:t>13.41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12.61</w:t>
            </w:r>
          </w:p>
        </w:tc>
        <w:tc>
          <w:tcPr>
            <w:tcW w:w="2551" w:type="dxa"/>
            <w:vAlign w:val="center"/>
          </w:tcPr>
          <w:p>
            <w:pPr>
              <w:pStyle w:val="13"/>
            </w:pPr>
            <w:r>
              <w:t>12.61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12.61</w:t>
            </w:r>
          </w:p>
        </w:tc>
        <w:tc>
          <w:tcPr>
            <w:tcW w:w="2551" w:type="dxa"/>
            <w:vAlign w:val="center"/>
          </w:tcPr>
          <w:p>
            <w:pPr>
              <w:pStyle w:val="13"/>
            </w:pPr>
            <w:r>
              <w:t>12.61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5.05</w:t>
            </w:r>
          </w:p>
        </w:tc>
        <w:tc>
          <w:tcPr>
            <w:tcW w:w="2551" w:type="dxa"/>
            <w:vAlign w:val="center"/>
          </w:tcPr>
          <w:p>
            <w:pPr>
              <w:pStyle w:val="13"/>
            </w:pPr>
            <w:r>
              <w:t>5.05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5.05</w:t>
            </w:r>
          </w:p>
        </w:tc>
        <w:tc>
          <w:tcPr>
            <w:tcW w:w="2551" w:type="dxa"/>
            <w:vAlign w:val="center"/>
          </w:tcPr>
          <w:p>
            <w:pPr>
              <w:pStyle w:val="13"/>
            </w:pPr>
            <w:r>
              <w:t>5.05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3"/>
            </w:pPr>
            <w:r>
              <w:t>5.05</w:t>
            </w:r>
          </w:p>
        </w:tc>
        <w:tc>
          <w:tcPr>
            <w:tcW w:w="2551" w:type="dxa"/>
            <w:vAlign w:val="center"/>
          </w:tcPr>
          <w:p>
            <w:pPr>
              <w:pStyle w:val="13"/>
            </w:pPr>
            <w:r>
              <w:t>5.05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3"/>
            </w:pPr>
            <w:r>
              <w:t>110.93</w:t>
            </w:r>
          </w:p>
        </w:tc>
        <w:tc>
          <w:tcPr>
            <w:tcW w:w="2551" w:type="dxa"/>
            <w:vAlign w:val="center"/>
          </w:tcPr>
          <w:p>
            <w:pPr>
              <w:pStyle w:val="13"/>
            </w:pPr>
            <w:r>
              <w:t>110.93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3"/>
            </w:pPr>
            <w:r>
              <w:t>110.93</w:t>
            </w:r>
          </w:p>
        </w:tc>
        <w:tc>
          <w:tcPr>
            <w:tcW w:w="2551" w:type="dxa"/>
            <w:vAlign w:val="center"/>
          </w:tcPr>
          <w:p>
            <w:pPr>
              <w:pStyle w:val="13"/>
            </w:pPr>
            <w:r>
              <w:t>110.93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3"/>
            </w:pPr>
            <w:r>
              <w:t>110.93</w:t>
            </w:r>
          </w:p>
        </w:tc>
        <w:tc>
          <w:tcPr>
            <w:tcW w:w="2551" w:type="dxa"/>
            <w:vAlign w:val="center"/>
          </w:tcPr>
          <w:p>
            <w:pPr>
              <w:pStyle w:val="13"/>
            </w:pPr>
            <w:r>
              <w:t>110.93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7.88</w:t>
            </w:r>
          </w:p>
        </w:tc>
        <w:tc>
          <w:tcPr>
            <w:tcW w:w="2551" w:type="dxa"/>
            <w:vAlign w:val="center"/>
          </w:tcPr>
          <w:p>
            <w:pPr>
              <w:pStyle w:val="13"/>
            </w:pPr>
            <w:r>
              <w:t>7.88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7.88</w:t>
            </w:r>
          </w:p>
        </w:tc>
        <w:tc>
          <w:tcPr>
            <w:tcW w:w="2551" w:type="dxa"/>
            <w:vAlign w:val="center"/>
          </w:tcPr>
          <w:p>
            <w:pPr>
              <w:pStyle w:val="13"/>
            </w:pPr>
            <w:r>
              <w:t>7.88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7.88</w:t>
            </w:r>
          </w:p>
        </w:tc>
        <w:tc>
          <w:tcPr>
            <w:tcW w:w="2551" w:type="dxa"/>
            <w:vAlign w:val="center"/>
          </w:tcPr>
          <w:p>
            <w:pPr>
              <w:pStyle w:val="13"/>
            </w:pPr>
            <w:r>
              <w:t>7.88</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137.27</w:t>
            </w:r>
          </w:p>
        </w:tc>
        <w:tc>
          <w:tcPr>
            <w:tcW w:w="2551" w:type="dxa"/>
            <w:vAlign w:val="center"/>
          </w:tcPr>
          <w:p>
            <w:pPr>
              <w:pStyle w:val="15"/>
            </w:pPr>
            <w:r>
              <w:t>125.64</w:t>
            </w:r>
          </w:p>
        </w:tc>
        <w:tc>
          <w:tcPr>
            <w:tcW w:w="2551" w:type="dxa"/>
            <w:vAlign w:val="center"/>
          </w:tcPr>
          <w:p>
            <w:pPr>
              <w:pStyle w:val="15"/>
            </w:pPr>
            <w:r>
              <w:t>11.63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124.76</w:t>
            </w:r>
          </w:p>
        </w:tc>
        <w:tc>
          <w:tcPr>
            <w:tcW w:w="2551" w:type="dxa"/>
            <w:vAlign w:val="center"/>
          </w:tcPr>
          <w:p>
            <w:pPr>
              <w:pStyle w:val="13"/>
            </w:pPr>
            <w:r>
              <w:t>124.76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51.97</w:t>
            </w:r>
          </w:p>
        </w:tc>
        <w:tc>
          <w:tcPr>
            <w:tcW w:w="2551" w:type="dxa"/>
            <w:vAlign w:val="center"/>
          </w:tcPr>
          <w:p>
            <w:pPr>
              <w:pStyle w:val="13"/>
            </w:pPr>
            <w:r>
              <w:t>51.97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18.88</w:t>
            </w:r>
          </w:p>
        </w:tc>
        <w:tc>
          <w:tcPr>
            <w:tcW w:w="2551" w:type="dxa"/>
            <w:vAlign w:val="center"/>
          </w:tcPr>
          <w:p>
            <w:pPr>
              <w:pStyle w:val="13"/>
            </w:pPr>
            <w:r>
              <w:t>18.88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0.60</w:t>
            </w:r>
          </w:p>
        </w:tc>
        <w:tc>
          <w:tcPr>
            <w:tcW w:w="2551" w:type="dxa"/>
            <w:vAlign w:val="center"/>
          </w:tcPr>
          <w:p>
            <w:pPr>
              <w:pStyle w:val="13"/>
            </w:pPr>
            <w:r>
              <w:t>0.60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3"/>
            </w:pPr>
            <w:r>
              <w:t>26.83</w:t>
            </w:r>
          </w:p>
        </w:tc>
        <w:tc>
          <w:tcPr>
            <w:tcW w:w="2551" w:type="dxa"/>
            <w:vAlign w:val="center"/>
          </w:tcPr>
          <w:p>
            <w:pPr>
              <w:pStyle w:val="13"/>
            </w:pPr>
            <w:r>
              <w:t>26.83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12.61</w:t>
            </w:r>
          </w:p>
        </w:tc>
        <w:tc>
          <w:tcPr>
            <w:tcW w:w="2551" w:type="dxa"/>
            <w:vAlign w:val="center"/>
          </w:tcPr>
          <w:p>
            <w:pPr>
              <w:pStyle w:val="13"/>
            </w:pPr>
            <w:r>
              <w:t>12.61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8</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3"/>
            </w:pPr>
            <w:r>
              <w:t>5.05</w:t>
            </w:r>
          </w:p>
        </w:tc>
        <w:tc>
          <w:tcPr>
            <w:tcW w:w="2551" w:type="dxa"/>
            <w:vAlign w:val="center"/>
          </w:tcPr>
          <w:p>
            <w:pPr>
              <w:pStyle w:val="13"/>
            </w:pPr>
            <w:r>
              <w:t>5.05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0.94</w:t>
            </w:r>
          </w:p>
        </w:tc>
        <w:tc>
          <w:tcPr>
            <w:tcW w:w="2551" w:type="dxa"/>
            <w:vAlign w:val="center"/>
          </w:tcPr>
          <w:p>
            <w:pPr>
              <w:pStyle w:val="13"/>
            </w:pPr>
            <w:r>
              <w:t>0.94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7.88</w:t>
            </w:r>
          </w:p>
        </w:tc>
        <w:tc>
          <w:tcPr>
            <w:tcW w:w="2551" w:type="dxa"/>
            <w:vAlign w:val="center"/>
          </w:tcPr>
          <w:p>
            <w:pPr>
              <w:pStyle w:val="13"/>
            </w:pPr>
            <w:r>
              <w:t>7.88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11.63</w:t>
            </w:r>
          </w:p>
        </w:tc>
        <w:tc>
          <w:tcPr>
            <w:tcW w:w="2551" w:type="dxa"/>
            <w:vAlign w:val="center"/>
          </w:tcPr>
          <w:p>
            <w:pPr>
              <w:pStyle w:val="13"/>
            </w:pPr>
          </w:p>
        </w:tc>
        <w:tc>
          <w:tcPr>
            <w:tcW w:w="2551" w:type="dxa"/>
            <w:vAlign w:val="center"/>
          </w:tcPr>
          <w:p>
            <w:pPr>
              <w:pStyle w:val="13"/>
            </w:pPr>
            <w:r>
              <w:t>11.63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3.90</w:t>
            </w:r>
          </w:p>
        </w:tc>
        <w:tc>
          <w:tcPr>
            <w:tcW w:w="2551" w:type="dxa"/>
            <w:vAlign w:val="center"/>
          </w:tcPr>
          <w:p>
            <w:pPr>
              <w:pStyle w:val="13"/>
            </w:pPr>
          </w:p>
        </w:tc>
        <w:tc>
          <w:tcPr>
            <w:tcW w:w="2551" w:type="dxa"/>
            <w:vAlign w:val="center"/>
          </w:tcPr>
          <w:p>
            <w:pPr>
              <w:pStyle w:val="13"/>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2.37</w:t>
            </w:r>
          </w:p>
        </w:tc>
        <w:tc>
          <w:tcPr>
            <w:tcW w:w="2551" w:type="dxa"/>
            <w:vAlign w:val="center"/>
          </w:tcPr>
          <w:p>
            <w:pPr>
              <w:pStyle w:val="13"/>
            </w:pPr>
          </w:p>
        </w:tc>
        <w:tc>
          <w:tcPr>
            <w:tcW w:w="2551" w:type="dxa"/>
            <w:vAlign w:val="center"/>
          </w:tcPr>
          <w:p>
            <w:pPr>
              <w:pStyle w:val="13"/>
            </w:pPr>
            <w:r>
              <w:t>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3"/>
            </w:pPr>
            <w:r>
              <w:t>1.58</w:t>
            </w:r>
          </w:p>
        </w:tc>
        <w:tc>
          <w:tcPr>
            <w:tcW w:w="2551" w:type="dxa"/>
            <w:vAlign w:val="center"/>
          </w:tcPr>
          <w:p>
            <w:pPr>
              <w:pStyle w:val="13"/>
            </w:pPr>
          </w:p>
        </w:tc>
        <w:tc>
          <w:tcPr>
            <w:tcW w:w="2551" w:type="dxa"/>
            <w:vAlign w:val="center"/>
          </w:tcPr>
          <w:p>
            <w:pPr>
              <w:pStyle w:val="13"/>
            </w:pPr>
            <w:r>
              <w:t>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3"/>
            </w:pPr>
            <w:r>
              <w:t>0.18</w:t>
            </w:r>
          </w:p>
        </w:tc>
        <w:tc>
          <w:tcPr>
            <w:tcW w:w="2551" w:type="dxa"/>
            <w:vAlign w:val="center"/>
          </w:tcPr>
          <w:p>
            <w:pPr>
              <w:pStyle w:val="13"/>
            </w:pPr>
          </w:p>
        </w:tc>
        <w:tc>
          <w:tcPr>
            <w:tcW w:w="2551" w:type="dxa"/>
            <w:vAlign w:val="center"/>
          </w:tcPr>
          <w:p>
            <w:pPr>
              <w:pStyle w:val="13"/>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0.88</w:t>
            </w:r>
          </w:p>
        </w:tc>
        <w:tc>
          <w:tcPr>
            <w:tcW w:w="2551" w:type="dxa"/>
            <w:vAlign w:val="center"/>
          </w:tcPr>
          <w:p>
            <w:pPr>
              <w:pStyle w:val="13"/>
            </w:pPr>
            <w:r>
              <w:t>0.88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0.08</w:t>
            </w:r>
          </w:p>
        </w:tc>
        <w:tc>
          <w:tcPr>
            <w:tcW w:w="2551" w:type="dxa"/>
            <w:vAlign w:val="center"/>
          </w:tcPr>
          <w:p>
            <w:pPr>
              <w:pStyle w:val="13"/>
            </w:pPr>
            <w:r>
              <w:t>0.08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50" w:type="dxa"/>
            <w:vAlign w:val="center"/>
          </w:tcPr>
          <w:p>
            <w:pPr>
              <w:pStyle w:val="11"/>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2"/>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高阳县城市管理综合行政执法局（事业）2022年单位预算信息公开情况说明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、《地方预决算公开操作规程》和《关于进一步推进预算公开工作的实施意见》规定，现将高阳县城市管理综合行政执法局（事业）2022年单位预算公开如下：</w:t>
      </w:r>
    </w:p>
    <w:p>
      <w:p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一、单位职责及机构设置情况</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pStyle w:val="17"/>
      </w:pPr>
      <w:r>
        <w:t>1、宣传贯彻省、市、县有关城市管理方面的政策和法规</w:t>
      </w:r>
      <w:r>
        <w:rPr>
          <w:rFonts w:hint="eastAsia"/>
          <w:lang w:eastAsia="zh-CN"/>
        </w:rPr>
        <w:t>；</w:t>
      </w:r>
      <w:r>
        <w:t>拟定和实施城市管理方面的有关规定。</w:t>
      </w:r>
    </w:p>
    <w:p>
      <w:pPr>
        <w:pStyle w:val="17"/>
      </w:pPr>
      <w:r>
        <w:t>2、负责编制城市管理发展战略</w:t>
      </w:r>
      <w:r>
        <w:rPr>
          <w:rFonts w:hint="eastAsia"/>
          <w:lang w:eastAsia="zh-CN"/>
        </w:rPr>
        <w:t>，</w:t>
      </w:r>
      <w:r>
        <w:t>中长期发展规划和年度计划</w:t>
      </w:r>
      <w:r>
        <w:rPr>
          <w:rFonts w:hint="eastAsia"/>
          <w:lang w:eastAsia="zh-CN"/>
        </w:rPr>
        <w:t>，</w:t>
      </w:r>
      <w:r>
        <w:t>推进数字城管智慧化。并会同自然资源和规划局编制实施市容景观、环境卫生、城市绿化等各项专业规划。</w:t>
      </w:r>
    </w:p>
    <w:p>
      <w:pPr>
        <w:pStyle w:val="17"/>
      </w:pPr>
      <w:r>
        <w:t>3、负责城区城市容貌和环境卫生管理、参与城区环境卫生设施的规划及环卫设施的竣工验收</w:t>
      </w:r>
      <w:r>
        <w:rPr>
          <w:rFonts w:hint="eastAsia"/>
          <w:lang w:eastAsia="zh-CN"/>
        </w:rPr>
        <w:t>；</w:t>
      </w:r>
      <w:r>
        <w:t>负责城区环境卫生设施、设备、经费的管理</w:t>
      </w:r>
      <w:r>
        <w:rPr>
          <w:rFonts w:hint="eastAsia"/>
          <w:lang w:eastAsia="zh-CN"/>
        </w:rPr>
        <w:t>，</w:t>
      </w:r>
      <w:r>
        <w:t>道路清融雪等工作</w:t>
      </w:r>
      <w:r>
        <w:rPr>
          <w:rFonts w:hint="eastAsia"/>
          <w:lang w:eastAsia="zh-CN"/>
        </w:rPr>
        <w:t>；</w:t>
      </w:r>
      <w:r>
        <w:t>负责对环境卫生方面新技术的研究推广工作。负责制定城市容貌标准</w:t>
      </w:r>
      <w:r>
        <w:rPr>
          <w:rFonts w:hint="eastAsia"/>
          <w:lang w:eastAsia="zh-CN"/>
        </w:rPr>
        <w:t>，</w:t>
      </w:r>
      <w:r>
        <w:t>并监督执行。组织实施市容整治和门前“三包”</w:t>
      </w:r>
      <w:r>
        <w:rPr>
          <w:rFonts w:hint="eastAsia"/>
          <w:lang w:eastAsia="zh-CN"/>
        </w:rPr>
        <w:t>；</w:t>
      </w:r>
      <w:r>
        <w:t>组织开展街道、住宅小区环境的考核评比工作。</w:t>
      </w:r>
    </w:p>
    <w:p>
      <w:pPr>
        <w:pStyle w:val="17"/>
      </w:pPr>
      <w:r>
        <w:t>4、负责建成区内垃圾处理等方面的工作。指导建制镇生活垃圾及农村生活垃圾收运处置体系建设</w:t>
      </w:r>
      <w:r>
        <w:rPr>
          <w:rFonts w:hint="eastAsia"/>
          <w:lang w:eastAsia="zh-CN"/>
        </w:rPr>
        <w:t>；</w:t>
      </w:r>
      <w:r>
        <w:t>指导各乡镇环卫工作的开展。</w:t>
      </w:r>
    </w:p>
    <w:p>
      <w:pPr>
        <w:pStyle w:val="17"/>
      </w:pPr>
      <w:r>
        <w:t>5、负责城区公共空间秩序管理方面的户外广告设置</w:t>
      </w:r>
      <w:r>
        <w:rPr>
          <w:rFonts w:hint="eastAsia"/>
          <w:lang w:eastAsia="zh-CN"/>
        </w:rPr>
        <w:t>，</w:t>
      </w:r>
      <w:r>
        <w:t>门头牌匾、建筑外立面装修、“街道家具”等管理工作。</w:t>
      </w:r>
    </w:p>
    <w:p>
      <w:pPr>
        <w:pStyle w:val="17"/>
      </w:pPr>
      <w:r>
        <w:t>6、负责城市交通管理方面的便道车辆停放管理工作。</w:t>
      </w:r>
    </w:p>
    <w:p>
      <w:pPr>
        <w:pStyle w:val="17"/>
      </w:pPr>
      <w:r>
        <w:t>7、负责城市管理相关业务安全管理工作。</w:t>
      </w:r>
    </w:p>
    <w:p>
      <w:pPr>
        <w:pStyle w:val="17"/>
      </w:pPr>
      <w:r>
        <w:t>8、负责城市环境保护管理方面的道路扬尘、露天烧烤整治工作。</w:t>
      </w:r>
    </w:p>
    <w:p>
      <w:pPr>
        <w:pStyle w:val="17"/>
      </w:pPr>
      <w:r>
        <w:t>9、负责城市园林绿化管理等方面的全部工作。</w:t>
      </w:r>
    </w:p>
    <w:p>
      <w:pPr>
        <w:pStyle w:val="17"/>
      </w:pPr>
      <w:r>
        <w:t>10、集中行使与群众生产生活密切相关、执法频率高、多头执法扰民问题突出、专业技术要求适宜、与城市管理密切相关的行政处罚权</w:t>
      </w:r>
      <w:r>
        <w:rPr>
          <w:rFonts w:hint="eastAsia"/>
          <w:lang w:eastAsia="zh-CN"/>
        </w:rPr>
        <w:t>，</w:t>
      </w:r>
      <w:r>
        <w:t>具体包括:</w:t>
      </w:r>
    </w:p>
    <w:p>
      <w:pPr>
        <w:pStyle w:val="17"/>
        <w:rPr>
          <w:rFonts w:hint="eastAsia" w:eastAsia="方正仿宋_GBK"/>
          <w:lang w:eastAsia="zh-CN"/>
        </w:rPr>
      </w:pPr>
      <w:r>
        <w:t>（1）市容环境卫生管理方面法律、法规、规章规定的行政处罚权</w:t>
      </w:r>
      <w:r>
        <w:rPr>
          <w:rFonts w:hint="eastAsia"/>
          <w:lang w:eastAsia="zh-CN"/>
        </w:rPr>
        <w:t>；</w:t>
      </w:r>
    </w:p>
    <w:p>
      <w:pPr>
        <w:pStyle w:val="17"/>
        <w:rPr>
          <w:rFonts w:hint="eastAsia" w:eastAsia="方正仿宋_GBK"/>
          <w:lang w:eastAsia="zh-CN"/>
        </w:rPr>
      </w:pPr>
      <w:r>
        <w:t>（2）城市绿化管理方面法律、法规、规章规定的行政处罚权</w:t>
      </w:r>
      <w:r>
        <w:rPr>
          <w:rFonts w:hint="eastAsia"/>
          <w:lang w:eastAsia="zh-CN"/>
        </w:rPr>
        <w:t>；</w:t>
      </w:r>
    </w:p>
    <w:p>
      <w:pPr>
        <w:pStyle w:val="17"/>
        <w:rPr>
          <w:rFonts w:hint="eastAsia" w:eastAsia="方正仿宋_GBK"/>
          <w:lang w:eastAsia="zh-CN"/>
        </w:rPr>
      </w:pPr>
      <w:r>
        <w:t>（3）城市规划管理方面在规划区内未取得建设工程规划许可证进行建设的、已取得建设工程规划许可证未按规划进行建设的行政处罚权</w:t>
      </w:r>
      <w:r>
        <w:rPr>
          <w:rFonts w:hint="eastAsia"/>
          <w:lang w:eastAsia="zh-CN"/>
        </w:rPr>
        <w:t>；</w:t>
      </w:r>
    </w:p>
    <w:p>
      <w:pPr>
        <w:pStyle w:val="17"/>
      </w:pPr>
      <w:r>
        <w:t>（4）公安交通管理方面在人行道、广场等公共场所内违反机动车停放、临时停车规定行为法律、法规、规章规定的行政处罚权；</w:t>
      </w:r>
    </w:p>
    <w:p>
      <w:pPr>
        <w:pStyle w:val="17"/>
        <w:rPr>
          <w:rFonts w:hint="eastAsia" w:eastAsia="方正仿宋_GBK"/>
          <w:lang w:eastAsia="zh-CN"/>
        </w:rPr>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r>
        <w:rPr>
          <w:rFonts w:hint="eastAsia"/>
          <w:lang w:eastAsia="zh-CN"/>
        </w:rPr>
        <w:t>；</w:t>
      </w:r>
    </w:p>
    <w:p>
      <w:pPr>
        <w:pStyle w:val="17"/>
        <w:rPr>
          <w:rFonts w:hint="eastAsia" w:eastAsia="方正仿宋_GBK"/>
          <w:lang w:eastAsia="zh-CN"/>
        </w:rPr>
      </w:pPr>
      <w:r>
        <w:t>（6）水务管理方面向城市河道倾倒废弃物和垃圾、城市河道违法建筑物拆除、违法取土的法律、法规、规章规定的行政处罚权</w:t>
      </w:r>
      <w:r>
        <w:rPr>
          <w:rFonts w:hint="eastAsia"/>
          <w:lang w:eastAsia="zh-CN"/>
        </w:rPr>
        <w:t>；</w:t>
      </w:r>
    </w:p>
    <w:p>
      <w:pPr>
        <w:pStyle w:val="17"/>
        <w:rPr>
          <w:rFonts w:hint="eastAsia" w:eastAsia="方正仿宋_GBK"/>
          <w:lang w:eastAsia="zh-CN"/>
        </w:rPr>
      </w:pPr>
      <w:r>
        <w:t>（7）市场监督管理方面户外公共场所无证、无照经营、违规设置户外广告</w:t>
      </w:r>
      <w:r>
        <w:rPr>
          <w:rFonts w:hint="eastAsia"/>
          <w:lang w:eastAsia="zh-CN"/>
        </w:rPr>
        <w:t>，</w:t>
      </w:r>
      <w:r>
        <w:t>违法回收贩卖药品行为法律、法规、规章规定的行政处罚权</w:t>
      </w:r>
      <w:r>
        <w:rPr>
          <w:rFonts w:hint="eastAsia"/>
          <w:lang w:eastAsia="zh-CN"/>
        </w:rPr>
        <w:t>；</w:t>
      </w:r>
    </w:p>
    <w:p>
      <w:pPr>
        <w:pStyle w:val="17"/>
      </w:pPr>
      <w:r>
        <w:t>城市管理综合行政执法部门可以实施与上述范围内法律、法规、规章规定的行政处罚权有关的行政强制措施。</w:t>
      </w:r>
    </w:p>
    <w:p>
      <w:pPr>
        <w:pStyle w:val="17"/>
      </w:pPr>
      <w:r>
        <w:t>11、完成县委、县政府交办的其他事项。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高阳县城市管理综合行政执法局（事业）</w:t>
            </w:r>
          </w:p>
        </w:tc>
        <w:tc>
          <w:tcPr>
            <w:tcW w:w="1843" w:type="dxa"/>
            <w:vAlign w:val="center"/>
          </w:tcPr>
          <w:p>
            <w:pPr>
              <w:pStyle w:val="11"/>
            </w:pPr>
            <w:r>
              <w:t>事业</w:t>
            </w:r>
          </w:p>
        </w:tc>
        <w:tc>
          <w:tcPr>
            <w:tcW w:w="2126" w:type="dxa"/>
            <w:vAlign w:val="center"/>
          </w:tcPr>
          <w:p>
            <w:pPr>
              <w:pStyle w:val="11"/>
            </w:pPr>
            <w:r>
              <w:t>副科级</w:t>
            </w:r>
          </w:p>
        </w:tc>
        <w:tc>
          <w:tcPr>
            <w:tcW w:w="3827" w:type="dxa"/>
            <w:vAlign w:val="center"/>
          </w:tcPr>
          <w:p>
            <w:pPr>
              <w:pStyle w:val="11"/>
            </w:pPr>
            <w:r>
              <w:t>财政性资金基本保证</w:t>
            </w:r>
          </w:p>
        </w:tc>
      </w:tr>
    </w:tbl>
    <w:p>
      <w:pPr>
        <w:keepNext w:val="0"/>
        <w:keepLines w:val="0"/>
        <w:pageBreakBefore w:val="0"/>
        <w:widowControl/>
        <w:kinsoku/>
        <w:wordWrap/>
        <w:overflowPunct/>
        <w:topLinePunct w:val="0"/>
        <w:autoSpaceDE/>
        <w:autoSpaceDN/>
        <w:bidi w:val="0"/>
        <w:adjustRightInd/>
        <w:snapToGrid/>
        <w:spacing w:before="10" w:after="10" w:line="600" w:lineRule="exact"/>
        <w:ind w:firstLine="641"/>
        <w:textAlignment w:val="auto"/>
        <w:outlineLvl w:val="2"/>
        <w:rPr>
          <w:rFonts w:ascii="黑体" w:hAnsi="黑体" w:eastAsia="黑体" w:cs="黑体"/>
          <w:color w:val="000000"/>
          <w:sz w:val="32"/>
        </w:rPr>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5"/>
      </w:pPr>
      <w:r>
        <w:t>1、收入说明</w:t>
      </w:r>
    </w:p>
    <w:p>
      <w:pPr>
        <w:pStyle w:val="25"/>
      </w:pPr>
      <w:r>
        <w:rPr>
          <w:rFonts w:hint="eastAsia"/>
          <w:lang w:eastAsia="zh-CN"/>
        </w:rPr>
        <w:t>反映本单位当年全部收入。</w:t>
      </w:r>
      <w:r>
        <w:t>2022年预算收入137.27万元</w:t>
      </w:r>
      <w:r>
        <w:rPr>
          <w:rFonts w:hint="eastAsia"/>
          <w:lang w:eastAsia="zh-CN"/>
        </w:rPr>
        <w:t>，</w:t>
      </w:r>
      <w:r>
        <w:t>其中：一般公共预算收入137.27万元，政府性基金收入0</w:t>
      </w:r>
      <w:r>
        <w:rPr>
          <w:rFonts w:hint="eastAsia"/>
          <w:lang w:eastAsia="zh-CN"/>
        </w:rPr>
        <w:t>万</w:t>
      </w:r>
      <w:r>
        <w:t>元，财政专户拨款收入0</w:t>
      </w:r>
      <w:r>
        <w:rPr>
          <w:rFonts w:hint="eastAsia"/>
          <w:lang w:eastAsia="zh-CN"/>
        </w:rPr>
        <w:t>万</w:t>
      </w:r>
      <w:r>
        <w:t>元，其他来源收入0</w:t>
      </w:r>
      <w:r>
        <w:rPr>
          <w:rFonts w:hint="eastAsia"/>
          <w:lang w:eastAsia="zh-CN"/>
        </w:rPr>
        <w:t>万</w:t>
      </w:r>
      <w:r>
        <w:t>元。</w:t>
      </w:r>
    </w:p>
    <w:p>
      <w:pPr>
        <w:pStyle w:val="25"/>
      </w:pPr>
      <w:r>
        <w:t>2、支出说明</w:t>
      </w:r>
    </w:p>
    <w:p>
      <w:pPr>
        <w:pStyle w:val="25"/>
      </w:pPr>
      <w:r>
        <w:rPr>
          <w:rFonts w:hint="eastAsia"/>
          <w:lang w:eastAsia="zh-CN"/>
        </w:rPr>
        <w:t>收支预算总表支出栏、基本支出表、项目支出表按经济分类和支出功能分类科目编制，反映高阳县城市管理综合行政执法局（事业）年度单位预算中支出预算的总体情况。</w:t>
      </w:r>
      <w:r>
        <w:t>2022年支出预算137.27万元。其中：基本支出137.27万元，包括人员经费125.64万元和日常公用经费11.63万元；项目支出0</w:t>
      </w:r>
      <w:r>
        <w:rPr>
          <w:rFonts w:hint="eastAsia"/>
          <w:lang w:eastAsia="zh-CN"/>
        </w:rPr>
        <w:t>万</w:t>
      </w:r>
      <w:r>
        <w:t>元。</w:t>
      </w:r>
    </w:p>
    <w:p>
      <w:pPr>
        <w:pStyle w:val="25"/>
      </w:pPr>
      <w:r>
        <w:t>3、与上年增减情况</w:t>
      </w:r>
    </w:p>
    <w:p>
      <w:pPr>
        <w:pStyle w:val="25"/>
      </w:pPr>
      <w:r>
        <w:t>2022年预算收支安排137.27万元，较2021年预算减少8828.29万元。其中：基本支出减少133.49万元，主要是</w:t>
      </w:r>
      <w:r>
        <w:rPr>
          <w:rFonts w:hint="eastAsia"/>
          <w:lang w:eastAsia="zh-CN"/>
        </w:rPr>
        <w:t>人员经费减少（</w:t>
      </w:r>
      <w:r>
        <w:rPr>
          <w:rFonts w:hint="eastAsia"/>
          <w:lang w:val="en-US" w:eastAsia="zh-CN"/>
        </w:rPr>
        <w:t>2022年不再安排精神文明奖预算</w:t>
      </w:r>
      <w:r>
        <w:rPr>
          <w:rFonts w:hint="eastAsia"/>
          <w:lang w:eastAsia="zh-CN"/>
        </w:rPr>
        <w:t>）</w:t>
      </w:r>
      <w:r>
        <w:t>；项目支出</w:t>
      </w:r>
      <w:r>
        <w:rPr>
          <w:rFonts w:hint="eastAsia"/>
          <w:lang w:eastAsia="zh-CN"/>
        </w:rPr>
        <w:t>减少</w:t>
      </w:r>
      <w:r>
        <w:rPr>
          <w:rFonts w:hint="eastAsia"/>
          <w:lang w:val="en-US" w:eastAsia="zh-CN"/>
        </w:rPr>
        <w:t>8694.8</w:t>
      </w:r>
      <w:r>
        <w:t>万元，主要是所有项目经费均安排在高阳县城市管理综合行政执法局</w:t>
      </w:r>
      <w:r>
        <w:rPr>
          <w:rFonts w:hint="eastAsia"/>
          <w:lang w:eastAsia="zh-CN"/>
        </w:rPr>
        <w:t>（</w:t>
      </w:r>
      <w:r>
        <w:t>行政），高阳县城市管理综合行政执法局</w:t>
      </w:r>
      <w:r>
        <w:rPr>
          <w:rFonts w:hint="eastAsia"/>
          <w:lang w:eastAsia="zh-CN"/>
        </w:rPr>
        <w:t>（</w:t>
      </w:r>
      <w:r>
        <w:t>事业）不再安排项目经费。</w:t>
      </w:r>
    </w:p>
    <w:p>
      <w:pPr>
        <w:keepNext w:val="0"/>
        <w:keepLines w:val="0"/>
        <w:pageBreakBefore w:val="0"/>
        <w:widowControl/>
        <w:kinsoku/>
        <w:wordWrap/>
        <w:overflowPunct/>
        <w:topLinePunct w:val="0"/>
        <w:autoSpaceDE/>
        <w:autoSpaceDN/>
        <w:bidi w:val="0"/>
        <w:adjustRightInd/>
        <w:snapToGrid/>
        <w:spacing w:before="10" w:after="10" w:line="600" w:lineRule="exact"/>
        <w:ind w:firstLine="641"/>
        <w:textAlignment w:val="auto"/>
        <w:outlineLvl w:val="2"/>
        <w:rPr>
          <w:rFonts w:ascii="黑体" w:hAnsi="黑体" w:eastAsia="黑体" w:cs="黑体"/>
          <w:color w:val="000000"/>
          <w:sz w:val="32"/>
        </w:rPr>
      </w:pPr>
      <w:r>
        <w:rPr>
          <w:rFonts w:ascii="黑体" w:hAnsi="黑体" w:eastAsia="黑体" w:cs="黑体"/>
          <w:color w:val="000000"/>
          <w:sz w:val="32"/>
        </w:rPr>
        <w:t>三、机关运行经费安排情况</w:t>
      </w:r>
    </w:p>
    <w:p>
      <w:pPr>
        <w:pStyle w:val="26"/>
      </w:pPr>
      <w:r>
        <w:t>2022年，</w:t>
      </w:r>
      <w:r>
        <w:rPr>
          <w:rFonts w:eastAsia="方正仿宋_GBK"/>
          <w:color w:val="000000"/>
          <w:sz w:val="28"/>
        </w:rPr>
        <w:t>高阳县城市管理综合行政执法局（事业）</w:t>
      </w:r>
      <w:r>
        <w:t>机关运行经费年初预算安排11.63万元，其中：办公费3.9万元、印刷费0.6万元、工会经费1.58万元、邮电费</w:t>
      </w:r>
      <w:r>
        <w:rPr>
          <w:rFonts w:hint="eastAsia"/>
          <w:lang w:val="en-US" w:eastAsia="zh-CN"/>
        </w:rPr>
        <w:t>2.37</w:t>
      </w:r>
      <w:r>
        <w:t>万元、福利费3万元、</w:t>
      </w:r>
      <w:r>
        <w:rPr>
          <w:rFonts w:hint="eastAsia"/>
          <w:lang w:eastAsia="zh-CN"/>
        </w:rPr>
        <w:t>其他商品及服务支出</w:t>
      </w:r>
      <w:r>
        <w:rPr>
          <w:rFonts w:hint="eastAsia"/>
          <w:lang w:val="en-US" w:eastAsia="zh-CN"/>
        </w:rPr>
        <w:t>0.18</w:t>
      </w:r>
      <w:r>
        <w:t>万元。</w:t>
      </w:r>
    </w:p>
    <w:p>
      <w:p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四、财政拨款“三公”经费预算情况及增减变化原因</w:t>
      </w:r>
    </w:p>
    <w:p>
      <w:pPr>
        <w:pStyle w:val="27"/>
      </w:pPr>
      <w:r>
        <w:t>2022年，</w:t>
      </w:r>
      <w:r>
        <w:rPr>
          <w:rFonts w:eastAsia="方正仿宋_GBK"/>
          <w:color w:val="000000"/>
          <w:sz w:val="28"/>
        </w:rPr>
        <w:t>高阳县城市管理综合行政执法局（事业）</w:t>
      </w:r>
      <w:r>
        <w:t>财政拨款“三公”经费预算安排0</w:t>
      </w:r>
      <w:r>
        <w:rPr>
          <w:rFonts w:hint="eastAsia"/>
          <w:lang w:eastAsia="zh-CN"/>
        </w:rPr>
        <w:t>万</w:t>
      </w:r>
      <w:r>
        <w:t>元，其中：因公出国（境）费0</w:t>
      </w:r>
      <w:r>
        <w:rPr>
          <w:rFonts w:hint="eastAsia"/>
          <w:lang w:eastAsia="zh-CN"/>
        </w:rPr>
        <w:t>万</w:t>
      </w:r>
      <w:r>
        <w:t>元；公务用车购置费为0</w:t>
      </w:r>
      <w:r>
        <w:rPr>
          <w:rFonts w:hint="eastAsia"/>
          <w:lang w:eastAsia="zh-CN"/>
        </w:rPr>
        <w:t>万</w:t>
      </w:r>
      <w:r>
        <w:t>元；公务用车运行维护费0</w:t>
      </w:r>
      <w:r>
        <w:rPr>
          <w:rFonts w:hint="eastAsia"/>
          <w:lang w:eastAsia="zh-CN"/>
        </w:rPr>
        <w:t>万</w:t>
      </w:r>
      <w:r>
        <w:t>元；公务接待支出费0</w:t>
      </w:r>
      <w:r>
        <w:rPr>
          <w:rFonts w:hint="eastAsia"/>
          <w:lang w:eastAsia="zh-CN"/>
        </w:rPr>
        <w:t>万</w:t>
      </w:r>
      <w:r>
        <w:t>元。与2021年持平，无增减变化。</w:t>
      </w:r>
    </w:p>
    <w:p>
      <w:pPr>
        <w:pStyle w:val="27"/>
      </w:pPr>
    </w:p>
    <w:p>
      <w:pPr>
        <w:spacing w:before="10" w:after="10" w:line="360" w:lineRule="auto"/>
        <w:ind w:firstLine="640"/>
        <w:outlineLvl w:val="2"/>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pPr>
        <w:pStyle w:val="27"/>
        <w:rPr>
          <w:rFonts w:hint="eastAsia"/>
          <w:lang w:eastAsia="zh-CN"/>
        </w:rPr>
      </w:pPr>
      <w:r>
        <w:rPr>
          <w:rFonts w:eastAsia="方正仿宋_GBK"/>
          <w:color w:val="000000"/>
          <w:sz w:val="28"/>
        </w:rPr>
        <w:t>高阳县城市管理综合行政执法局（事业）</w:t>
      </w:r>
      <w:r>
        <w:rPr>
          <w:rFonts w:hint="eastAsia"/>
          <w:lang w:eastAsia="zh-CN"/>
        </w:rPr>
        <w:t>无预算绩效信息。</w:t>
      </w:r>
    </w:p>
    <w:p>
      <w:pPr>
        <w:numPr>
          <w:ilvl w:val="0"/>
          <w:numId w:val="0"/>
        </w:numPr>
        <w:spacing w:before="10" w:after="10"/>
        <w:outlineLvl w:val="5"/>
        <w:rPr>
          <w:rFonts w:ascii="黑体" w:hAnsi="黑体" w:eastAsia="黑体" w:cs="黑体"/>
          <w:color w:val="000000"/>
          <w:sz w:val="32"/>
        </w:rPr>
        <w:sectPr>
          <w:pgSz w:w="16840" w:h="11900" w:orient="landscape"/>
          <w:pgMar w:top="1361" w:right="1020" w:bottom="1361" w:left="1020" w:header="720" w:footer="720" w:gutter="0"/>
          <w:pgNumType w:fmt="decimal"/>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2022年，高阳县城市管理综合行政执法局（事业）安排政府采购预算0.00万元。具体内容见下表。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4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5"/>
        <w:gridCol w:w="675"/>
        <w:gridCol w:w="810"/>
        <w:gridCol w:w="855"/>
        <w:gridCol w:w="690"/>
        <w:gridCol w:w="705"/>
        <w:gridCol w:w="405"/>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5385" w:type="dxa"/>
            <w:gridSpan w:val="7"/>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20" w:type="dxa"/>
            <w:gridSpan w:val="2"/>
            <w:vAlign w:val="center"/>
          </w:tcPr>
          <w:p>
            <w:pPr>
              <w:pStyle w:val="10"/>
            </w:pPr>
            <w:r>
              <w:t>政府采购项目来源</w:t>
            </w:r>
          </w:p>
        </w:tc>
        <w:tc>
          <w:tcPr>
            <w:tcW w:w="810" w:type="dxa"/>
            <w:vMerge w:val="restart"/>
            <w:vAlign w:val="center"/>
          </w:tcPr>
          <w:p>
            <w:pPr>
              <w:pStyle w:val="10"/>
            </w:pPr>
            <w:r>
              <w:t>采购物品名称</w:t>
            </w:r>
          </w:p>
        </w:tc>
        <w:tc>
          <w:tcPr>
            <w:tcW w:w="855" w:type="dxa"/>
            <w:vMerge w:val="restart"/>
            <w:vAlign w:val="center"/>
          </w:tcPr>
          <w:p>
            <w:pPr>
              <w:pStyle w:val="10"/>
            </w:pPr>
            <w:r>
              <w:t>政府采购目录序号</w:t>
            </w:r>
          </w:p>
        </w:tc>
        <w:tc>
          <w:tcPr>
            <w:tcW w:w="690" w:type="dxa"/>
            <w:vMerge w:val="restart"/>
            <w:vAlign w:val="center"/>
          </w:tcPr>
          <w:p>
            <w:pPr>
              <w:pStyle w:val="10"/>
            </w:pPr>
            <w:r>
              <w:t>计量  单位</w:t>
            </w:r>
          </w:p>
        </w:tc>
        <w:tc>
          <w:tcPr>
            <w:tcW w:w="705" w:type="dxa"/>
            <w:vMerge w:val="restart"/>
            <w:vAlign w:val="center"/>
          </w:tcPr>
          <w:p>
            <w:pPr>
              <w:pStyle w:val="10"/>
            </w:pPr>
            <w:r>
              <w:t>数量</w:t>
            </w:r>
          </w:p>
        </w:tc>
        <w:tc>
          <w:tcPr>
            <w:tcW w:w="405"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245" w:type="dxa"/>
            <w:vAlign w:val="center"/>
          </w:tcPr>
          <w:p>
            <w:pPr>
              <w:pStyle w:val="10"/>
            </w:pPr>
            <w:r>
              <w:t>项目名称</w:t>
            </w:r>
          </w:p>
        </w:tc>
        <w:tc>
          <w:tcPr>
            <w:tcW w:w="675" w:type="dxa"/>
            <w:vAlign w:val="center"/>
          </w:tcPr>
          <w:p>
            <w:pPr>
              <w:pStyle w:val="10"/>
            </w:pPr>
            <w:r>
              <w:t>预算    资金</w:t>
            </w:r>
          </w:p>
        </w:tc>
        <w:tc>
          <w:tcPr>
            <w:tcW w:w="810" w:type="dxa"/>
            <w:vMerge w:val="continue"/>
          </w:tcPr>
          <w:p/>
        </w:tc>
        <w:tc>
          <w:tcPr>
            <w:tcW w:w="855" w:type="dxa"/>
            <w:vMerge w:val="continue"/>
          </w:tcPr>
          <w:p/>
        </w:tc>
        <w:tc>
          <w:tcPr>
            <w:tcW w:w="690" w:type="dxa"/>
            <w:vMerge w:val="continue"/>
          </w:tcPr>
          <w:p/>
        </w:tc>
        <w:tc>
          <w:tcPr>
            <w:tcW w:w="705" w:type="dxa"/>
            <w:vMerge w:val="continue"/>
          </w:tcPr>
          <w:p/>
        </w:tc>
        <w:tc>
          <w:tcPr>
            <w:tcW w:w="405"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5" w:type="dxa"/>
            <w:vAlign w:val="center"/>
          </w:tcPr>
          <w:p>
            <w:pPr>
              <w:pStyle w:val="12"/>
            </w:pPr>
          </w:p>
        </w:tc>
        <w:tc>
          <w:tcPr>
            <w:tcW w:w="675" w:type="dxa"/>
            <w:vAlign w:val="center"/>
          </w:tcPr>
          <w:p>
            <w:pPr>
              <w:pStyle w:val="13"/>
            </w:pPr>
          </w:p>
        </w:tc>
        <w:tc>
          <w:tcPr>
            <w:tcW w:w="810" w:type="dxa"/>
            <w:vAlign w:val="center"/>
          </w:tcPr>
          <w:p>
            <w:pPr>
              <w:pStyle w:val="12"/>
            </w:pPr>
          </w:p>
        </w:tc>
        <w:tc>
          <w:tcPr>
            <w:tcW w:w="855" w:type="dxa"/>
            <w:vAlign w:val="center"/>
          </w:tcPr>
          <w:p>
            <w:pPr>
              <w:pStyle w:val="12"/>
            </w:pPr>
          </w:p>
        </w:tc>
        <w:tc>
          <w:tcPr>
            <w:tcW w:w="690" w:type="dxa"/>
            <w:vAlign w:val="center"/>
          </w:tcPr>
          <w:p>
            <w:pPr>
              <w:pStyle w:val="11"/>
            </w:pPr>
          </w:p>
        </w:tc>
        <w:tc>
          <w:tcPr>
            <w:tcW w:w="705" w:type="dxa"/>
            <w:vAlign w:val="center"/>
          </w:tcPr>
          <w:p>
            <w:pPr>
              <w:pStyle w:val="13"/>
            </w:pPr>
          </w:p>
        </w:tc>
        <w:tc>
          <w:tcPr>
            <w:tcW w:w="405"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高阳县城市管理综合行政执法局（事业）上年末固定资产金额为0.00万元（详见下表）。本年度拟购置固定资产总额为0.00万元。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79"/>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79" w:type="dxa"/>
            <w:tcBorders>
              <w:top w:val="single" w:color="FFFFFF" w:sz="6" w:space="0"/>
              <w:left w:val="single" w:color="FFFFFF" w:sz="6" w:space="0"/>
              <w:right w:val="single" w:color="FFFFFF" w:sz="6" w:space="0"/>
            </w:tcBorders>
            <w:vAlign w:val="center"/>
          </w:tcPr>
          <w:p>
            <w:pPr>
              <w:pStyle w:val="7"/>
            </w:pPr>
            <w:r>
              <w:t>335003高阳县城市管理综合行政执法局（事业）</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79"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79" w:type="dxa"/>
            <w:vAlign w:val="center"/>
          </w:tcPr>
          <w:p>
            <w:pPr>
              <w:pStyle w:val="12"/>
            </w:pPr>
          </w:p>
        </w:tc>
        <w:tc>
          <w:tcPr>
            <w:tcW w:w="2835" w:type="dxa"/>
            <w:vAlign w:val="center"/>
          </w:tcPr>
          <w:p>
            <w:pPr>
              <w:pStyle w:val="11"/>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pgNumType w:fmt="decimal"/>
          <w:cols w:space="720" w:num="1"/>
        </w:sectPr>
      </w:pPr>
      <w:r>
        <w:rPr>
          <w:rFonts w:eastAsia="方正仿宋_GBK"/>
          <w:color w:val="000000"/>
          <w:sz w:val="28"/>
        </w:rPr>
        <w:t>高阳县城市管理综合行政执法局（事业）无其他需要说明的事项。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三、高阳县城市管理综合行政执法局（自收自支）收支预算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1558.27</w:t>
            </w:r>
          </w:p>
        </w:tc>
        <w:tc>
          <w:tcPr>
            <w:tcW w:w="4535" w:type="dxa"/>
            <w:vAlign w:val="center"/>
          </w:tcPr>
          <w:p>
            <w:pPr>
              <w:pStyle w:val="12"/>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r>
              <w:t>1558.27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1558.27</w:t>
            </w:r>
          </w:p>
        </w:tc>
        <w:tc>
          <w:tcPr>
            <w:tcW w:w="4535" w:type="dxa"/>
            <w:vAlign w:val="center"/>
          </w:tcPr>
          <w:p>
            <w:pPr>
              <w:pStyle w:val="14"/>
            </w:pPr>
            <w:r>
              <w:t>本年支出合计</w:t>
            </w:r>
          </w:p>
        </w:tc>
        <w:tc>
          <w:tcPr>
            <w:tcW w:w="2126" w:type="dxa"/>
            <w:vAlign w:val="center"/>
          </w:tcPr>
          <w:p>
            <w:pPr>
              <w:pStyle w:val="15"/>
            </w:pPr>
            <w:r>
              <w:t>1558.27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1558.27</w:t>
            </w:r>
          </w:p>
        </w:tc>
        <w:tc>
          <w:tcPr>
            <w:tcW w:w="4535" w:type="dxa"/>
            <w:vAlign w:val="center"/>
          </w:tcPr>
          <w:p>
            <w:pPr>
              <w:pStyle w:val="14"/>
            </w:pPr>
            <w:r>
              <w:t>支出总计</w:t>
            </w:r>
          </w:p>
        </w:tc>
        <w:tc>
          <w:tcPr>
            <w:tcW w:w="2126" w:type="dxa"/>
            <w:vAlign w:val="center"/>
          </w:tcPr>
          <w:p>
            <w:pPr>
              <w:pStyle w:val="15"/>
            </w:pPr>
            <w:r>
              <w:t>1558.27</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1558.27</w:t>
            </w:r>
          </w:p>
        </w:tc>
        <w:tc>
          <w:tcPr>
            <w:tcW w:w="1134" w:type="dxa"/>
            <w:vAlign w:val="center"/>
          </w:tcPr>
          <w:p>
            <w:pPr>
              <w:pStyle w:val="15"/>
            </w:pPr>
            <w:r>
              <w:t>1558.27</w:t>
            </w:r>
          </w:p>
        </w:tc>
        <w:tc>
          <w:tcPr>
            <w:tcW w:w="1134" w:type="dxa"/>
            <w:vAlign w:val="center"/>
          </w:tcPr>
          <w:p>
            <w:pPr>
              <w:pStyle w:val="15"/>
            </w:pPr>
            <w:r>
              <w:t>1558.27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3"/>
            </w:pPr>
            <w:r>
              <w:t>1558.27</w:t>
            </w:r>
          </w:p>
        </w:tc>
        <w:tc>
          <w:tcPr>
            <w:tcW w:w="1134" w:type="dxa"/>
            <w:vAlign w:val="center"/>
          </w:tcPr>
          <w:p>
            <w:pPr>
              <w:pStyle w:val="13"/>
            </w:pPr>
            <w:r>
              <w:t>1558.27</w:t>
            </w:r>
          </w:p>
        </w:tc>
        <w:tc>
          <w:tcPr>
            <w:tcW w:w="1134" w:type="dxa"/>
            <w:vAlign w:val="center"/>
          </w:tcPr>
          <w:p>
            <w:pPr>
              <w:pStyle w:val="13"/>
            </w:pPr>
            <w:r>
              <w:t>1558.27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3"/>
            </w:pPr>
            <w:r>
              <w:t>1558.27</w:t>
            </w:r>
          </w:p>
        </w:tc>
        <w:tc>
          <w:tcPr>
            <w:tcW w:w="1134" w:type="dxa"/>
            <w:vAlign w:val="center"/>
          </w:tcPr>
          <w:p>
            <w:pPr>
              <w:pStyle w:val="13"/>
            </w:pPr>
            <w:r>
              <w:t>1558.27</w:t>
            </w:r>
          </w:p>
        </w:tc>
        <w:tc>
          <w:tcPr>
            <w:tcW w:w="1134" w:type="dxa"/>
            <w:vAlign w:val="center"/>
          </w:tcPr>
          <w:p>
            <w:pPr>
              <w:pStyle w:val="13"/>
            </w:pPr>
            <w:r>
              <w:t>1558.27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3"/>
            </w:pPr>
            <w:r>
              <w:t>1558.27</w:t>
            </w:r>
          </w:p>
        </w:tc>
        <w:tc>
          <w:tcPr>
            <w:tcW w:w="1134" w:type="dxa"/>
            <w:vAlign w:val="center"/>
          </w:tcPr>
          <w:p>
            <w:pPr>
              <w:pStyle w:val="13"/>
            </w:pPr>
            <w:r>
              <w:t>1558.27</w:t>
            </w:r>
          </w:p>
        </w:tc>
        <w:tc>
          <w:tcPr>
            <w:tcW w:w="1134" w:type="dxa"/>
            <w:vAlign w:val="center"/>
          </w:tcPr>
          <w:p>
            <w:pPr>
              <w:pStyle w:val="13"/>
            </w:pPr>
            <w:r>
              <w:t>1558.27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1558.27</w:t>
            </w:r>
          </w:p>
        </w:tc>
        <w:tc>
          <w:tcPr>
            <w:tcW w:w="1361" w:type="dxa"/>
            <w:vAlign w:val="center"/>
          </w:tcPr>
          <w:p>
            <w:pPr>
              <w:pStyle w:val="15"/>
            </w:pPr>
            <w:r>
              <w:t>1558.27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3"/>
            </w:pPr>
            <w:r>
              <w:t>1558.27</w:t>
            </w:r>
          </w:p>
        </w:tc>
        <w:tc>
          <w:tcPr>
            <w:tcW w:w="1361" w:type="dxa"/>
            <w:vAlign w:val="center"/>
          </w:tcPr>
          <w:p>
            <w:pPr>
              <w:pStyle w:val="13"/>
            </w:pPr>
            <w:r>
              <w:t>1558.27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3"/>
            </w:pPr>
            <w:r>
              <w:t>1558.27</w:t>
            </w:r>
          </w:p>
        </w:tc>
        <w:tc>
          <w:tcPr>
            <w:tcW w:w="1361" w:type="dxa"/>
            <w:vAlign w:val="center"/>
          </w:tcPr>
          <w:p>
            <w:pPr>
              <w:pStyle w:val="13"/>
            </w:pPr>
            <w:r>
              <w:t>1558.27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3"/>
            </w:pPr>
            <w:r>
              <w:t>1558.27</w:t>
            </w:r>
          </w:p>
        </w:tc>
        <w:tc>
          <w:tcPr>
            <w:tcW w:w="1361" w:type="dxa"/>
            <w:vAlign w:val="center"/>
          </w:tcPr>
          <w:p>
            <w:pPr>
              <w:pStyle w:val="13"/>
            </w:pPr>
            <w:r>
              <w:t>1558.27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1558.27</w:t>
            </w:r>
          </w:p>
        </w:tc>
        <w:tc>
          <w:tcPr>
            <w:tcW w:w="3402" w:type="dxa"/>
            <w:vAlign w:val="center"/>
          </w:tcPr>
          <w:p>
            <w:pPr>
              <w:pStyle w:val="12"/>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r>
              <w:t>1558.27</w:t>
            </w:r>
          </w:p>
        </w:tc>
        <w:tc>
          <w:tcPr>
            <w:tcW w:w="1474" w:type="dxa"/>
            <w:vAlign w:val="center"/>
          </w:tcPr>
          <w:p>
            <w:pPr>
              <w:pStyle w:val="13"/>
            </w:pPr>
            <w:r>
              <w:t>1558.27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1558.27</w:t>
            </w:r>
          </w:p>
        </w:tc>
        <w:tc>
          <w:tcPr>
            <w:tcW w:w="3402" w:type="dxa"/>
            <w:vAlign w:val="center"/>
          </w:tcPr>
          <w:p>
            <w:pPr>
              <w:pStyle w:val="14"/>
            </w:pPr>
            <w:r>
              <w:t>本年支出合计</w:t>
            </w:r>
          </w:p>
        </w:tc>
        <w:tc>
          <w:tcPr>
            <w:tcW w:w="1474" w:type="dxa"/>
            <w:vAlign w:val="center"/>
          </w:tcPr>
          <w:p>
            <w:pPr>
              <w:pStyle w:val="15"/>
            </w:pPr>
            <w:r>
              <w:t>1558.27</w:t>
            </w:r>
          </w:p>
        </w:tc>
        <w:tc>
          <w:tcPr>
            <w:tcW w:w="1474" w:type="dxa"/>
            <w:vAlign w:val="center"/>
          </w:tcPr>
          <w:p>
            <w:pPr>
              <w:pStyle w:val="15"/>
            </w:pPr>
            <w:r>
              <w:t>1558.27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1558.27</w:t>
            </w:r>
          </w:p>
        </w:tc>
        <w:tc>
          <w:tcPr>
            <w:tcW w:w="3402" w:type="dxa"/>
            <w:vAlign w:val="center"/>
          </w:tcPr>
          <w:p>
            <w:pPr>
              <w:pStyle w:val="14"/>
            </w:pPr>
            <w:r>
              <w:t>支出总计</w:t>
            </w:r>
          </w:p>
        </w:tc>
        <w:tc>
          <w:tcPr>
            <w:tcW w:w="1474" w:type="dxa"/>
            <w:vAlign w:val="center"/>
          </w:tcPr>
          <w:p>
            <w:pPr>
              <w:pStyle w:val="15"/>
            </w:pPr>
            <w:r>
              <w:t>1558.27</w:t>
            </w:r>
          </w:p>
        </w:tc>
        <w:tc>
          <w:tcPr>
            <w:tcW w:w="1474" w:type="dxa"/>
            <w:vAlign w:val="center"/>
          </w:tcPr>
          <w:p>
            <w:pPr>
              <w:pStyle w:val="15"/>
            </w:pPr>
            <w:r>
              <w:t>1558.27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1558.27</w:t>
            </w:r>
          </w:p>
        </w:tc>
        <w:tc>
          <w:tcPr>
            <w:tcW w:w="2551" w:type="dxa"/>
            <w:vAlign w:val="center"/>
          </w:tcPr>
          <w:p>
            <w:pPr>
              <w:pStyle w:val="15"/>
            </w:pPr>
            <w:r>
              <w:t>1558.27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3"/>
            </w:pPr>
            <w:r>
              <w:t>1558.27</w:t>
            </w:r>
          </w:p>
        </w:tc>
        <w:tc>
          <w:tcPr>
            <w:tcW w:w="2551" w:type="dxa"/>
            <w:vAlign w:val="center"/>
          </w:tcPr>
          <w:p>
            <w:pPr>
              <w:pStyle w:val="13"/>
            </w:pPr>
            <w:r>
              <w:t>1558.27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3"/>
            </w:pPr>
            <w:r>
              <w:t>1558.27</w:t>
            </w:r>
          </w:p>
        </w:tc>
        <w:tc>
          <w:tcPr>
            <w:tcW w:w="2551" w:type="dxa"/>
            <w:vAlign w:val="center"/>
          </w:tcPr>
          <w:p>
            <w:pPr>
              <w:pStyle w:val="13"/>
            </w:pPr>
            <w:r>
              <w:t>1558.27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3"/>
            </w:pPr>
            <w:r>
              <w:t>1558.27</w:t>
            </w:r>
          </w:p>
        </w:tc>
        <w:tc>
          <w:tcPr>
            <w:tcW w:w="2551" w:type="dxa"/>
            <w:vAlign w:val="center"/>
          </w:tcPr>
          <w:p>
            <w:pPr>
              <w:pStyle w:val="13"/>
            </w:pPr>
            <w:r>
              <w:t>1558.27</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1558.27</w:t>
            </w:r>
          </w:p>
        </w:tc>
        <w:tc>
          <w:tcPr>
            <w:tcW w:w="2551" w:type="dxa"/>
            <w:vAlign w:val="center"/>
          </w:tcPr>
          <w:p>
            <w:pPr>
              <w:pStyle w:val="15"/>
            </w:pPr>
            <w:r>
              <w:t>1390.46</w:t>
            </w:r>
          </w:p>
        </w:tc>
        <w:tc>
          <w:tcPr>
            <w:tcW w:w="2551" w:type="dxa"/>
            <w:vAlign w:val="center"/>
          </w:tcPr>
          <w:p>
            <w:pPr>
              <w:pStyle w:val="15"/>
            </w:pPr>
            <w:r>
              <w:t>167.81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1390.46</w:t>
            </w:r>
          </w:p>
        </w:tc>
        <w:tc>
          <w:tcPr>
            <w:tcW w:w="2551" w:type="dxa"/>
            <w:vAlign w:val="center"/>
          </w:tcPr>
          <w:p>
            <w:pPr>
              <w:pStyle w:val="13"/>
            </w:pPr>
            <w:r>
              <w:t>1390.46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345.00</w:t>
            </w:r>
          </w:p>
        </w:tc>
        <w:tc>
          <w:tcPr>
            <w:tcW w:w="2551" w:type="dxa"/>
            <w:vAlign w:val="center"/>
          </w:tcPr>
          <w:p>
            <w:pPr>
              <w:pStyle w:val="13"/>
            </w:pPr>
            <w:r>
              <w:t>345.00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44.70</w:t>
            </w:r>
          </w:p>
        </w:tc>
        <w:tc>
          <w:tcPr>
            <w:tcW w:w="2551" w:type="dxa"/>
            <w:vAlign w:val="center"/>
          </w:tcPr>
          <w:p>
            <w:pPr>
              <w:pStyle w:val="13"/>
            </w:pPr>
            <w:r>
              <w:t>44.70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1.00</w:t>
            </w:r>
          </w:p>
        </w:tc>
        <w:tc>
          <w:tcPr>
            <w:tcW w:w="2551" w:type="dxa"/>
            <w:vAlign w:val="center"/>
          </w:tcPr>
          <w:p>
            <w:pPr>
              <w:pStyle w:val="13"/>
            </w:pPr>
            <w:r>
              <w:t>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3"/>
            </w:pPr>
            <w:r>
              <w:t>212.19</w:t>
            </w:r>
          </w:p>
        </w:tc>
        <w:tc>
          <w:tcPr>
            <w:tcW w:w="2551" w:type="dxa"/>
            <w:vAlign w:val="center"/>
          </w:tcPr>
          <w:p>
            <w:pPr>
              <w:pStyle w:val="13"/>
            </w:pPr>
            <w:r>
              <w:t>212.19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91.66</w:t>
            </w:r>
          </w:p>
        </w:tc>
        <w:tc>
          <w:tcPr>
            <w:tcW w:w="2551" w:type="dxa"/>
            <w:vAlign w:val="center"/>
          </w:tcPr>
          <w:p>
            <w:pPr>
              <w:pStyle w:val="13"/>
            </w:pPr>
            <w:r>
              <w:t>91.66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3"/>
            </w:pPr>
            <w:r>
              <w:t>45.83</w:t>
            </w:r>
          </w:p>
        </w:tc>
        <w:tc>
          <w:tcPr>
            <w:tcW w:w="2551" w:type="dxa"/>
            <w:vAlign w:val="center"/>
          </w:tcPr>
          <w:p>
            <w:pPr>
              <w:pStyle w:val="13"/>
            </w:pPr>
            <w:r>
              <w:t>45.83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3"/>
            </w:pPr>
            <w:r>
              <w:t>36.50</w:t>
            </w:r>
          </w:p>
        </w:tc>
        <w:tc>
          <w:tcPr>
            <w:tcW w:w="2551" w:type="dxa"/>
            <w:vAlign w:val="center"/>
          </w:tcPr>
          <w:p>
            <w:pPr>
              <w:pStyle w:val="13"/>
            </w:pPr>
            <w:r>
              <w:t>36.50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7.45</w:t>
            </w:r>
          </w:p>
        </w:tc>
        <w:tc>
          <w:tcPr>
            <w:tcW w:w="2551" w:type="dxa"/>
            <w:vAlign w:val="center"/>
          </w:tcPr>
          <w:p>
            <w:pPr>
              <w:pStyle w:val="13"/>
            </w:pPr>
            <w:r>
              <w:t>7.45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56.84</w:t>
            </w:r>
          </w:p>
        </w:tc>
        <w:tc>
          <w:tcPr>
            <w:tcW w:w="2551" w:type="dxa"/>
            <w:vAlign w:val="center"/>
          </w:tcPr>
          <w:p>
            <w:pPr>
              <w:pStyle w:val="13"/>
            </w:pPr>
            <w:r>
              <w:t>56.84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3"/>
            </w:pPr>
            <w:r>
              <w:t>549.29</w:t>
            </w:r>
          </w:p>
        </w:tc>
        <w:tc>
          <w:tcPr>
            <w:tcW w:w="2551" w:type="dxa"/>
            <w:vAlign w:val="center"/>
          </w:tcPr>
          <w:p>
            <w:pPr>
              <w:pStyle w:val="13"/>
            </w:pPr>
            <w:r>
              <w:t>549.29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161.81</w:t>
            </w:r>
          </w:p>
        </w:tc>
        <w:tc>
          <w:tcPr>
            <w:tcW w:w="2551" w:type="dxa"/>
            <w:vAlign w:val="center"/>
          </w:tcPr>
          <w:p>
            <w:pPr>
              <w:pStyle w:val="13"/>
            </w:pPr>
          </w:p>
        </w:tc>
        <w:tc>
          <w:tcPr>
            <w:tcW w:w="2551" w:type="dxa"/>
            <w:vAlign w:val="center"/>
          </w:tcPr>
          <w:p>
            <w:pPr>
              <w:pStyle w:val="13"/>
            </w:pPr>
            <w:r>
              <w:t>161.81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30203</w:t>
            </w:r>
          </w:p>
        </w:tc>
        <w:tc>
          <w:tcPr>
            <w:tcW w:w="4535" w:type="dxa"/>
            <w:vAlign w:val="center"/>
          </w:tcPr>
          <w:p>
            <w:pPr>
              <w:pStyle w:val="12"/>
            </w:pPr>
            <w:r>
              <w:t>咨询费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32.10</w:t>
            </w:r>
          </w:p>
        </w:tc>
        <w:tc>
          <w:tcPr>
            <w:tcW w:w="2551" w:type="dxa"/>
            <w:vAlign w:val="center"/>
          </w:tcPr>
          <w:p>
            <w:pPr>
              <w:pStyle w:val="13"/>
            </w:pPr>
          </w:p>
        </w:tc>
        <w:tc>
          <w:tcPr>
            <w:tcW w:w="2551" w:type="dxa"/>
            <w:vAlign w:val="center"/>
          </w:tcPr>
          <w:p>
            <w:pPr>
              <w:pStyle w:val="13"/>
            </w:pPr>
            <w:r>
              <w:t>32.10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3"/>
            </w:pPr>
            <w:r>
              <w:t>10.50</w:t>
            </w:r>
          </w:p>
        </w:tc>
        <w:tc>
          <w:tcPr>
            <w:tcW w:w="2551" w:type="dxa"/>
            <w:vAlign w:val="center"/>
          </w:tcPr>
          <w:p>
            <w:pPr>
              <w:pStyle w:val="13"/>
            </w:pPr>
          </w:p>
        </w:tc>
        <w:tc>
          <w:tcPr>
            <w:tcW w:w="2551" w:type="dxa"/>
            <w:vAlign w:val="center"/>
          </w:tcPr>
          <w:p>
            <w:pPr>
              <w:pStyle w:val="13"/>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3"/>
            </w:pPr>
            <w:r>
              <w:t>22.00</w:t>
            </w:r>
          </w:p>
        </w:tc>
        <w:tc>
          <w:tcPr>
            <w:tcW w:w="2551" w:type="dxa"/>
            <w:vAlign w:val="center"/>
          </w:tcPr>
          <w:p>
            <w:pPr>
              <w:pStyle w:val="13"/>
            </w:pP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3"/>
            </w:pPr>
            <w:r>
              <w:t>1.30</w:t>
            </w:r>
          </w:p>
        </w:tc>
        <w:tc>
          <w:tcPr>
            <w:tcW w:w="2551" w:type="dxa"/>
            <w:vAlign w:val="center"/>
          </w:tcPr>
          <w:p>
            <w:pPr>
              <w:pStyle w:val="13"/>
            </w:pPr>
          </w:p>
        </w:tc>
        <w:tc>
          <w:tcPr>
            <w:tcW w:w="2551"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3"/>
            </w:pPr>
            <w:r>
              <w:t>3.38</w:t>
            </w:r>
          </w:p>
        </w:tc>
        <w:tc>
          <w:tcPr>
            <w:tcW w:w="2551" w:type="dxa"/>
            <w:vAlign w:val="center"/>
          </w:tcPr>
          <w:p>
            <w:pPr>
              <w:pStyle w:val="13"/>
            </w:pPr>
          </w:p>
        </w:tc>
        <w:tc>
          <w:tcPr>
            <w:tcW w:w="2551" w:type="dxa"/>
            <w:vAlign w:val="center"/>
          </w:tcPr>
          <w:p>
            <w:pPr>
              <w:pStyle w:val="13"/>
            </w:pPr>
            <w: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3"/>
            </w:pPr>
            <w:r>
              <w:t>22.00</w:t>
            </w:r>
          </w:p>
        </w:tc>
        <w:tc>
          <w:tcPr>
            <w:tcW w:w="2551" w:type="dxa"/>
            <w:vAlign w:val="center"/>
          </w:tcPr>
          <w:p>
            <w:pPr>
              <w:pStyle w:val="13"/>
            </w:pP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3"/>
            </w:pPr>
            <w:r>
              <w:t>11.05</w:t>
            </w:r>
          </w:p>
        </w:tc>
        <w:tc>
          <w:tcPr>
            <w:tcW w:w="2551" w:type="dxa"/>
            <w:vAlign w:val="center"/>
          </w:tcPr>
          <w:p>
            <w:pPr>
              <w:pStyle w:val="13"/>
            </w:pPr>
          </w:p>
        </w:tc>
        <w:tc>
          <w:tcPr>
            <w:tcW w:w="2551" w:type="dxa"/>
            <w:vAlign w:val="center"/>
          </w:tcPr>
          <w:p>
            <w:pPr>
              <w:pStyle w:val="13"/>
            </w:pPr>
            <w:r>
              <w:t>11.05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3"/>
            </w:pPr>
            <w:r>
              <w:t>1.38</w:t>
            </w:r>
          </w:p>
        </w:tc>
        <w:tc>
          <w:tcPr>
            <w:tcW w:w="2551" w:type="dxa"/>
            <w:vAlign w:val="center"/>
          </w:tcPr>
          <w:p>
            <w:pPr>
              <w:pStyle w:val="13"/>
            </w:pPr>
          </w:p>
        </w:tc>
        <w:tc>
          <w:tcPr>
            <w:tcW w:w="2551" w:type="dxa"/>
            <w:vAlign w:val="center"/>
          </w:tcPr>
          <w:p>
            <w:pPr>
              <w:pStyle w:val="13"/>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4"/>
            </w:pPr>
            <w:r>
              <w:t>合计</w:t>
            </w:r>
          </w:p>
        </w:tc>
        <w:tc>
          <w:tcPr>
            <w:tcW w:w="2382" w:type="dxa"/>
            <w:vAlign w:val="center"/>
          </w:tcPr>
          <w:p>
            <w:pPr>
              <w:pStyle w:val="15"/>
            </w:pPr>
            <w:r>
              <w:t>12.35</w:t>
            </w:r>
          </w:p>
        </w:tc>
        <w:tc>
          <w:tcPr>
            <w:tcW w:w="2381" w:type="dxa"/>
            <w:vAlign w:val="center"/>
          </w:tcPr>
          <w:p>
            <w:pPr>
              <w:pStyle w:val="15"/>
            </w:pPr>
            <w:r>
              <w:t>12.35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lang w:val="en-US" w:eastAsia="zh-CN"/>
              </w:rPr>
            </w:pPr>
            <w:r>
              <w:rPr>
                <w:rFonts w:hint="eastAsia"/>
                <w:lang w:val="en-US" w:eastAsia="zh-CN"/>
              </w:rPr>
              <w:t>2</w:t>
            </w:r>
          </w:p>
        </w:tc>
        <w:tc>
          <w:tcPr>
            <w:tcW w:w="3798" w:type="dxa"/>
            <w:vAlign w:val="center"/>
          </w:tcPr>
          <w:p>
            <w:pPr>
              <w:pStyle w:val="12"/>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3</w:t>
            </w:r>
          </w:p>
        </w:tc>
        <w:tc>
          <w:tcPr>
            <w:tcW w:w="3798" w:type="dxa"/>
            <w:vAlign w:val="center"/>
          </w:tcPr>
          <w:p>
            <w:pPr>
              <w:pStyle w:val="12"/>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4</w:t>
            </w:r>
          </w:p>
        </w:tc>
        <w:tc>
          <w:tcPr>
            <w:tcW w:w="3798" w:type="dxa"/>
            <w:vAlign w:val="center"/>
          </w:tcPr>
          <w:p>
            <w:pPr>
              <w:pStyle w:val="12"/>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5</w:t>
            </w:r>
          </w:p>
        </w:tc>
        <w:tc>
          <w:tcPr>
            <w:tcW w:w="3798" w:type="dxa"/>
            <w:vAlign w:val="center"/>
          </w:tcPr>
          <w:p>
            <w:pPr>
              <w:pStyle w:val="12"/>
            </w:pPr>
            <w:r>
              <w:t>二、公务用车购置及运维费</w:t>
            </w:r>
          </w:p>
        </w:tc>
        <w:tc>
          <w:tcPr>
            <w:tcW w:w="2382" w:type="dxa"/>
            <w:vAlign w:val="center"/>
          </w:tcPr>
          <w:p>
            <w:pPr>
              <w:pStyle w:val="13"/>
            </w:pPr>
            <w:r>
              <w:t>11.05</w:t>
            </w:r>
          </w:p>
        </w:tc>
        <w:tc>
          <w:tcPr>
            <w:tcW w:w="2381" w:type="dxa"/>
            <w:vAlign w:val="center"/>
          </w:tcPr>
          <w:p>
            <w:pPr>
              <w:pStyle w:val="13"/>
            </w:pPr>
            <w:r>
              <w:t>11.05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6</w:t>
            </w:r>
          </w:p>
        </w:tc>
        <w:tc>
          <w:tcPr>
            <w:tcW w:w="3798" w:type="dxa"/>
            <w:vAlign w:val="center"/>
          </w:tcPr>
          <w:p>
            <w:pPr>
              <w:pStyle w:val="12"/>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7</w:t>
            </w:r>
          </w:p>
        </w:tc>
        <w:tc>
          <w:tcPr>
            <w:tcW w:w="3798" w:type="dxa"/>
            <w:vAlign w:val="center"/>
          </w:tcPr>
          <w:p>
            <w:pPr>
              <w:pStyle w:val="12"/>
            </w:pPr>
            <w:r>
              <w:t xml:space="preserve">          公务用车运行维护费</w:t>
            </w:r>
          </w:p>
        </w:tc>
        <w:tc>
          <w:tcPr>
            <w:tcW w:w="2382" w:type="dxa"/>
            <w:vAlign w:val="center"/>
          </w:tcPr>
          <w:p>
            <w:pPr>
              <w:pStyle w:val="13"/>
            </w:pPr>
            <w:r>
              <w:t>11.05</w:t>
            </w:r>
          </w:p>
        </w:tc>
        <w:tc>
          <w:tcPr>
            <w:tcW w:w="2381" w:type="dxa"/>
            <w:vAlign w:val="center"/>
          </w:tcPr>
          <w:p>
            <w:pPr>
              <w:pStyle w:val="13"/>
            </w:pPr>
            <w:r>
              <w:t>11.05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方正书宋_GBK"/>
                <w:lang w:eastAsia="zh-CN"/>
              </w:rPr>
            </w:pPr>
            <w:r>
              <w:rPr>
                <w:rFonts w:hint="eastAsia"/>
                <w:lang w:val="en-US" w:eastAsia="zh-CN"/>
              </w:rPr>
              <w:t>8</w:t>
            </w:r>
          </w:p>
        </w:tc>
        <w:tc>
          <w:tcPr>
            <w:tcW w:w="3798" w:type="dxa"/>
            <w:vAlign w:val="center"/>
          </w:tcPr>
          <w:p>
            <w:pPr>
              <w:pStyle w:val="12"/>
            </w:pPr>
            <w:r>
              <w:t>三、公务接待费</w:t>
            </w:r>
          </w:p>
        </w:tc>
        <w:tc>
          <w:tcPr>
            <w:tcW w:w="2382" w:type="dxa"/>
            <w:vAlign w:val="center"/>
          </w:tcPr>
          <w:p>
            <w:pPr>
              <w:pStyle w:val="13"/>
            </w:pPr>
            <w:r>
              <w:t>1.30</w:t>
            </w:r>
          </w:p>
        </w:tc>
        <w:tc>
          <w:tcPr>
            <w:tcW w:w="2381" w:type="dxa"/>
            <w:vAlign w:val="center"/>
          </w:tcPr>
          <w:p>
            <w:pPr>
              <w:pStyle w:val="13"/>
            </w:pPr>
            <w:r>
              <w:t>1.30</w:t>
            </w: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44"/>
        </w:rPr>
        <w:t>高阳县城市管理综合行政执法局（自收自支）2022年单位预算信息公开情况说明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、《地方预决算公开操作规程》和《关于进一步推进预算公开工作的实施意见》规定，现将高阳县城市管理综合行政执法局（自收自支）2022年单位预算公开如下：</w:t>
      </w:r>
    </w:p>
    <w:p>
      <w:p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一、单位职责及机构设置情况</w:t>
      </w:r>
    </w:p>
    <w:p>
      <w:pPr>
        <w:pStyle w:val="28"/>
      </w:pPr>
      <w:r>
        <w:rPr>
          <w:rFonts w:ascii="黑体" w:hAnsi="黑体" w:eastAsia="黑体" w:cs="黑体"/>
          <w:color w:val="000000"/>
          <w:sz w:val="32"/>
        </w:rPr>
        <w:t>单位职责：</w:t>
      </w:r>
      <w:bookmarkStart w:id="3" w:name="_GoBack"/>
      <w:bookmarkEnd w:id="3"/>
    </w:p>
    <w:p>
      <w:pPr>
        <w:pStyle w:val="28"/>
      </w:pPr>
      <w:r>
        <w:t>1、宣传贯彻省、市、县有关城市管理方面的政策和法规</w:t>
      </w:r>
      <w:r>
        <w:rPr>
          <w:rFonts w:hint="eastAsia"/>
          <w:lang w:eastAsia="zh-CN"/>
        </w:rPr>
        <w:t>；</w:t>
      </w:r>
      <w:r>
        <w:t>拟定和实施城市管理方面的有关规定。</w:t>
      </w:r>
    </w:p>
    <w:p>
      <w:pPr>
        <w:pStyle w:val="17"/>
      </w:pPr>
      <w:r>
        <w:t>2、负责编制城市管理发展战略</w:t>
      </w:r>
      <w:r>
        <w:rPr>
          <w:rFonts w:hint="eastAsia"/>
          <w:lang w:eastAsia="zh-CN"/>
        </w:rPr>
        <w:t>，</w:t>
      </w:r>
      <w:r>
        <w:t>中长期发展规划和年度计划</w:t>
      </w:r>
      <w:r>
        <w:rPr>
          <w:rFonts w:hint="eastAsia"/>
          <w:lang w:eastAsia="zh-CN"/>
        </w:rPr>
        <w:t>，</w:t>
      </w:r>
      <w:r>
        <w:t>推进数字城管智慧化。并会同自然资源和规划局编制实施市容景观、环境卫生、城市绿化等各项专业规划。</w:t>
      </w:r>
    </w:p>
    <w:p>
      <w:pPr>
        <w:pStyle w:val="17"/>
      </w:pPr>
      <w:r>
        <w:t>3、负责城区城市容貌和环境卫生管理、参与城区环境卫生设施的规划及环卫设施的竣工验收</w:t>
      </w:r>
      <w:r>
        <w:rPr>
          <w:rFonts w:hint="eastAsia"/>
          <w:lang w:eastAsia="zh-CN"/>
        </w:rPr>
        <w:t>；</w:t>
      </w:r>
      <w:r>
        <w:t>负责城区环境卫生设施、设备、经费的管理</w:t>
      </w:r>
      <w:r>
        <w:rPr>
          <w:rFonts w:hint="eastAsia"/>
          <w:lang w:eastAsia="zh-CN"/>
        </w:rPr>
        <w:t>，</w:t>
      </w:r>
      <w:r>
        <w:t>道路清融雪等工作</w:t>
      </w:r>
      <w:r>
        <w:rPr>
          <w:rFonts w:hint="eastAsia"/>
          <w:lang w:eastAsia="zh-CN"/>
        </w:rPr>
        <w:t>；</w:t>
      </w:r>
      <w:r>
        <w:t>负责对环境卫生方面新技术的研究推广工作。负责制定城市容貌标准</w:t>
      </w:r>
      <w:r>
        <w:rPr>
          <w:rFonts w:hint="eastAsia"/>
          <w:lang w:eastAsia="zh-CN"/>
        </w:rPr>
        <w:t>，</w:t>
      </w:r>
      <w:r>
        <w:t>并监督执行。组织实施市容整治和门前“三包”</w:t>
      </w:r>
      <w:r>
        <w:rPr>
          <w:rFonts w:hint="eastAsia"/>
          <w:lang w:eastAsia="zh-CN"/>
        </w:rPr>
        <w:t>；</w:t>
      </w:r>
      <w:r>
        <w:t>组织开展街道、住宅小区环境的考核评比工作。</w:t>
      </w:r>
    </w:p>
    <w:p>
      <w:pPr>
        <w:pStyle w:val="17"/>
      </w:pPr>
      <w:r>
        <w:t>4、负责建成区内垃圾处理等方面的工作。指导建制镇生活垃圾及农村生活垃圾收运处置体系建设</w:t>
      </w:r>
      <w:r>
        <w:rPr>
          <w:rFonts w:hint="eastAsia"/>
          <w:lang w:eastAsia="zh-CN"/>
        </w:rPr>
        <w:t>；</w:t>
      </w:r>
      <w:r>
        <w:t>指导各乡镇环卫工作的开展。</w:t>
      </w:r>
    </w:p>
    <w:p>
      <w:pPr>
        <w:pStyle w:val="17"/>
      </w:pPr>
      <w:r>
        <w:t>5、负责城区公共空间秩序管理方面的户外广告设置</w:t>
      </w:r>
      <w:r>
        <w:rPr>
          <w:rFonts w:hint="eastAsia"/>
          <w:lang w:eastAsia="zh-CN"/>
        </w:rPr>
        <w:t>，</w:t>
      </w:r>
      <w:r>
        <w:t>门头牌匾、建筑外立面装修、“街道家具”等管理工作。</w:t>
      </w:r>
    </w:p>
    <w:p>
      <w:pPr>
        <w:pStyle w:val="17"/>
      </w:pPr>
      <w:r>
        <w:t>6、负责城市交通管理方面的便道车辆停放管理工作。</w:t>
      </w:r>
    </w:p>
    <w:p>
      <w:pPr>
        <w:pStyle w:val="17"/>
      </w:pPr>
      <w:r>
        <w:t>7、负责城市管理相关业务安全管理工作。</w:t>
      </w:r>
    </w:p>
    <w:p>
      <w:pPr>
        <w:pStyle w:val="17"/>
      </w:pPr>
      <w:r>
        <w:t>8、负责城市环境保护管理方面的道路扬尘、露天烧烤整治工作。</w:t>
      </w:r>
    </w:p>
    <w:p>
      <w:pPr>
        <w:pStyle w:val="17"/>
      </w:pPr>
      <w:r>
        <w:t>9、负责城市园林绿化管理等方面的全部工作。</w:t>
      </w:r>
    </w:p>
    <w:p>
      <w:pPr>
        <w:pStyle w:val="17"/>
      </w:pPr>
      <w:r>
        <w:t>10、集中行使与群众生产生活密切相关、执法频率高、多头执法扰民问题突出、专业技术要求适宜、与城市管理密切相关的行政处罚权</w:t>
      </w:r>
      <w:r>
        <w:rPr>
          <w:rFonts w:hint="eastAsia"/>
          <w:lang w:eastAsia="zh-CN"/>
        </w:rPr>
        <w:t>，</w:t>
      </w:r>
      <w:r>
        <w:t>具体包括:</w:t>
      </w:r>
    </w:p>
    <w:p>
      <w:pPr>
        <w:pStyle w:val="17"/>
        <w:rPr>
          <w:rFonts w:hint="eastAsia" w:eastAsia="方正仿宋_GBK"/>
          <w:lang w:eastAsia="zh-CN"/>
        </w:rPr>
      </w:pPr>
      <w:r>
        <w:t>（1）市容环境卫生管理方面法律、法规、规章规定的行政处罚权</w:t>
      </w:r>
      <w:r>
        <w:rPr>
          <w:rFonts w:hint="eastAsia"/>
          <w:lang w:eastAsia="zh-CN"/>
        </w:rPr>
        <w:t>；</w:t>
      </w:r>
    </w:p>
    <w:p>
      <w:pPr>
        <w:pStyle w:val="17"/>
        <w:rPr>
          <w:rFonts w:hint="eastAsia" w:eastAsia="方正仿宋_GBK"/>
          <w:lang w:eastAsia="zh-CN"/>
        </w:rPr>
      </w:pPr>
      <w:r>
        <w:t>（2）城市绿化管理方面法律、法规、规章规定的行政处罚权</w:t>
      </w:r>
      <w:r>
        <w:rPr>
          <w:rFonts w:hint="eastAsia"/>
          <w:lang w:eastAsia="zh-CN"/>
        </w:rPr>
        <w:t>；</w:t>
      </w:r>
    </w:p>
    <w:p>
      <w:pPr>
        <w:pStyle w:val="17"/>
        <w:rPr>
          <w:rFonts w:hint="eastAsia" w:eastAsia="方正仿宋_GBK"/>
          <w:lang w:eastAsia="zh-CN"/>
        </w:rPr>
      </w:pPr>
      <w:r>
        <w:t>（3）城市规划管理方面在规划区内未取得建设工程规划许可证进行建设的、已取得建设工程规划许可证未按规划进行建设的行政处罚权</w:t>
      </w:r>
      <w:r>
        <w:rPr>
          <w:rFonts w:hint="eastAsia"/>
          <w:lang w:eastAsia="zh-CN"/>
        </w:rPr>
        <w:t>；</w:t>
      </w:r>
    </w:p>
    <w:p>
      <w:pPr>
        <w:pStyle w:val="17"/>
      </w:pPr>
      <w:r>
        <w:t>（4）公安交通管理方面在人行道、广场等公共场所内违反机动车停放、临时停车规定行为法律、法规、规章规定的行政处罚权；</w:t>
      </w:r>
    </w:p>
    <w:p>
      <w:pPr>
        <w:pStyle w:val="17"/>
        <w:rPr>
          <w:rFonts w:hint="eastAsia" w:eastAsia="方正仿宋_GBK"/>
          <w:lang w:eastAsia="zh-CN"/>
        </w:rPr>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r>
        <w:rPr>
          <w:rFonts w:hint="eastAsia"/>
          <w:lang w:eastAsia="zh-CN"/>
        </w:rPr>
        <w:t>；</w:t>
      </w:r>
    </w:p>
    <w:p>
      <w:pPr>
        <w:pStyle w:val="17"/>
        <w:rPr>
          <w:rFonts w:hint="eastAsia" w:eastAsia="方正仿宋_GBK"/>
          <w:lang w:eastAsia="zh-CN"/>
        </w:rPr>
      </w:pPr>
      <w:r>
        <w:t>（6）水务管理方面向城市河道倾倒废弃物和垃圾、城市河道违法建筑物拆除、违法取土的法律、法规、规章规定的行政处罚权</w:t>
      </w:r>
      <w:r>
        <w:rPr>
          <w:rFonts w:hint="eastAsia"/>
          <w:lang w:eastAsia="zh-CN"/>
        </w:rPr>
        <w:t>；</w:t>
      </w:r>
    </w:p>
    <w:p>
      <w:pPr>
        <w:pStyle w:val="17"/>
        <w:rPr>
          <w:rFonts w:hint="eastAsia" w:eastAsia="方正仿宋_GBK"/>
          <w:lang w:eastAsia="zh-CN"/>
        </w:rPr>
      </w:pPr>
      <w:r>
        <w:t>（7）市场监督管理方面户外公共场所无证、无照经营、违规设置户外广告</w:t>
      </w:r>
      <w:r>
        <w:rPr>
          <w:rFonts w:hint="eastAsia"/>
          <w:lang w:eastAsia="zh-CN"/>
        </w:rPr>
        <w:t>，</w:t>
      </w:r>
      <w:r>
        <w:t>违法回收贩卖药品行为法律、法规、规章规定的行政处罚权</w:t>
      </w:r>
      <w:r>
        <w:rPr>
          <w:rFonts w:hint="eastAsia"/>
          <w:lang w:eastAsia="zh-CN"/>
        </w:rPr>
        <w:t>；</w:t>
      </w:r>
    </w:p>
    <w:p>
      <w:pPr>
        <w:pStyle w:val="17"/>
      </w:pPr>
      <w:r>
        <w:t>城市管理综合行政执法部门可以实施与上述范围内法律、法规、规章规定的行政处罚权有关的行政强制措施。</w:t>
      </w:r>
    </w:p>
    <w:p>
      <w:pPr>
        <w:pStyle w:val="17"/>
      </w:pPr>
      <w:r>
        <w:t>11、完成县委、县政府交办的其他事项。</w:t>
      </w:r>
    </w:p>
    <w:p>
      <w:pPr>
        <w:keepNext w:val="0"/>
        <w:keepLines w:val="0"/>
        <w:pageBreakBefore w:val="0"/>
        <w:widowControl/>
        <w:kinsoku/>
        <w:wordWrap/>
        <w:overflowPunct/>
        <w:topLinePunct w:val="0"/>
        <w:autoSpaceDE/>
        <w:autoSpaceDN/>
        <w:bidi w:val="0"/>
        <w:adjustRightInd/>
        <w:snapToGrid/>
        <w:spacing w:line="600" w:lineRule="exact"/>
        <w:ind w:firstLine="641"/>
        <w:textAlignment w:val="auto"/>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高阳县城市管理综合行政执法局（自收自支）</w:t>
            </w:r>
          </w:p>
        </w:tc>
        <w:tc>
          <w:tcPr>
            <w:tcW w:w="1843" w:type="dxa"/>
            <w:vAlign w:val="center"/>
          </w:tcPr>
          <w:p>
            <w:pPr>
              <w:pStyle w:val="11"/>
            </w:pPr>
            <w:r>
              <w:t>事业</w:t>
            </w:r>
          </w:p>
        </w:tc>
        <w:tc>
          <w:tcPr>
            <w:tcW w:w="2126" w:type="dxa"/>
            <w:vAlign w:val="center"/>
          </w:tcPr>
          <w:p>
            <w:pPr>
              <w:pStyle w:val="11"/>
            </w:pPr>
            <w:r>
              <w:t>副科级</w:t>
            </w:r>
          </w:p>
        </w:tc>
        <w:tc>
          <w:tcPr>
            <w:tcW w:w="3827" w:type="dxa"/>
            <w:vAlign w:val="center"/>
          </w:tcPr>
          <w:p>
            <w:pPr>
              <w:pStyle w:val="11"/>
            </w:pPr>
            <w:r>
              <w:t>财政性资金零补助</w:t>
            </w:r>
          </w:p>
        </w:tc>
      </w:tr>
    </w:tbl>
    <w:p>
      <w:pPr>
        <w:keepNext w:val="0"/>
        <w:keepLines w:val="0"/>
        <w:pageBreakBefore w:val="0"/>
        <w:widowControl/>
        <w:kinsoku/>
        <w:wordWrap/>
        <w:overflowPunct/>
        <w:topLinePunct w:val="0"/>
        <w:autoSpaceDE/>
        <w:autoSpaceDN/>
        <w:bidi w:val="0"/>
        <w:adjustRightInd/>
        <w:snapToGrid/>
        <w:spacing w:before="10" w:after="10" w:line="600" w:lineRule="exact"/>
        <w:ind w:firstLine="641"/>
        <w:textAlignment w:val="auto"/>
        <w:outlineLvl w:val="2"/>
        <w:rPr>
          <w:rFonts w:ascii="黑体" w:hAnsi="黑体" w:eastAsia="黑体" w:cs="黑体"/>
          <w:color w:val="000000"/>
          <w:sz w:val="32"/>
        </w:rPr>
      </w:pPr>
      <w:r>
        <w:rPr>
          <w:rFonts w:ascii="黑体" w:hAnsi="黑体" w:eastAsia="黑体" w:cs="黑体"/>
          <w:color w:val="000000"/>
          <w:sz w:val="32"/>
        </w:rPr>
        <w:t>二、单位预算安排的总体情况</w:t>
      </w:r>
    </w:p>
    <w:p>
      <w:pPr>
        <w:pStyle w:val="19"/>
      </w:pPr>
      <w:r>
        <w:t>按照预算管理有关规定，目前我</w:t>
      </w:r>
      <w:r>
        <w:rPr>
          <w:rFonts w:hint="eastAsia"/>
          <w:lang w:eastAsia="zh-CN"/>
        </w:rPr>
        <w:t>县</w:t>
      </w:r>
      <w:r>
        <w:t>单位预算的编制实行综合预算管理，即全部收入和支出都反映在预算中。</w:t>
      </w:r>
    </w:p>
    <w:p>
      <w:pPr>
        <w:pStyle w:val="19"/>
      </w:pPr>
      <w:r>
        <w:t>1、收入说明</w:t>
      </w:r>
    </w:p>
    <w:p>
      <w:pPr>
        <w:pStyle w:val="19"/>
      </w:pPr>
      <w:r>
        <w:rPr>
          <w:rFonts w:hint="eastAsia"/>
          <w:lang w:eastAsia="zh-CN"/>
        </w:rPr>
        <w:t>反映本单位当年全部收入。</w:t>
      </w:r>
      <w:r>
        <w:t>2022年预算收入1558.27万元。其中：一般公共预算收入1558.27万元，政府性基金收入0</w:t>
      </w:r>
      <w:r>
        <w:rPr>
          <w:rFonts w:hint="eastAsia"/>
          <w:lang w:eastAsia="zh-CN"/>
        </w:rPr>
        <w:t>万</w:t>
      </w:r>
      <w:r>
        <w:t>元，财政专户拨款收入0</w:t>
      </w:r>
      <w:r>
        <w:rPr>
          <w:rFonts w:hint="eastAsia"/>
          <w:lang w:eastAsia="zh-CN"/>
        </w:rPr>
        <w:t>万</w:t>
      </w:r>
      <w:r>
        <w:t>元，其他来源收入0</w:t>
      </w:r>
      <w:r>
        <w:rPr>
          <w:rFonts w:hint="eastAsia"/>
          <w:lang w:eastAsia="zh-CN"/>
        </w:rPr>
        <w:t>万</w:t>
      </w:r>
      <w:r>
        <w:t>元。</w:t>
      </w:r>
    </w:p>
    <w:p>
      <w:pPr>
        <w:pStyle w:val="19"/>
      </w:pPr>
      <w:r>
        <w:t>2、支出说明</w:t>
      </w:r>
    </w:p>
    <w:p>
      <w:pPr>
        <w:pStyle w:val="19"/>
      </w:pPr>
      <w:r>
        <w:rPr>
          <w:rFonts w:hint="eastAsia"/>
          <w:lang w:eastAsia="zh-CN"/>
        </w:rPr>
        <w:t>收支预算总表支出栏、基本支出表、项目支出表按经济分类和支出功能分类科目编制，反映高阳县城市管理综合行政执法局（自收自支）年度单位预算中支出预算的总体情况。</w:t>
      </w:r>
      <w:r>
        <w:t>2022年支出预算1558.27万元。其中：基本支出1558.27万元，包括人员经费1390.46万元和日常公用经费167.81万元；项目支出0</w:t>
      </w:r>
      <w:r>
        <w:rPr>
          <w:rFonts w:hint="eastAsia"/>
          <w:lang w:eastAsia="zh-CN"/>
        </w:rPr>
        <w:t>万</w:t>
      </w:r>
      <w:r>
        <w:t>元。</w:t>
      </w:r>
    </w:p>
    <w:p>
      <w:pPr>
        <w:pStyle w:val="19"/>
      </w:pPr>
      <w:r>
        <w:t>3、与上年增减情况</w:t>
      </w:r>
    </w:p>
    <w:p>
      <w:pPr>
        <w:pStyle w:val="19"/>
      </w:pPr>
      <w:r>
        <w:t>2022年预算收支安排1558.27万元，较2021年预算增加97.75万元。其中：基本支出增加97.75万元，主要是在职人员增加导致</w:t>
      </w:r>
      <w:r>
        <w:rPr>
          <w:rFonts w:hint="eastAsia"/>
          <w:lang w:eastAsia="zh-CN"/>
        </w:rPr>
        <w:t>相关</w:t>
      </w:r>
      <w:r>
        <w:t>人员及公用经费</w:t>
      </w:r>
      <w:r>
        <w:rPr>
          <w:rFonts w:hint="eastAsia"/>
          <w:lang w:eastAsia="zh-CN"/>
        </w:rPr>
        <w:t>支出</w:t>
      </w:r>
      <w:r>
        <w:t>增加；项目支</w:t>
      </w:r>
      <w:r>
        <w:rPr>
          <w:rFonts w:hint="eastAsia"/>
          <w:lang w:eastAsia="zh-CN"/>
        </w:rPr>
        <w:t>出</w:t>
      </w:r>
      <w:r>
        <w:t>与2021年持平，无增减变化。</w:t>
      </w:r>
    </w:p>
    <w:p>
      <w:pPr>
        <w:keepNext w:val="0"/>
        <w:keepLines w:val="0"/>
        <w:pageBreakBefore w:val="0"/>
        <w:widowControl/>
        <w:kinsoku/>
        <w:wordWrap/>
        <w:overflowPunct/>
        <w:topLinePunct w:val="0"/>
        <w:autoSpaceDE/>
        <w:autoSpaceDN/>
        <w:bidi w:val="0"/>
        <w:adjustRightInd/>
        <w:snapToGrid/>
        <w:spacing w:before="10" w:after="10" w:line="600" w:lineRule="exact"/>
        <w:ind w:firstLine="641"/>
        <w:textAlignment w:val="auto"/>
        <w:outlineLvl w:val="2"/>
        <w:rPr>
          <w:rFonts w:ascii="黑体" w:hAnsi="黑体" w:eastAsia="黑体" w:cs="黑体"/>
          <w:color w:val="000000"/>
          <w:sz w:val="32"/>
        </w:rPr>
      </w:pPr>
      <w:r>
        <w:rPr>
          <w:rFonts w:ascii="黑体" w:hAnsi="黑体" w:eastAsia="黑体" w:cs="黑体"/>
          <w:color w:val="000000"/>
          <w:sz w:val="32"/>
        </w:rPr>
        <w:t>三、机关运行经费安排情况</w:t>
      </w:r>
    </w:p>
    <w:p>
      <w:pPr>
        <w:pStyle w:val="19"/>
      </w:pPr>
      <w:r>
        <w:t>2022年，高阳县城市管理综合行政执法局</w:t>
      </w:r>
      <w:r>
        <w:rPr>
          <w:rFonts w:hint="eastAsia"/>
          <w:lang w:eastAsia="zh-CN"/>
        </w:rPr>
        <w:t>（</w:t>
      </w:r>
      <w:r>
        <w:t>自收自支）机关运行经费年初预算安排16</w:t>
      </w:r>
      <w:r>
        <w:rPr>
          <w:rFonts w:hint="eastAsia"/>
          <w:lang w:val="en-US" w:eastAsia="zh-CN"/>
        </w:rPr>
        <w:t>6.51</w:t>
      </w:r>
      <w:r>
        <w:t>万元，其中：办公费15万元、电费10万元、邮电费</w:t>
      </w:r>
      <w:r>
        <w:rPr>
          <w:rFonts w:hint="eastAsia"/>
          <w:lang w:val="en-US" w:eastAsia="zh-CN"/>
        </w:rPr>
        <w:t>32.1</w:t>
      </w:r>
      <w:r>
        <w:t>万元、印刷费3.6万元、咨询费1万元、手续费0.5万元、取暖费10.5万元、差旅费5万元、维修（护）费5万元、租赁费22万元、劳务费3.38万元、公务用车运行维护费11.05元、工会经费22万元、福利费18万元、办公设备购置6万元、</w:t>
      </w:r>
      <w:r>
        <w:rPr>
          <w:rFonts w:hint="eastAsia"/>
          <w:lang w:eastAsia="zh-CN"/>
        </w:rPr>
        <w:t>其他商品及服务支出</w:t>
      </w:r>
      <w:r>
        <w:t>1.38万元。</w:t>
      </w:r>
    </w:p>
    <w:p>
      <w:pPr>
        <w:keepNext w:val="0"/>
        <w:keepLines w:val="0"/>
        <w:pageBreakBefore w:val="0"/>
        <w:widowControl/>
        <w:kinsoku/>
        <w:wordWrap/>
        <w:overflowPunct/>
        <w:topLinePunct w:val="0"/>
        <w:autoSpaceDE/>
        <w:autoSpaceDN/>
        <w:bidi w:val="0"/>
        <w:adjustRightInd/>
        <w:snapToGrid/>
        <w:spacing w:before="10" w:after="10" w:line="600" w:lineRule="exact"/>
        <w:ind w:firstLine="640"/>
        <w:textAlignment w:val="auto"/>
        <w:outlineLvl w:val="2"/>
        <w:rPr>
          <w:rFonts w:ascii="黑体" w:hAnsi="黑体" w:eastAsia="黑体" w:cs="黑体"/>
          <w:color w:val="000000"/>
          <w:sz w:val="32"/>
        </w:rPr>
      </w:pPr>
      <w:r>
        <w:rPr>
          <w:rFonts w:ascii="黑体" w:hAnsi="黑体" w:eastAsia="黑体" w:cs="黑体"/>
          <w:color w:val="000000"/>
          <w:sz w:val="32"/>
        </w:rPr>
        <w:t>四、财政拨款“三公”经费预算情况及增减变化原因</w:t>
      </w:r>
    </w:p>
    <w:p>
      <w:pPr>
        <w:pStyle w:val="19"/>
      </w:pPr>
      <w:r>
        <w:t>2022年，高阳县城市管理综合行政执法局（自收自支）财政拨款“三公”经费预算安排12.35万元，与2021年相比增加1.43万元。其中：因公出国（境）支出0</w:t>
      </w:r>
      <w:r>
        <w:rPr>
          <w:rFonts w:hint="eastAsia"/>
          <w:lang w:eastAsia="zh-CN"/>
        </w:rPr>
        <w:t>万</w:t>
      </w:r>
      <w:r>
        <w:t>元，与上年持平；公务用车购置支出为0</w:t>
      </w:r>
      <w:r>
        <w:rPr>
          <w:rFonts w:hint="eastAsia"/>
          <w:lang w:eastAsia="zh-CN"/>
        </w:rPr>
        <w:t>万</w:t>
      </w:r>
      <w:r>
        <w:t>元，与上年持平；公务用车运行维护支出11.05万元，比上年增加1.55万元（2021年中新增公务用车1辆）；公务接待支出1.3万元，比上一年减少0.12万元（按照三公经费逐年递减，控制公务接待支出）。</w:t>
      </w:r>
    </w:p>
    <w:p>
      <w:pPr>
        <w:pStyle w:val="19"/>
      </w:pPr>
    </w:p>
    <w:p>
      <w:pPr>
        <w:spacing w:before="10" w:after="10" w:line="360" w:lineRule="auto"/>
        <w:ind w:firstLine="640"/>
        <w:outlineLvl w:val="2"/>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pPr>
        <w:pStyle w:val="19"/>
        <w:rPr>
          <w:rFonts w:hint="eastAsia"/>
          <w:lang w:eastAsia="zh-CN"/>
        </w:rPr>
      </w:pPr>
      <w:r>
        <w:t>高阳县城市管理合行政执法局（自收自支）</w:t>
      </w:r>
      <w:r>
        <w:rPr>
          <w:rFonts w:hint="eastAsia"/>
          <w:lang w:eastAsia="zh-CN"/>
        </w:rPr>
        <w:t>无预算绩效信息。</w:t>
      </w:r>
    </w:p>
    <w:p>
      <w:pPr>
        <w:numPr>
          <w:ilvl w:val="0"/>
          <w:numId w:val="0"/>
        </w:numPr>
        <w:spacing w:before="10" w:after="10"/>
        <w:outlineLvl w:val="5"/>
        <w:rPr>
          <w:rFonts w:ascii="黑体" w:hAnsi="黑体" w:eastAsia="黑体" w:cs="黑体"/>
          <w:color w:val="000000"/>
          <w:sz w:val="32"/>
        </w:rPr>
        <w:sectPr>
          <w:pgSz w:w="16840" w:h="11900" w:orient="landscape"/>
          <w:pgMar w:top="1361" w:right="1020" w:bottom="1361" w:left="1020" w:header="720" w:footer="720" w:gutter="0"/>
          <w:pgNumType w:fmt="decimal"/>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2022年，高阳县城市管理综合行政执法局（自收自支）安排政府采购预算0.00万元。具体内容见下表。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45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4"/>
        <w:gridCol w:w="795"/>
        <w:gridCol w:w="1050"/>
        <w:gridCol w:w="960"/>
        <w:gridCol w:w="750"/>
        <w:gridCol w:w="720"/>
        <w:gridCol w:w="569"/>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5918" w:type="dxa"/>
            <w:gridSpan w:val="7"/>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69" w:type="dxa"/>
            <w:gridSpan w:val="2"/>
            <w:vAlign w:val="center"/>
          </w:tcPr>
          <w:p>
            <w:pPr>
              <w:pStyle w:val="10"/>
            </w:pPr>
            <w:r>
              <w:t>政府采购项目来源</w:t>
            </w:r>
          </w:p>
        </w:tc>
        <w:tc>
          <w:tcPr>
            <w:tcW w:w="1050" w:type="dxa"/>
            <w:vMerge w:val="restart"/>
            <w:vAlign w:val="center"/>
          </w:tcPr>
          <w:p>
            <w:pPr>
              <w:pStyle w:val="10"/>
            </w:pPr>
            <w:r>
              <w:t>采购物品名称</w:t>
            </w:r>
          </w:p>
        </w:tc>
        <w:tc>
          <w:tcPr>
            <w:tcW w:w="960" w:type="dxa"/>
            <w:vMerge w:val="restart"/>
            <w:vAlign w:val="center"/>
          </w:tcPr>
          <w:p>
            <w:pPr>
              <w:pStyle w:val="10"/>
            </w:pPr>
            <w:r>
              <w:t>政府采购目录序号</w:t>
            </w:r>
          </w:p>
        </w:tc>
        <w:tc>
          <w:tcPr>
            <w:tcW w:w="750" w:type="dxa"/>
            <w:vMerge w:val="restart"/>
            <w:vAlign w:val="center"/>
          </w:tcPr>
          <w:p>
            <w:pPr>
              <w:pStyle w:val="10"/>
            </w:pPr>
            <w:r>
              <w:t>计量  单位</w:t>
            </w:r>
          </w:p>
        </w:tc>
        <w:tc>
          <w:tcPr>
            <w:tcW w:w="720" w:type="dxa"/>
            <w:vMerge w:val="restart"/>
            <w:vAlign w:val="center"/>
          </w:tcPr>
          <w:p>
            <w:pPr>
              <w:pStyle w:val="10"/>
            </w:pPr>
            <w:r>
              <w:t>数量</w:t>
            </w:r>
          </w:p>
        </w:tc>
        <w:tc>
          <w:tcPr>
            <w:tcW w:w="569"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74" w:type="dxa"/>
            <w:vAlign w:val="center"/>
          </w:tcPr>
          <w:p>
            <w:pPr>
              <w:pStyle w:val="10"/>
            </w:pPr>
            <w:r>
              <w:t>项目名称</w:t>
            </w:r>
          </w:p>
        </w:tc>
        <w:tc>
          <w:tcPr>
            <w:tcW w:w="795" w:type="dxa"/>
            <w:vAlign w:val="center"/>
          </w:tcPr>
          <w:p>
            <w:pPr>
              <w:pStyle w:val="10"/>
            </w:pPr>
            <w:r>
              <w:t>预算    资金</w:t>
            </w:r>
          </w:p>
        </w:tc>
        <w:tc>
          <w:tcPr>
            <w:tcW w:w="1050" w:type="dxa"/>
            <w:vMerge w:val="continue"/>
          </w:tcPr>
          <w:p/>
        </w:tc>
        <w:tc>
          <w:tcPr>
            <w:tcW w:w="960" w:type="dxa"/>
            <w:vMerge w:val="continue"/>
          </w:tcPr>
          <w:p/>
        </w:tc>
        <w:tc>
          <w:tcPr>
            <w:tcW w:w="750" w:type="dxa"/>
            <w:vMerge w:val="continue"/>
          </w:tcPr>
          <w:p/>
        </w:tc>
        <w:tc>
          <w:tcPr>
            <w:tcW w:w="720" w:type="dxa"/>
            <w:vMerge w:val="continue"/>
          </w:tcPr>
          <w:p/>
        </w:tc>
        <w:tc>
          <w:tcPr>
            <w:tcW w:w="569"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4" w:type="dxa"/>
            <w:vAlign w:val="center"/>
          </w:tcPr>
          <w:p>
            <w:pPr>
              <w:pStyle w:val="12"/>
            </w:pPr>
          </w:p>
        </w:tc>
        <w:tc>
          <w:tcPr>
            <w:tcW w:w="795" w:type="dxa"/>
            <w:vAlign w:val="center"/>
          </w:tcPr>
          <w:p>
            <w:pPr>
              <w:pStyle w:val="13"/>
            </w:pPr>
          </w:p>
        </w:tc>
        <w:tc>
          <w:tcPr>
            <w:tcW w:w="1050" w:type="dxa"/>
            <w:vAlign w:val="center"/>
          </w:tcPr>
          <w:p>
            <w:pPr>
              <w:pStyle w:val="12"/>
            </w:pPr>
          </w:p>
        </w:tc>
        <w:tc>
          <w:tcPr>
            <w:tcW w:w="960" w:type="dxa"/>
            <w:vAlign w:val="center"/>
          </w:tcPr>
          <w:p>
            <w:pPr>
              <w:pStyle w:val="12"/>
            </w:pPr>
          </w:p>
        </w:tc>
        <w:tc>
          <w:tcPr>
            <w:tcW w:w="750" w:type="dxa"/>
            <w:vAlign w:val="center"/>
          </w:tcPr>
          <w:p>
            <w:pPr>
              <w:pStyle w:val="11"/>
            </w:pPr>
          </w:p>
        </w:tc>
        <w:tc>
          <w:tcPr>
            <w:tcW w:w="720" w:type="dxa"/>
            <w:vAlign w:val="center"/>
          </w:tcPr>
          <w:p>
            <w:pPr>
              <w:pStyle w:val="13"/>
            </w:pPr>
          </w:p>
        </w:tc>
        <w:tc>
          <w:tcPr>
            <w:tcW w:w="569"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高阳县城市管理综合行政执法局（自收自支）上年末固定资产金额为0.00万元（详见下表）。本年度拟购置固定资产总额为0.00万元。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04"/>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04" w:type="dxa"/>
            <w:tcBorders>
              <w:top w:val="single" w:color="FFFFFF" w:sz="6" w:space="0"/>
              <w:left w:val="single" w:color="FFFFFF" w:sz="6" w:space="0"/>
              <w:right w:val="single" w:color="FFFFFF" w:sz="6" w:space="0"/>
            </w:tcBorders>
            <w:vAlign w:val="center"/>
          </w:tcPr>
          <w:p>
            <w:pPr>
              <w:pStyle w:val="7"/>
            </w:pPr>
            <w:r>
              <w:t>335004高阳县城市管理综合行政执法局（自收自支）</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04"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604" w:type="dxa"/>
            <w:vAlign w:val="center"/>
          </w:tcPr>
          <w:p>
            <w:pPr>
              <w:pStyle w:val="12"/>
            </w:pPr>
          </w:p>
        </w:tc>
        <w:tc>
          <w:tcPr>
            <w:tcW w:w="2835" w:type="dxa"/>
            <w:vAlign w:val="center"/>
          </w:tcPr>
          <w:p>
            <w:pPr>
              <w:pStyle w:val="11"/>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高阳县城市管理合行政执法局（自收自支）无其他需要说明的事项。</w:t>
      </w:r>
    </w:p>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98705"/>
    <w:multiLevelType w:val="singleLevel"/>
    <w:tmpl w:val="B229870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019E34FC"/>
    <w:rsid w:val="0AEF3A35"/>
    <w:rsid w:val="0C73629B"/>
    <w:rsid w:val="0E296F85"/>
    <w:rsid w:val="0F1A17CD"/>
    <w:rsid w:val="11592BC4"/>
    <w:rsid w:val="120A7142"/>
    <w:rsid w:val="19370ABC"/>
    <w:rsid w:val="1C6C5D0E"/>
    <w:rsid w:val="1CA961BB"/>
    <w:rsid w:val="1E761259"/>
    <w:rsid w:val="209D0766"/>
    <w:rsid w:val="2275323C"/>
    <w:rsid w:val="2A71377F"/>
    <w:rsid w:val="2D391C87"/>
    <w:rsid w:val="31001B65"/>
    <w:rsid w:val="32892EB1"/>
    <w:rsid w:val="39B32F0A"/>
    <w:rsid w:val="3BC61BDF"/>
    <w:rsid w:val="3D804EB1"/>
    <w:rsid w:val="3E2D2848"/>
    <w:rsid w:val="3FEC74D9"/>
    <w:rsid w:val="4E2D1F02"/>
    <w:rsid w:val="4EB14B1D"/>
    <w:rsid w:val="57361430"/>
    <w:rsid w:val="59852EEC"/>
    <w:rsid w:val="5A1B59C2"/>
    <w:rsid w:val="5D8C2772"/>
    <w:rsid w:val="5EAD72EA"/>
    <w:rsid w:val="605B005A"/>
    <w:rsid w:val="64C50531"/>
    <w:rsid w:val="65167D25"/>
    <w:rsid w:val="66075E1E"/>
    <w:rsid w:val="66C57C55"/>
    <w:rsid w:val="6A051B3B"/>
    <w:rsid w:val="6BBC456E"/>
    <w:rsid w:val="6E8C2E06"/>
    <w:rsid w:val="70585696"/>
    <w:rsid w:val="76BC749C"/>
    <w:rsid w:val="773244A6"/>
    <w:rsid w:val="78BE74EF"/>
    <w:rsid w:val="79353A04"/>
    <w:rsid w:val="7D20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TOC 1"/>
    <w:basedOn w:val="1"/>
    <w:autoRedefine/>
    <w:qFormat/>
    <w:uiPriority w:val="0"/>
    <w:pPr>
      <w:spacing w:before="120"/>
      <w:ind w:firstLine="560"/>
    </w:pPr>
    <w:rPr>
      <w:rFonts w:eastAsia="方正仿宋_GBK"/>
      <w:color w:val="000000"/>
      <w:sz w:val="28"/>
    </w:rPr>
  </w:style>
  <w:style w:type="paragraph" w:customStyle="1" w:styleId="7">
    <w:name w:val="单元格样式20"/>
    <w:basedOn w:val="1"/>
    <w:autoRedefine/>
    <w:qFormat/>
    <w:uiPriority w:val="0"/>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Normal_dfa65edf-8c51-42fb-93ee-4a41cc8a6747"/>
    <w:autoRedefine/>
    <w:qFormat/>
    <w:uiPriority w:val="0"/>
    <w:rPr>
      <w:rFonts w:ascii="Times New Roman" w:hAnsi="Times New Roman" w:eastAsia="Times New Roman" w:cs="Times New Roman"/>
      <w:sz w:val="24"/>
      <w:szCs w:val="24"/>
      <w:lang w:val="en-US" w:eastAsia="uk-UA" w:bidi="ar-SA"/>
    </w:rPr>
  </w:style>
  <w:style w:type="paragraph" w:customStyle="1" w:styleId="21">
    <w:name w:val="单元格样式1_3cf79da0-6c37-4bc9-9993-2600101872dd"/>
    <w:basedOn w:val="1"/>
    <w:autoRedefine/>
    <w:qFormat/>
    <w:uiPriority w:val="0"/>
    <w:pPr>
      <w:jc w:val="center"/>
    </w:pPr>
    <w:rPr>
      <w:rFonts w:ascii="方正书宋_GBK" w:hAnsi="方正书宋_GBK" w:eastAsia="方正书宋_GBK" w:cs="方正书宋_GBK"/>
      <w:b/>
      <w:sz w:val="21"/>
    </w:rPr>
  </w:style>
  <w:style w:type="paragraph" w:customStyle="1" w:styleId="22">
    <w:name w:val="单元格样式2_d051ec53-0371-4729-8c03-9ebc6544f521"/>
    <w:basedOn w:val="1"/>
    <w:autoRedefine/>
    <w:qFormat/>
    <w:uiPriority w:val="0"/>
    <w:rPr>
      <w:rFonts w:ascii="方正书宋_GBK" w:hAnsi="方正书宋_GBK" w:eastAsia="方正书宋_GBK" w:cs="方正书宋_GBK"/>
      <w:sz w:val="21"/>
    </w:rPr>
  </w:style>
  <w:style w:type="paragraph" w:customStyle="1" w:styleId="23">
    <w:name w:val="单元格样式3_2ebf89c2-a401-44ef-bf91-979c2fde3cfe"/>
    <w:basedOn w:val="1"/>
    <w:qFormat/>
    <w:uiPriority w:val="0"/>
    <w:pPr>
      <w:jc w:val="center"/>
    </w:pPr>
    <w:rPr>
      <w:rFonts w:ascii="方正书宋_GBK" w:hAnsi="方正书宋_GBK" w:eastAsia="方正书宋_GBK" w:cs="方正书宋_GBK"/>
      <w:sz w:val="21"/>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8">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24211</Words>
  <Characters>29011</Characters>
  <Lines>0</Lines>
  <Paragraphs>0</Paragraphs>
  <TotalTime>2</TotalTime>
  <ScaleCrop>false</ScaleCrop>
  <LinksUpToDate>false</LinksUpToDate>
  <CharactersWithSpaces>29412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2022-06-16T10:09:00Z</dcterms:created>
  <dc:creator>Administrator</dc:creator>
  <cp:lastModifiedBy>Administrator</cp:lastModifiedBy>
  <dcterms:modified xsi:type="dcterms:W3CDTF">2024-01-11T01:41:49Z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6B2375737FBE4D7891BBBE087E380219</vt:lpwstr>
  </property>
</Properties>
</file>