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18" w:name="_GoBack"/>
      <w:bookmarkEnd w:id="18"/>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end"/>
      </w:r>
      <w:r>
        <w:t>3</w:t>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end"/>
      </w:r>
      <w:r>
        <w:t>5</w:t>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end"/>
      </w:r>
      <w:r>
        <w:t>6</w:t>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end"/>
      </w:r>
      <w:r>
        <w:t>7</w:t>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w:t>
      </w:r>
      <w:r>
        <w:fldChar w:fldCharType="end"/>
      </w:r>
      <w:r>
        <w:fldChar w:fldCharType="end"/>
      </w:r>
      <w:r>
        <w:t>1</w:t>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fldChar w:fldCharType="end"/>
      </w:r>
      <w:r>
        <w:fldChar w:fldCharType="end"/>
      </w:r>
      <w:r>
        <w:t>2</w:t>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fldChar w:fldCharType="end"/>
      </w:r>
      <w:r>
        <w:fldChar w:fldCharType="end"/>
      </w:r>
      <w:r>
        <w:t>3</w:t>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fldChar w:fldCharType="end"/>
      </w:r>
      <w:r>
        <w:fldChar w:fldCharType="end"/>
      </w:r>
      <w:r>
        <w:t>4</w:t>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fldChar w:fldCharType="end"/>
      </w:r>
      <w:r>
        <w:fldChar w:fldCharType="end"/>
      </w:r>
      <w:r>
        <w:t>5</w:t>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fldChar w:fldCharType="end"/>
      </w:r>
      <w:r>
        <w:fldChar w:fldCharType="end"/>
      </w:r>
      <w:r>
        <w:t>6</w:t>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fldChar w:fldCharType="end"/>
      </w:r>
      <w:r>
        <w:fldChar w:fldCharType="end"/>
      </w:r>
      <w:r>
        <w:t>6</w:t>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w:t>
      </w:r>
      <w:r>
        <w:fldChar w:fldCharType="end"/>
      </w:r>
      <w:r>
        <w:fldChar w:fldCharType="end"/>
      </w:r>
      <w:r>
        <w:t>7</w:t>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w:t>
      </w:r>
      <w:r>
        <w:fldChar w:fldCharType="end"/>
      </w:r>
      <w:r>
        <w:fldChar w:fldCharType="end"/>
      </w:r>
      <w:r>
        <w:t>5</w:t>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w:t>
      </w:r>
      <w:r>
        <w:fldChar w:fldCharType="end"/>
      </w:r>
      <w:r>
        <w:fldChar w:fldCharType="end"/>
      </w:r>
      <w:r>
        <w:t>5</w:t>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w:t>
      </w:r>
      <w:r>
        <w:fldChar w:fldCharType="end"/>
      </w:r>
      <w:r>
        <w:fldChar w:fldCharType="end"/>
      </w:r>
      <w:r>
        <w:t>6</w:t>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w:t>
      </w:r>
      <w:r>
        <w:fldChar w:fldCharType="end"/>
      </w:r>
      <w:r>
        <w:fldChar w:fldCharType="end"/>
      </w:r>
      <w:r>
        <w:t>6</w:t>
      </w:r>
    </w:p>
    <w:p>
      <w:r>
        <w:fldChar w:fldCharType="end"/>
      </w:r>
    </w:p>
    <w:p>
      <w:pPr>
        <w:jc w:val="center"/>
        <w:outlineLvl w:val="1"/>
        <w:rPr>
          <w:rFonts w:eastAsia="方正小标宋_GBK" w:cs="方正小标宋_GBK" w:asciiTheme="minorHAnsi" w:hAnsiTheme="minorHAnsi"/>
          <w:color w:val="000000"/>
          <w:sz w:val="72"/>
          <w:lang w:val="uk-UA"/>
        </w:rPr>
      </w:pPr>
      <w:bookmarkStart w:id="0" w:name="_Toc_2_2_0000000001"/>
    </w:p>
    <w:p>
      <w:pPr>
        <w:jc w:val="center"/>
        <w:outlineLvl w:val="1"/>
        <w:rPr>
          <w:rFonts w:eastAsia="方正小标宋_GBK" w:cs="方正小标宋_GBK" w:asciiTheme="minorHAnsi" w:hAnsiTheme="minorHAnsi"/>
          <w:color w:val="000000"/>
          <w:sz w:val="72"/>
          <w:lang w:val="uk-UA"/>
        </w:rPr>
      </w:pPr>
    </w:p>
    <w:p>
      <w:pPr>
        <w:jc w:val="center"/>
        <w:outlineLvl w:val="1"/>
        <w:rPr>
          <w:rFonts w:eastAsia="方正小标宋_GBK" w:cs="方正小标宋_GBK" w:asciiTheme="minorHAnsi" w:hAnsiTheme="minorHAnsi"/>
          <w:color w:val="000000"/>
          <w:sz w:val="72"/>
          <w:lang w:val="uk-UA"/>
        </w:rPr>
      </w:pPr>
    </w:p>
    <w:p>
      <w:pPr>
        <w:jc w:val="center"/>
        <w:outlineLvl w:val="1"/>
        <w:rPr>
          <w:rFonts w:eastAsia="方正小标宋_GBK" w:cs="方正小标宋_GBK" w:asciiTheme="minorHAnsi" w:hAnsiTheme="minorHAnsi"/>
          <w:color w:val="000000"/>
          <w:sz w:val="72"/>
          <w:lang w:val="uk-UA"/>
        </w:rPr>
      </w:pPr>
    </w:p>
    <w:p>
      <w:pPr>
        <w:jc w:val="center"/>
        <w:outlineLvl w:val="1"/>
        <w:rPr>
          <w:rFonts w:eastAsia="方正小标宋_GBK" w:cs="方正小标宋_GBK" w:asciiTheme="minorHAnsi" w:hAnsiTheme="minorHAnsi"/>
          <w:color w:val="000000"/>
          <w:sz w:val="72"/>
          <w:lang w:val="uk-UA"/>
        </w:rPr>
      </w:pPr>
    </w:p>
    <w:p>
      <w:pPr>
        <w:jc w:val="center"/>
        <w:outlineLvl w:val="1"/>
        <w:rPr>
          <w:rFonts w:eastAsia="方正小标宋_GBK" w:cs="方正小标宋_GBK" w:asciiTheme="minorHAnsi" w:hAnsiTheme="minorHAnsi"/>
          <w:color w:val="000000"/>
          <w:sz w:val="72"/>
          <w:lang w:val="uk-UA"/>
        </w:rPr>
      </w:pPr>
    </w:p>
    <w:p>
      <w:pPr>
        <w:jc w:val="center"/>
        <w:outlineLvl w:val="1"/>
        <w:rPr>
          <w:rFonts w:eastAsia="方正小标宋_GBK" w:cs="方正小标宋_GBK" w:asciiTheme="minorHAnsi" w:hAnsiTheme="minorHAnsi"/>
          <w:color w:val="000000"/>
          <w:sz w:val="72"/>
          <w:lang w:val="uk-UA"/>
        </w:rPr>
      </w:pPr>
    </w:p>
    <w:p>
      <w:pPr>
        <w:jc w:val="center"/>
        <w:outlineLvl w:val="1"/>
        <w:rPr>
          <w:rFonts w:eastAsia="方正小标宋_GBK" w:cs="方正小标宋_GBK" w:asciiTheme="minorHAnsi" w:hAnsiTheme="minorHAnsi"/>
          <w:color w:val="000000"/>
          <w:sz w:val="72"/>
          <w:lang w:val="uk-UA"/>
        </w:rPr>
      </w:pPr>
    </w:p>
    <w:p>
      <w:pPr>
        <w:jc w:val="center"/>
        <w:outlineLvl w:val="1"/>
        <w:rPr>
          <w:rFonts w:eastAsia="方正小标宋_GBK" w:cs="方正小标宋_GBK" w:asciiTheme="minorHAnsi" w:hAnsiTheme="minorHAnsi"/>
          <w:color w:val="000000"/>
          <w:sz w:val="72"/>
          <w:lang w:val="uk-UA"/>
        </w:rPr>
      </w:pPr>
    </w:p>
    <w:p>
      <w:pPr>
        <w:jc w:val="center"/>
        <w:outlineLvl w:val="1"/>
      </w:pPr>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345高阳县庞口汽车农机配件城服务中心</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620.68</w:t>
            </w:r>
          </w:p>
        </w:tc>
        <w:tc>
          <w:tcPr>
            <w:tcW w:w="4535" w:type="dxa"/>
            <w:vAlign w:val="center"/>
          </w:tcPr>
          <w:p>
            <w:pPr>
              <w:pStyle w:val="14"/>
            </w:pPr>
            <w:r>
              <w:t>一、一般公共服务支出</w:t>
            </w:r>
          </w:p>
        </w:tc>
        <w:tc>
          <w:tcPr>
            <w:tcW w:w="2126" w:type="dxa"/>
            <w:vAlign w:val="center"/>
          </w:tcPr>
          <w:p>
            <w:pPr>
              <w:pStyle w:val="13"/>
            </w:pPr>
            <w:r>
              <w:t>620.68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620.68</w:t>
            </w:r>
          </w:p>
        </w:tc>
        <w:tc>
          <w:tcPr>
            <w:tcW w:w="4535" w:type="dxa"/>
            <w:vAlign w:val="center"/>
          </w:tcPr>
          <w:p>
            <w:pPr>
              <w:pStyle w:val="16"/>
            </w:pPr>
            <w:r>
              <w:t>本年支出合计</w:t>
            </w:r>
          </w:p>
        </w:tc>
        <w:tc>
          <w:tcPr>
            <w:tcW w:w="2126" w:type="dxa"/>
            <w:vAlign w:val="center"/>
          </w:tcPr>
          <w:p>
            <w:pPr>
              <w:pStyle w:val="17"/>
            </w:pPr>
            <w:r>
              <w:t>620.68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620.68</w:t>
            </w:r>
          </w:p>
        </w:tc>
        <w:tc>
          <w:tcPr>
            <w:tcW w:w="4535" w:type="dxa"/>
            <w:vAlign w:val="center"/>
          </w:tcPr>
          <w:p>
            <w:pPr>
              <w:pStyle w:val="16"/>
            </w:pPr>
            <w:r>
              <w:t>支出总计</w:t>
            </w:r>
          </w:p>
        </w:tc>
        <w:tc>
          <w:tcPr>
            <w:tcW w:w="2126" w:type="dxa"/>
            <w:vAlign w:val="center"/>
          </w:tcPr>
          <w:p>
            <w:pPr>
              <w:pStyle w:val="17"/>
            </w:pPr>
            <w:r>
              <w:t>620.68</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345高阳县庞口汽车农机配件城服务中心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620.68</w:t>
            </w:r>
          </w:p>
        </w:tc>
        <w:tc>
          <w:tcPr>
            <w:tcW w:w="1134" w:type="dxa"/>
            <w:vAlign w:val="center"/>
          </w:tcPr>
          <w:p>
            <w:pPr>
              <w:pStyle w:val="17"/>
            </w:pPr>
            <w:r>
              <w:t>620.68</w:t>
            </w:r>
          </w:p>
        </w:tc>
        <w:tc>
          <w:tcPr>
            <w:tcW w:w="1134" w:type="dxa"/>
            <w:vAlign w:val="center"/>
          </w:tcPr>
          <w:p>
            <w:pPr>
              <w:pStyle w:val="17"/>
            </w:pPr>
            <w:r>
              <w:t>620.68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620.68</w:t>
            </w:r>
          </w:p>
        </w:tc>
        <w:tc>
          <w:tcPr>
            <w:tcW w:w="1134" w:type="dxa"/>
            <w:vAlign w:val="center"/>
          </w:tcPr>
          <w:p>
            <w:pPr>
              <w:pStyle w:val="13"/>
            </w:pPr>
            <w:r>
              <w:t>620.68</w:t>
            </w:r>
          </w:p>
        </w:tc>
        <w:tc>
          <w:tcPr>
            <w:tcW w:w="1134" w:type="dxa"/>
            <w:vAlign w:val="center"/>
          </w:tcPr>
          <w:p>
            <w:pPr>
              <w:pStyle w:val="13"/>
            </w:pPr>
            <w:r>
              <w:t>620.68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20113</w:t>
            </w:r>
          </w:p>
        </w:tc>
        <w:tc>
          <w:tcPr>
            <w:tcW w:w="1559" w:type="dxa"/>
            <w:vAlign w:val="center"/>
          </w:tcPr>
          <w:p>
            <w:pPr>
              <w:pStyle w:val="14"/>
            </w:pPr>
            <w:r>
              <w:t>商贸事务</w:t>
            </w:r>
          </w:p>
        </w:tc>
        <w:tc>
          <w:tcPr>
            <w:tcW w:w="1134" w:type="dxa"/>
            <w:vAlign w:val="center"/>
          </w:tcPr>
          <w:p>
            <w:pPr>
              <w:pStyle w:val="13"/>
            </w:pPr>
            <w:r>
              <w:t>620.68</w:t>
            </w:r>
          </w:p>
        </w:tc>
        <w:tc>
          <w:tcPr>
            <w:tcW w:w="1134" w:type="dxa"/>
            <w:vAlign w:val="center"/>
          </w:tcPr>
          <w:p>
            <w:pPr>
              <w:pStyle w:val="13"/>
            </w:pPr>
            <w:r>
              <w:t>620.68</w:t>
            </w:r>
          </w:p>
        </w:tc>
        <w:tc>
          <w:tcPr>
            <w:tcW w:w="1134" w:type="dxa"/>
            <w:vAlign w:val="center"/>
          </w:tcPr>
          <w:p>
            <w:pPr>
              <w:pStyle w:val="13"/>
            </w:pPr>
            <w:r>
              <w:t>620.68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2011350</w:t>
            </w:r>
          </w:p>
        </w:tc>
        <w:tc>
          <w:tcPr>
            <w:tcW w:w="1559" w:type="dxa"/>
            <w:vAlign w:val="center"/>
          </w:tcPr>
          <w:p>
            <w:pPr>
              <w:pStyle w:val="14"/>
            </w:pPr>
            <w:r>
              <w:t>事业运行</w:t>
            </w:r>
          </w:p>
        </w:tc>
        <w:tc>
          <w:tcPr>
            <w:tcW w:w="1134" w:type="dxa"/>
            <w:vAlign w:val="center"/>
          </w:tcPr>
          <w:p>
            <w:pPr>
              <w:pStyle w:val="13"/>
            </w:pPr>
            <w:r>
              <w:t>588.22</w:t>
            </w:r>
          </w:p>
        </w:tc>
        <w:tc>
          <w:tcPr>
            <w:tcW w:w="1134" w:type="dxa"/>
            <w:vAlign w:val="center"/>
          </w:tcPr>
          <w:p>
            <w:pPr>
              <w:pStyle w:val="13"/>
            </w:pPr>
            <w:r>
              <w:t>588.22</w:t>
            </w:r>
          </w:p>
        </w:tc>
        <w:tc>
          <w:tcPr>
            <w:tcW w:w="1134" w:type="dxa"/>
            <w:vAlign w:val="center"/>
          </w:tcPr>
          <w:p>
            <w:pPr>
              <w:pStyle w:val="13"/>
            </w:pPr>
            <w:r>
              <w:t>588.22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2011399</w:t>
            </w:r>
          </w:p>
        </w:tc>
        <w:tc>
          <w:tcPr>
            <w:tcW w:w="1559" w:type="dxa"/>
            <w:vAlign w:val="center"/>
          </w:tcPr>
          <w:p>
            <w:pPr>
              <w:pStyle w:val="14"/>
            </w:pPr>
            <w:r>
              <w:t>其他商贸事务支出</w:t>
            </w:r>
          </w:p>
        </w:tc>
        <w:tc>
          <w:tcPr>
            <w:tcW w:w="1134" w:type="dxa"/>
            <w:vAlign w:val="center"/>
          </w:tcPr>
          <w:p>
            <w:pPr>
              <w:pStyle w:val="13"/>
            </w:pPr>
            <w:r>
              <w:t>32.46</w:t>
            </w:r>
          </w:p>
        </w:tc>
        <w:tc>
          <w:tcPr>
            <w:tcW w:w="1134" w:type="dxa"/>
            <w:vAlign w:val="center"/>
          </w:tcPr>
          <w:p>
            <w:pPr>
              <w:pStyle w:val="13"/>
            </w:pPr>
            <w:r>
              <w:t>32.46</w:t>
            </w:r>
          </w:p>
        </w:tc>
        <w:tc>
          <w:tcPr>
            <w:tcW w:w="1134" w:type="dxa"/>
            <w:vAlign w:val="center"/>
          </w:tcPr>
          <w:p>
            <w:pPr>
              <w:pStyle w:val="13"/>
            </w:pPr>
            <w:r>
              <w:t>32.46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345高阳县庞口汽车农机配件城服务中心</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620.68</w:t>
            </w:r>
          </w:p>
        </w:tc>
        <w:tc>
          <w:tcPr>
            <w:tcW w:w="1361" w:type="dxa"/>
            <w:vAlign w:val="center"/>
          </w:tcPr>
          <w:p>
            <w:pPr>
              <w:pStyle w:val="17"/>
            </w:pPr>
            <w:r>
              <w:t>588.22</w:t>
            </w:r>
          </w:p>
        </w:tc>
        <w:tc>
          <w:tcPr>
            <w:tcW w:w="1361" w:type="dxa"/>
            <w:vAlign w:val="center"/>
          </w:tcPr>
          <w:p>
            <w:pPr>
              <w:pStyle w:val="17"/>
            </w:pPr>
            <w:r>
              <w:t>32.46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620.68</w:t>
            </w:r>
          </w:p>
        </w:tc>
        <w:tc>
          <w:tcPr>
            <w:tcW w:w="1361" w:type="dxa"/>
            <w:vAlign w:val="center"/>
          </w:tcPr>
          <w:p>
            <w:pPr>
              <w:pStyle w:val="13"/>
            </w:pPr>
            <w:r>
              <w:t>588.22</w:t>
            </w:r>
          </w:p>
        </w:tc>
        <w:tc>
          <w:tcPr>
            <w:tcW w:w="1361" w:type="dxa"/>
            <w:vAlign w:val="center"/>
          </w:tcPr>
          <w:p>
            <w:pPr>
              <w:pStyle w:val="13"/>
            </w:pPr>
            <w:r>
              <w:t>32.46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20113</w:t>
            </w:r>
          </w:p>
        </w:tc>
        <w:tc>
          <w:tcPr>
            <w:tcW w:w="4535" w:type="dxa"/>
            <w:vAlign w:val="center"/>
          </w:tcPr>
          <w:p>
            <w:pPr>
              <w:pStyle w:val="14"/>
            </w:pPr>
            <w:r>
              <w:t>商贸事务</w:t>
            </w:r>
          </w:p>
        </w:tc>
        <w:tc>
          <w:tcPr>
            <w:tcW w:w="1361" w:type="dxa"/>
            <w:vAlign w:val="center"/>
          </w:tcPr>
          <w:p>
            <w:pPr>
              <w:pStyle w:val="13"/>
            </w:pPr>
            <w:r>
              <w:t>620.68</w:t>
            </w:r>
          </w:p>
        </w:tc>
        <w:tc>
          <w:tcPr>
            <w:tcW w:w="1361" w:type="dxa"/>
            <w:vAlign w:val="center"/>
          </w:tcPr>
          <w:p>
            <w:pPr>
              <w:pStyle w:val="13"/>
            </w:pPr>
            <w:r>
              <w:t>588.22</w:t>
            </w:r>
          </w:p>
        </w:tc>
        <w:tc>
          <w:tcPr>
            <w:tcW w:w="1361" w:type="dxa"/>
            <w:vAlign w:val="center"/>
          </w:tcPr>
          <w:p>
            <w:pPr>
              <w:pStyle w:val="13"/>
            </w:pPr>
            <w:r>
              <w:t>32.46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2011350</w:t>
            </w:r>
          </w:p>
        </w:tc>
        <w:tc>
          <w:tcPr>
            <w:tcW w:w="4535" w:type="dxa"/>
            <w:vAlign w:val="center"/>
          </w:tcPr>
          <w:p>
            <w:pPr>
              <w:pStyle w:val="14"/>
            </w:pPr>
            <w:r>
              <w:t>事业运行</w:t>
            </w:r>
          </w:p>
        </w:tc>
        <w:tc>
          <w:tcPr>
            <w:tcW w:w="1361" w:type="dxa"/>
            <w:vAlign w:val="center"/>
          </w:tcPr>
          <w:p>
            <w:pPr>
              <w:pStyle w:val="13"/>
            </w:pPr>
            <w:r>
              <w:t>588.22</w:t>
            </w:r>
          </w:p>
        </w:tc>
        <w:tc>
          <w:tcPr>
            <w:tcW w:w="1361" w:type="dxa"/>
            <w:vAlign w:val="center"/>
          </w:tcPr>
          <w:p>
            <w:pPr>
              <w:pStyle w:val="13"/>
            </w:pPr>
            <w:r>
              <w:t>588.22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2011399</w:t>
            </w:r>
          </w:p>
        </w:tc>
        <w:tc>
          <w:tcPr>
            <w:tcW w:w="4535" w:type="dxa"/>
            <w:vAlign w:val="center"/>
          </w:tcPr>
          <w:p>
            <w:pPr>
              <w:pStyle w:val="14"/>
            </w:pPr>
            <w:r>
              <w:t>其他商贸事务支出</w:t>
            </w:r>
          </w:p>
        </w:tc>
        <w:tc>
          <w:tcPr>
            <w:tcW w:w="1361" w:type="dxa"/>
            <w:vAlign w:val="center"/>
          </w:tcPr>
          <w:p>
            <w:pPr>
              <w:pStyle w:val="13"/>
            </w:pPr>
            <w:r>
              <w:t>32.46</w:t>
            </w:r>
          </w:p>
        </w:tc>
        <w:tc>
          <w:tcPr>
            <w:tcW w:w="1361" w:type="dxa"/>
            <w:vAlign w:val="center"/>
          </w:tcPr>
          <w:p>
            <w:pPr>
              <w:pStyle w:val="13"/>
            </w:pPr>
          </w:p>
        </w:tc>
        <w:tc>
          <w:tcPr>
            <w:tcW w:w="1361" w:type="dxa"/>
            <w:vAlign w:val="center"/>
          </w:tcPr>
          <w:p>
            <w:pPr>
              <w:pStyle w:val="13"/>
            </w:pPr>
            <w:r>
              <w:t>32.46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345高阳县庞口汽车农机配件城服务中心</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620.68</w:t>
            </w:r>
          </w:p>
        </w:tc>
        <w:tc>
          <w:tcPr>
            <w:tcW w:w="3402" w:type="dxa"/>
            <w:vAlign w:val="center"/>
          </w:tcPr>
          <w:p>
            <w:pPr>
              <w:pStyle w:val="14"/>
            </w:pPr>
            <w:r>
              <w:t>一、一般公共服务支出</w:t>
            </w:r>
          </w:p>
        </w:tc>
        <w:tc>
          <w:tcPr>
            <w:tcW w:w="1474" w:type="dxa"/>
            <w:vAlign w:val="center"/>
          </w:tcPr>
          <w:p>
            <w:pPr>
              <w:pStyle w:val="13"/>
            </w:pPr>
            <w:r>
              <w:t>620.68</w:t>
            </w:r>
          </w:p>
        </w:tc>
        <w:tc>
          <w:tcPr>
            <w:tcW w:w="1474" w:type="dxa"/>
            <w:vAlign w:val="center"/>
          </w:tcPr>
          <w:p>
            <w:pPr>
              <w:pStyle w:val="13"/>
            </w:pPr>
            <w:r>
              <w:t>620.68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620.68</w:t>
            </w:r>
          </w:p>
        </w:tc>
        <w:tc>
          <w:tcPr>
            <w:tcW w:w="3402" w:type="dxa"/>
            <w:vAlign w:val="center"/>
          </w:tcPr>
          <w:p>
            <w:pPr>
              <w:pStyle w:val="16"/>
            </w:pPr>
            <w:r>
              <w:t>本年支出合计</w:t>
            </w:r>
          </w:p>
        </w:tc>
        <w:tc>
          <w:tcPr>
            <w:tcW w:w="1474" w:type="dxa"/>
            <w:vAlign w:val="center"/>
          </w:tcPr>
          <w:p>
            <w:pPr>
              <w:pStyle w:val="17"/>
            </w:pPr>
            <w:r>
              <w:t>620.68</w:t>
            </w:r>
          </w:p>
        </w:tc>
        <w:tc>
          <w:tcPr>
            <w:tcW w:w="1474" w:type="dxa"/>
            <w:vAlign w:val="center"/>
          </w:tcPr>
          <w:p>
            <w:pPr>
              <w:pStyle w:val="17"/>
            </w:pPr>
            <w:r>
              <w:t>620.68</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620.68</w:t>
            </w:r>
          </w:p>
        </w:tc>
        <w:tc>
          <w:tcPr>
            <w:tcW w:w="3402" w:type="dxa"/>
            <w:vAlign w:val="center"/>
          </w:tcPr>
          <w:p>
            <w:pPr>
              <w:pStyle w:val="16"/>
            </w:pPr>
            <w:r>
              <w:t>支出总计</w:t>
            </w:r>
          </w:p>
        </w:tc>
        <w:tc>
          <w:tcPr>
            <w:tcW w:w="1474" w:type="dxa"/>
            <w:vAlign w:val="center"/>
          </w:tcPr>
          <w:p>
            <w:pPr>
              <w:pStyle w:val="17"/>
            </w:pPr>
            <w:r>
              <w:t>620.68</w:t>
            </w:r>
          </w:p>
        </w:tc>
        <w:tc>
          <w:tcPr>
            <w:tcW w:w="1474" w:type="dxa"/>
            <w:vAlign w:val="center"/>
          </w:tcPr>
          <w:p>
            <w:pPr>
              <w:pStyle w:val="17"/>
            </w:pPr>
            <w:r>
              <w:t>620.68</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345高阳县庞口汽车农机配件城服务中心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620.68</w:t>
            </w:r>
          </w:p>
        </w:tc>
        <w:tc>
          <w:tcPr>
            <w:tcW w:w="2551" w:type="dxa"/>
            <w:vAlign w:val="center"/>
          </w:tcPr>
          <w:p>
            <w:pPr>
              <w:pStyle w:val="17"/>
            </w:pPr>
            <w:r>
              <w:t>588.22</w:t>
            </w:r>
          </w:p>
        </w:tc>
        <w:tc>
          <w:tcPr>
            <w:tcW w:w="2551" w:type="dxa"/>
            <w:vAlign w:val="center"/>
          </w:tcPr>
          <w:p>
            <w:pPr>
              <w:pStyle w:val="17"/>
            </w:pPr>
            <w:r>
              <w:t>32.46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620.68</w:t>
            </w:r>
          </w:p>
        </w:tc>
        <w:tc>
          <w:tcPr>
            <w:tcW w:w="2551" w:type="dxa"/>
            <w:vAlign w:val="center"/>
          </w:tcPr>
          <w:p>
            <w:pPr>
              <w:pStyle w:val="13"/>
            </w:pPr>
            <w:r>
              <w:t>588.22</w:t>
            </w:r>
          </w:p>
        </w:tc>
        <w:tc>
          <w:tcPr>
            <w:tcW w:w="2551" w:type="dxa"/>
            <w:vAlign w:val="center"/>
          </w:tcPr>
          <w:p>
            <w:pPr>
              <w:pStyle w:val="13"/>
            </w:pPr>
            <w:r>
              <w:t>32.46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20113</w:t>
            </w:r>
          </w:p>
        </w:tc>
        <w:tc>
          <w:tcPr>
            <w:tcW w:w="4535" w:type="dxa"/>
            <w:vAlign w:val="center"/>
          </w:tcPr>
          <w:p>
            <w:pPr>
              <w:pStyle w:val="14"/>
            </w:pPr>
            <w:r>
              <w:t>商贸事务</w:t>
            </w:r>
          </w:p>
        </w:tc>
        <w:tc>
          <w:tcPr>
            <w:tcW w:w="2551" w:type="dxa"/>
            <w:vAlign w:val="center"/>
          </w:tcPr>
          <w:p>
            <w:pPr>
              <w:pStyle w:val="13"/>
            </w:pPr>
            <w:r>
              <w:t>620.68</w:t>
            </w:r>
          </w:p>
        </w:tc>
        <w:tc>
          <w:tcPr>
            <w:tcW w:w="2551" w:type="dxa"/>
            <w:vAlign w:val="center"/>
          </w:tcPr>
          <w:p>
            <w:pPr>
              <w:pStyle w:val="13"/>
            </w:pPr>
            <w:r>
              <w:t>588.22</w:t>
            </w:r>
          </w:p>
        </w:tc>
        <w:tc>
          <w:tcPr>
            <w:tcW w:w="2551" w:type="dxa"/>
            <w:vAlign w:val="center"/>
          </w:tcPr>
          <w:p>
            <w:pPr>
              <w:pStyle w:val="13"/>
            </w:pPr>
            <w:r>
              <w:t>32.46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2011350</w:t>
            </w:r>
          </w:p>
        </w:tc>
        <w:tc>
          <w:tcPr>
            <w:tcW w:w="4535" w:type="dxa"/>
            <w:vAlign w:val="center"/>
          </w:tcPr>
          <w:p>
            <w:pPr>
              <w:pStyle w:val="14"/>
            </w:pPr>
            <w:r>
              <w:t>事业运行</w:t>
            </w:r>
          </w:p>
        </w:tc>
        <w:tc>
          <w:tcPr>
            <w:tcW w:w="2551" w:type="dxa"/>
            <w:vAlign w:val="center"/>
          </w:tcPr>
          <w:p>
            <w:pPr>
              <w:pStyle w:val="13"/>
            </w:pPr>
            <w:r>
              <w:t>588.22</w:t>
            </w:r>
          </w:p>
        </w:tc>
        <w:tc>
          <w:tcPr>
            <w:tcW w:w="2551" w:type="dxa"/>
            <w:vAlign w:val="center"/>
          </w:tcPr>
          <w:p>
            <w:pPr>
              <w:pStyle w:val="13"/>
            </w:pPr>
            <w:r>
              <w:t>588.22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2011399</w:t>
            </w:r>
          </w:p>
        </w:tc>
        <w:tc>
          <w:tcPr>
            <w:tcW w:w="4535" w:type="dxa"/>
            <w:vAlign w:val="center"/>
          </w:tcPr>
          <w:p>
            <w:pPr>
              <w:pStyle w:val="14"/>
            </w:pPr>
            <w:r>
              <w:t>其他商贸事务支出</w:t>
            </w:r>
          </w:p>
        </w:tc>
        <w:tc>
          <w:tcPr>
            <w:tcW w:w="2551" w:type="dxa"/>
            <w:vAlign w:val="center"/>
          </w:tcPr>
          <w:p>
            <w:pPr>
              <w:pStyle w:val="13"/>
            </w:pPr>
            <w:r>
              <w:t>32.46</w:t>
            </w:r>
          </w:p>
        </w:tc>
        <w:tc>
          <w:tcPr>
            <w:tcW w:w="2551" w:type="dxa"/>
            <w:vAlign w:val="center"/>
          </w:tcPr>
          <w:p>
            <w:pPr>
              <w:pStyle w:val="13"/>
            </w:pPr>
          </w:p>
        </w:tc>
        <w:tc>
          <w:tcPr>
            <w:tcW w:w="2551" w:type="dxa"/>
            <w:vAlign w:val="center"/>
          </w:tcPr>
          <w:p>
            <w:pPr>
              <w:pStyle w:val="13"/>
            </w:pPr>
            <w:r>
              <w:t>32.46</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345高阳县庞口汽车农机配件城服务中心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588.22</w:t>
            </w:r>
          </w:p>
        </w:tc>
        <w:tc>
          <w:tcPr>
            <w:tcW w:w="2551" w:type="dxa"/>
            <w:vAlign w:val="center"/>
          </w:tcPr>
          <w:p>
            <w:pPr>
              <w:pStyle w:val="17"/>
            </w:pPr>
            <w:r>
              <w:t>554.51</w:t>
            </w:r>
          </w:p>
        </w:tc>
        <w:tc>
          <w:tcPr>
            <w:tcW w:w="2551" w:type="dxa"/>
            <w:vAlign w:val="center"/>
          </w:tcPr>
          <w:p>
            <w:pPr>
              <w:pStyle w:val="17"/>
            </w:pPr>
            <w:r>
              <w:t>33.71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554.51</w:t>
            </w:r>
          </w:p>
        </w:tc>
        <w:tc>
          <w:tcPr>
            <w:tcW w:w="2551" w:type="dxa"/>
            <w:vAlign w:val="center"/>
          </w:tcPr>
          <w:p>
            <w:pPr>
              <w:pStyle w:val="13"/>
            </w:pPr>
            <w:r>
              <w:t>554.51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554.51</w:t>
            </w:r>
          </w:p>
        </w:tc>
        <w:tc>
          <w:tcPr>
            <w:tcW w:w="2551" w:type="dxa"/>
            <w:vAlign w:val="center"/>
          </w:tcPr>
          <w:p>
            <w:pPr>
              <w:pStyle w:val="13"/>
            </w:pPr>
            <w:r>
              <w:t>554.51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31.11</w:t>
            </w:r>
          </w:p>
        </w:tc>
        <w:tc>
          <w:tcPr>
            <w:tcW w:w="2551" w:type="dxa"/>
            <w:vAlign w:val="center"/>
          </w:tcPr>
          <w:p>
            <w:pPr>
              <w:pStyle w:val="13"/>
            </w:pPr>
          </w:p>
        </w:tc>
        <w:tc>
          <w:tcPr>
            <w:tcW w:w="2551" w:type="dxa"/>
            <w:vAlign w:val="center"/>
          </w:tcPr>
          <w:p>
            <w:pPr>
              <w:pStyle w:val="13"/>
            </w:pPr>
            <w:r>
              <w:t>31.11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7.50</w:t>
            </w:r>
          </w:p>
        </w:tc>
        <w:tc>
          <w:tcPr>
            <w:tcW w:w="2551" w:type="dxa"/>
            <w:vAlign w:val="center"/>
          </w:tcPr>
          <w:p>
            <w:pPr>
              <w:pStyle w:val="13"/>
            </w:pPr>
          </w:p>
        </w:tc>
        <w:tc>
          <w:tcPr>
            <w:tcW w:w="2551" w:type="dxa"/>
            <w:vAlign w:val="center"/>
          </w:tcPr>
          <w:p>
            <w:pPr>
              <w:pStyle w:val="13"/>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0.30</w:t>
            </w:r>
          </w:p>
        </w:tc>
        <w:tc>
          <w:tcPr>
            <w:tcW w:w="2551" w:type="dxa"/>
            <w:vAlign w:val="center"/>
          </w:tcPr>
          <w:p>
            <w:pPr>
              <w:pStyle w:val="13"/>
            </w:pPr>
          </w:p>
        </w:tc>
        <w:tc>
          <w:tcPr>
            <w:tcW w:w="2551"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30204</w:t>
            </w:r>
          </w:p>
        </w:tc>
        <w:tc>
          <w:tcPr>
            <w:tcW w:w="4535" w:type="dxa"/>
            <w:vAlign w:val="center"/>
          </w:tcPr>
          <w:p>
            <w:pPr>
              <w:pStyle w:val="14"/>
            </w:pPr>
            <w:r>
              <w:t>手续费</w:t>
            </w:r>
          </w:p>
        </w:tc>
        <w:tc>
          <w:tcPr>
            <w:tcW w:w="2551" w:type="dxa"/>
            <w:vAlign w:val="center"/>
          </w:tcPr>
          <w:p>
            <w:pPr>
              <w:pStyle w:val="13"/>
            </w:pPr>
            <w:r>
              <w:t>0.20</w:t>
            </w:r>
          </w:p>
        </w:tc>
        <w:tc>
          <w:tcPr>
            <w:tcW w:w="2551" w:type="dxa"/>
            <w:vAlign w:val="center"/>
          </w:tcPr>
          <w:p>
            <w:pPr>
              <w:pStyle w:val="13"/>
            </w:pPr>
          </w:p>
        </w:tc>
        <w:tc>
          <w:tcPr>
            <w:tcW w:w="2551" w:type="dxa"/>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7.44</w:t>
            </w:r>
          </w:p>
        </w:tc>
        <w:tc>
          <w:tcPr>
            <w:tcW w:w="2551" w:type="dxa"/>
            <w:vAlign w:val="center"/>
          </w:tcPr>
          <w:p>
            <w:pPr>
              <w:pStyle w:val="13"/>
            </w:pPr>
          </w:p>
        </w:tc>
        <w:tc>
          <w:tcPr>
            <w:tcW w:w="2551" w:type="dxa"/>
            <w:vAlign w:val="center"/>
          </w:tcPr>
          <w:p>
            <w:pPr>
              <w:pStyle w:val="13"/>
            </w:pPr>
            <w:r>
              <w:t>7.44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3.43</w:t>
            </w:r>
          </w:p>
        </w:tc>
        <w:tc>
          <w:tcPr>
            <w:tcW w:w="2551" w:type="dxa"/>
            <w:vAlign w:val="center"/>
          </w:tcPr>
          <w:p>
            <w:pPr>
              <w:pStyle w:val="13"/>
            </w:pPr>
          </w:p>
        </w:tc>
        <w:tc>
          <w:tcPr>
            <w:tcW w:w="2551" w:type="dxa"/>
            <w:vAlign w:val="center"/>
          </w:tcPr>
          <w:p>
            <w:pPr>
              <w:pStyle w:val="13"/>
            </w:pPr>
            <w:r>
              <w:t>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30209</w:t>
            </w:r>
          </w:p>
        </w:tc>
        <w:tc>
          <w:tcPr>
            <w:tcW w:w="4535" w:type="dxa"/>
            <w:vAlign w:val="center"/>
          </w:tcPr>
          <w:p>
            <w:pPr>
              <w:pStyle w:val="14"/>
            </w:pPr>
            <w:r>
              <w:t>物业管理费</w:t>
            </w:r>
          </w:p>
        </w:tc>
        <w:tc>
          <w:tcPr>
            <w:tcW w:w="2551" w:type="dxa"/>
            <w:vAlign w:val="center"/>
          </w:tcPr>
          <w:p>
            <w:pPr>
              <w:pStyle w:val="13"/>
            </w:pPr>
            <w:r>
              <w:t>0.80</w:t>
            </w:r>
          </w:p>
        </w:tc>
        <w:tc>
          <w:tcPr>
            <w:tcW w:w="2551" w:type="dxa"/>
            <w:vAlign w:val="center"/>
          </w:tcPr>
          <w:p>
            <w:pPr>
              <w:pStyle w:val="13"/>
            </w:pPr>
          </w:p>
        </w:tc>
        <w:tc>
          <w:tcPr>
            <w:tcW w:w="2551" w:type="dxa"/>
            <w:vAlign w:val="center"/>
          </w:tcPr>
          <w:p>
            <w:pPr>
              <w:pStyle w:val="13"/>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1.10</w:t>
            </w:r>
          </w:p>
        </w:tc>
        <w:tc>
          <w:tcPr>
            <w:tcW w:w="2551" w:type="dxa"/>
            <w:vAlign w:val="center"/>
          </w:tcPr>
          <w:p>
            <w:pPr>
              <w:pStyle w:val="13"/>
            </w:pPr>
          </w:p>
        </w:tc>
        <w:tc>
          <w:tcPr>
            <w:tcW w:w="2551" w:type="dxa"/>
            <w:vAlign w:val="center"/>
          </w:tcPr>
          <w:p>
            <w:pPr>
              <w:pStyle w:val="13"/>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0.32</w:t>
            </w:r>
          </w:p>
        </w:tc>
        <w:tc>
          <w:tcPr>
            <w:tcW w:w="2551" w:type="dxa"/>
            <w:vAlign w:val="center"/>
          </w:tcPr>
          <w:p>
            <w:pPr>
              <w:pStyle w:val="13"/>
            </w:pPr>
          </w:p>
        </w:tc>
        <w:tc>
          <w:tcPr>
            <w:tcW w:w="2551" w:type="dxa"/>
            <w:vAlign w:val="center"/>
          </w:tcPr>
          <w:p>
            <w:pPr>
              <w:pStyle w:val="13"/>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0.32</w:t>
            </w:r>
          </w:p>
        </w:tc>
        <w:tc>
          <w:tcPr>
            <w:tcW w:w="2551" w:type="dxa"/>
            <w:vAlign w:val="center"/>
          </w:tcPr>
          <w:p>
            <w:pPr>
              <w:pStyle w:val="13"/>
            </w:pPr>
          </w:p>
        </w:tc>
        <w:tc>
          <w:tcPr>
            <w:tcW w:w="2551" w:type="dxa"/>
            <w:vAlign w:val="center"/>
          </w:tcPr>
          <w:p>
            <w:pPr>
              <w:pStyle w:val="13"/>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30227</w:t>
            </w:r>
          </w:p>
        </w:tc>
        <w:tc>
          <w:tcPr>
            <w:tcW w:w="4535" w:type="dxa"/>
            <w:vAlign w:val="center"/>
          </w:tcPr>
          <w:p>
            <w:pPr>
              <w:pStyle w:val="14"/>
            </w:pPr>
            <w:r>
              <w:t>委托业务费</w:t>
            </w:r>
          </w:p>
        </w:tc>
        <w:tc>
          <w:tcPr>
            <w:tcW w:w="2551" w:type="dxa"/>
            <w:vAlign w:val="center"/>
          </w:tcPr>
          <w:p>
            <w:pPr>
              <w:pStyle w:val="13"/>
            </w:pPr>
            <w:r>
              <w:t>1.82</w:t>
            </w:r>
          </w:p>
        </w:tc>
        <w:tc>
          <w:tcPr>
            <w:tcW w:w="2551" w:type="dxa"/>
            <w:vAlign w:val="center"/>
          </w:tcPr>
          <w:p>
            <w:pPr>
              <w:pStyle w:val="13"/>
            </w:pPr>
          </w:p>
        </w:tc>
        <w:tc>
          <w:tcPr>
            <w:tcW w:w="2551" w:type="dxa"/>
            <w:vAlign w:val="center"/>
          </w:tcPr>
          <w:p>
            <w:pPr>
              <w:pStyle w:val="13"/>
            </w:pPr>
            <w:r>
              <w:t>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4.13</w:t>
            </w:r>
          </w:p>
        </w:tc>
        <w:tc>
          <w:tcPr>
            <w:tcW w:w="2551" w:type="dxa"/>
            <w:vAlign w:val="center"/>
          </w:tcPr>
          <w:p>
            <w:pPr>
              <w:pStyle w:val="13"/>
            </w:pPr>
          </w:p>
        </w:tc>
        <w:tc>
          <w:tcPr>
            <w:tcW w:w="2551" w:type="dxa"/>
            <w:vAlign w:val="center"/>
          </w:tcPr>
          <w:p>
            <w:pPr>
              <w:pStyle w:val="13"/>
            </w:pPr>
            <w:r>
              <w:t>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3.45</w:t>
            </w:r>
          </w:p>
        </w:tc>
        <w:tc>
          <w:tcPr>
            <w:tcW w:w="2551" w:type="dxa"/>
            <w:vAlign w:val="center"/>
          </w:tcPr>
          <w:p>
            <w:pPr>
              <w:pStyle w:val="13"/>
            </w:pPr>
          </w:p>
        </w:tc>
        <w:tc>
          <w:tcPr>
            <w:tcW w:w="2551" w:type="dxa"/>
            <w:vAlign w:val="center"/>
          </w:tcPr>
          <w:p>
            <w:pPr>
              <w:pStyle w:val="13"/>
            </w:pPr>
            <w:r>
              <w:t>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0.30</w:t>
            </w:r>
          </w:p>
        </w:tc>
        <w:tc>
          <w:tcPr>
            <w:tcW w:w="2551" w:type="dxa"/>
            <w:vAlign w:val="center"/>
          </w:tcPr>
          <w:p>
            <w:pPr>
              <w:pStyle w:val="13"/>
            </w:pPr>
          </w:p>
        </w:tc>
        <w:tc>
          <w:tcPr>
            <w:tcW w:w="2551"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2.60</w:t>
            </w:r>
          </w:p>
        </w:tc>
        <w:tc>
          <w:tcPr>
            <w:tcW w:w="2551" w:type="dxa"/>
            <w:vAlign w:val="center"/>
          </w:tcPr>
          <w:p>
            <w:pPr>
              <w:pStyle w:val="13"/>
            </w:pPr>
          </w:p>
        </w:tc>
        <w:tc>
          <w:tcPr>
            <w:tcW w:w="2551" w:type="dxa"/>
            <w:vAlign w:val="center"/>
          </w:tcPr>
          <w:p>
            <w:pPr>
              <w:pStyle w:val="13"/>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2.60</w:t>
            </w:r>
          </w:p>
        </w:tc>
        <w:tc>
          <w:tcPr>
            <w:tcW w:w="2551" w:type="dxa"/>
            <w:vAlign w:val="center"/>
          </w:tcPr>
          <w:p>
            <w:pPr>
              <w:pStyle w:val="13"/>
            </w:pPr>
          </w:p>
        </w:tc>
        <w:tc>
          <w:tcPr>
            <w:tcW w:w="2551" w:type="dxa"/>
            <w:vAlign w:val="center"/>
          </w:tcPr>
          <w:p>
            <w:pPr>
              <w:pStyle w:val="13"/>
            </w:pPr>
            <w:r>
              <w:t>2.60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345高阳县庞口汽车农机配件城服务中心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345高阳县庞口汽车农机配件城服务中心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345高阳县庞口汽车农机配件城服务中心</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2" w:type="dxa"/>
            <w:vAlign w:val="center"/>
          </w:tcPr>
          <w:p>
            <w:pPr>
              <w:pStyle w:val="17"/>
            </w:pPr>
            <w:r>
              <w:t>0.32</w:t>
            </w:r>
          </w:p>
        </w:tc>
        <w:tc>
          <w:tcPr>
            <w:tcW w:w="2381" w:type="dxa"/>
            <w:vAlign w:val="center"/>
          </w:tcPr>
          <w:p>
            <w:pPr>
              <w:pStyle w:val="17"/>
            </w:pPr>
            <w:r>
              <w:t>0.32</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一、因公出国（境）费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二、公务用车购置及运维费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其中：公务用车购置费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公务用车运行维护费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三、公务接待费</w:t>
            </w:r>
          </w:p>
        </w:tc>
        <w:tc>
          <w:tcPr>
            <w:tcW w:w="2382" w:type="dxa"/>
            <w:vAlign w:val="center"/>
          </w:tcPr>
          <w:p>
            <w:pPr>
              <w:pStyle w:val="13"/>
            </w:pPr>
            <w:r>
              <w:t>0.32</w:t>
            </w:r>
          </w:p>
        </w:tc>
        <w:tc>
          <w:tcPr>
            <w:tcW w:w="2381" w:type="dxa"/>
            <w:vAlign w:val="center"/>
          </w:tcPr>
          <w:p>
            <w:pPr>
              <w:pStyle w:val="13"/>
            </w:pPr>
            <w:r>
              <w:t>0.32</w:t>
            </w:r>
          </w:p>
        </w:tc>
        <w:tc>
          <w:tcPr>
            <w:tcW w:w="2381" w:type="dxa"/>
            <w:vAlign w:val="center"/>
          </w:tcPr>
          <w:p>
            <w:pPr>
              <w:pStyle w:val="13"/>
            </w:pPr>
          </w:p>
        </w:tc>
        <w:tc>
          <w:tcPr>
            <w:tcW w:w="2381" w:type="dxa"/>
            <w:vAlign w:val="center"/>
          </w:tcPr>
          <w:p>
            <w:pPr>
              <w:pStyle w:val="13"/>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高阳县庞口汽车农机配件城服务中心2023年部门预算信息公开情况说明</w:t>
      </w:r>
    </w:p>
    <w:p>
      <w:pPr>
        <w:jc w:val="center"/>
      </w:pPr>
      <w:r>
        <w:rPr>
          <w:rFonts w:ascii="方正小标宋_GBK" w:hAnsi="方正小标宋_GBK" w:eastAsia="方正小标宋_GBK" w:cs="方正小标宋_GBK"/>
          <w:color w:val="000000"/>
          <w:sz w:val="44"/>
        </w:rPr>
        <w:t>高阳县庞口汽车农机配件城服务中心2023年部门预算信息公开情况说明</w:t>
      </w:r>
    </w:p>
    <w:p>
      <w:pPr>
        <w:spacing w:line="500" w:lineRule="exact"/>
        <w:ind w:firstLine="560"/>
        <w:rPr>
          <w:rFonts w:ascii="宋体" w:hAnsi="宋体" w:eastAsia="宋体" w:cs="宋体"/>
          <w:sz w:val="28"/>
          <w:szCs w:val="28"/>
        </w:rPr>
      </w:pPr>
      <w:r>
        <w:rPr>
          <w:rFonts w:hint="eastAsia" w:ascii="宋体" w:hAnsi="宋体" w:eastAsia="宋体" w:cs="宋体"/>
          <w:color w:val="000000"/>
          <w:sz w:val="28"/>
          <w:szCs w:val="28"/>
        </w:rPr>
        <w:t>按照</w:t>
      </w:r>
      <w:r>
        <w:rPr>
          <w:rFonts w:hint="eastAsia" w:ascii="宋体" w:hAnsi="宋体" w:eastAsia="宋体" w:cs="宋体"/>
          <w:color w:val="000000"/>
          <w:sz w:val="28"/>
          <w:szCs w:val="28"/>
          <w:lang w:eastAsia="zh-CN"/>
        </w:rPr>
        <w:t>《中华人民共和国预算法》</w:t>
      </w:r>
      <w:r>
        <w:rPr>
          <w:rFonts w:hint="eastAsia" w:ascii="宋体" w:hAnsi="宋体" w:eastAsia="宋体" w:cs="宋体"/>
          <w:color w:val="000000"/>
          <w:sz w:val="28"/>
          <w:szCs w:val="28"/>
        </w:rPr>
        <w:t>、《地方预决算公开操作规程》和《关于进一步推进预算公开工作的实施意见》规定，现将高阳县庞口汽车农机配件城服务中心2023年部门预算公开如下：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9"/>
        <w:rPr>
          <w:rFonts w:ascii="宋体" w:hAnsi="宋体" w:eastAsia="宋体" w:cs="宋体"/>
        </w:rPr>
      </w:pPr>
      <w:r>
        <w:rPr>
          <w:rFonts w:hint="eastAsia" w:ascii="宋体" w:hAnsi="宋体" w:eastAsia="宋体" w:cs="宋体"/>
        </w:rPr>
        <w:t>根据高阳县编制委员会文件（高机编字（1995）4号）成立高阳县庞口市场管理委员会，隶属高阳县人民政府。对庞口汽车农机配件城实行综合管理。现将我部门概况说明如下：</w:t>
      </w:r>
    </w:p>
    <w:p>
      <w:pPr>
        <w:pStyle w:val="19"/>
        <w:rPr>
          <w:rFonts w:ascii="宋体" w:hAnsi="宋体" w:eastAsia="宋体" w:cs="宋体"/>
        </w:rPr>
      </w:pPr>
      <w:r>
        <w:rPr>
          <w:rFonts w:hint="eastAsia" w:ascii="宋体" w:hAnsi="宋体" w:eastAsia="宋体" w:cs="宋体"/>
        </w:rPr>
        <w:t>（一）、负责市场的规划、建设，制定市场的近期和远景规划。</w:t>
      </w:r>
    </w:p>
    <w:p>
      <w:pPr>
        <w:pStyle w:val="19"/>
        <w:rPr>
          <w:rFonts w:ascii="宋体" w:hAnsi="宋体" w:eastAsia="宋体" w:cs="宋体"/>
        </w:rPr>
      </w:pPr>
      <w:r>
        <w:rPr>
          <w:rFonts w:hint="eastAsia" w:ascii="宋体" w:hAnsi="宋体" w:eastAsia="宋体" w:cs="宋体"/>
        </w:rPr>
        <w:t>（二）、负责配件城区域内的贸易服务，经营、车辆、治安秩序的管理；依法收取有关管理费用。</w:t>
      </w:r>
    </w:p>
    <w:p>
      <w:pPr>
        <w:pStyle w:val="19"/>
        <w:rPr>
          <w:rFonts w:ascii="宋体" w:hAnsi="宋体" w:eastAsia="宋体" w:cs="宋体"/>
        </w:rPr>
      </w:pPr>
      <w:r>
        <w:rPr>
          <w:rFonts w:hint="eastAsia" w:ascii="宋体" w:hAnsi="宋体" w:eastAsia="宋体" w:cs="宋体"/>
        </w:rPr>
        <w:t>（三）、负责配件城公用设施的管理和物业管理。</w:t>
      </w:r>
    </w:p>
    <w:p>
      <w:pPr>
        <w:pStyle w:val="19"/>
        <w:rPr>
          <w:rFonts w:ascii="宋体" w:hAnsi="宋体" w:eastAsia="宋体" w:cs="宋体"/>
        </w:rPr>
      </w:pPr>
      <w:r>
        <w:rPr>
          <w:rFonts w:hint="eastAsia" w:ascii="宋体" w:hAnsi="宋体" w:eastAsia="宋体" w:cs="宋体"/>
        </w:rPr>
        <w:t>（四）、负责配件城城容、城貌及环境卫生的管理。</w:t>
      </w:r>
    </w:p>
    <w:p>
      <w:pPr>
        <w:pStyle w:val="19"/>
        <w:rPr>
          <w:rFonts w:ascii="宋体" w:hAnsi="宋体" w:eastAsia="宋体" w:cs="宋体"/>
        </w:rPr>
      </w:pPr>
      <w:r>
        <w:rPr>
          <w:rFonts w:hint="eastAsia" w:ascii="宋体" w:hAnsi="宋体" w:eastAsia="宋体" w:cs="宋体"/>
        </w:rPr>
        <w:t>（五）、协调、指导政府有关职能部门对市场实行管理。</w:t>
      </w:r>
    </w:p>
    <w:p>
      <w:pPr>
        <w:pStyle w:val="19"/>
      </w:pPr>
      <w:r>
        <w:rPr>
          <w:rFonts w:hint="eastAsia" w:ascii="宋体" w:hAnsi="宋体" w:eastAsia="宋体" w:cs="宋体"/>
        </w:rPr>
        <w:t>（六）、负责上级交办的其他事项。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高阳县庞口汽车农机配件城服务中心</w:t>
            </w:r>
          </w:p>
        </w:tc>
        <w:tc>
          <w:tcPr>
            <w:tcW w:w="1843" w:type="dxa"/>
            <w:vAlign w:val="center"/>
          </w:tcPr>
          <w:p>
            <w:pPr>
              <w:pStyle w:val="15"/>
            </w:pPr>
            <w:r>
              <w:t>事业</w:t>
            </w:r>
          </w:p>
        </w:tc>
        <w:tc>
          <w:tcPr>
            <w:tcW w:w="2126" w:type="dxa"/>
            <w:vAlign w:val="center"/>
          </w:tcPr>
          <w:p>
            <w:pPr>
              <w:pStyle w:val="15"/>
            </w:pPr>
            <w:r>
              <w:t>未定行政级别</w:t>
            </w:r>
          </w:p>
        </w:tc>
        <w:tc>
          <w:tcPr>
            <w:tcW w:w="3827" w:type="dxa"/>
            <w:vAlign w:val="center"/>
          </w:tcPr>
          <w:p>
            <w:pPr>
              <w:pStyle w:val="15"/>
            </w:pPr>
            <w:r>
              <w:t>财政性资金基本保证</w:t>
            </w:r>
          </w:p>
        </w:tc>
      </w:tr>
    </w:tbl>
    <w:p>
      <w:pPr>
        <w:spacing w:before="10" w:after="10" w:line="360" w:lineRule="auto"/>
        <w:ind w:firstLine="640"/>
        <w:outlineLvl w:val="2"/>
        <w:rPr>
          <w:rFonts w:eastAsia="黑体" w:cs="黑体" w:asciiTheme="minorHAnsi" w:hAnsiTheme="minorHAnsi"/>
          <w:color w:val="000000"/>
          <w:sz w:val="32"/>
          <w:lang w:val="uk-UA"/>
        </w:rPr>
      </w:pPr>
      <w:bookmarkStart w:id="10" w:name="_Toc_3_3_0000000011"/>
    </w:p>
    <w:p>
      <w:pPr>
        <w:spacing w:before="10" w:after="10" w:line="360" w:lineRule="auto"/>
        <w:ind w:firstLine="640"/>
        <w:outlineLvl w:val="2"/>
      </w:pPr>
      <w:r>
        <w:rPr>
          <w:rFonts w:ascii="黑体" w:hAnsi="黑体" w:eastAsia="黑体" w:cs="黑体"/>
          <w:color w:val="000000"/>
          <w:sz w:val="32"/>
        </w:rPr>
        <w:t>二、部门预算安排的总体情况</w:t>
      </w:r>
      <w:bookmarkEnd w:id="10"/>
    </w:p>
    <w:p>
      <w:pPr>
        <w:spacing w:line="500" w:lineRule="exact"/>
        <w:ind w:firstLine="560"/>
        <w:rPr>
          <w:rFonts w:ascii="宋体" w:hAnsi="宋体" w:eastAsia="宋体" w:cs="宋体"/>
          <w:sz w:val="28"/>
          <w:szCs w:val="28"/>
        </w:rPr>
      </w:pPr>
      <w:r>
        <w:rPr>
          <w:rFonts w:hint="eastAsia" w:ascii="宋体" w:hAnsi="宋体" w:eastAsia="宋体" w:cs="宋体"/>
          <w:color w:val="000000"/>
          <w:sz w:val="28"/>
          <w:szCs w:val="28"/>
        </w:rPr>
        <w:t>按照预算管理有关规定，目前我</w:t>
      </w:r>
      <w:r>
        <w:rPr>
          <w:rFonts w:hint="eastAsia" w:ascii="宋体" w:hAnsi="宋体" w:eastAsia="宋体" w:cs="宋体"/>
          <w:color w:val="000000"/>
          <w:sz w:val="28"/>
          <w:szCs w:val="28"/>
          <w:lang w:eastAsia="zh-CN"/>
        </w:rPr>
        <w:t>县</w:t>
      </w:r>
      <w:r>
        <w:rPr>
          <w:rFonts w:hint="eastAsia" w:ascii="宋体" w:hAnsi="宋体" w:eastAsia="宋体" w:cs="宋体"/>
          <w:color w:val="000000"/>
          <w:sz w:val="28"/>
          <w:szCs w:val="28"/>
        </w:rPr>
        <w:t>部门预算的编制实行综合预算管理，即全部收入和支出都反映在预算中。高阳县庞口汽车农机配件城服务中心机关及所属事业单位的收支包含在部门预算中。</w:t>
      </w:r>
    </w:p>
    <w:p>
      <w:pPr>
        <w:pStyle w:val="20"/>
        <w:rPr>
          <w:rFonts w:ascii="宋体" w:hAnsi="宋体" w:eastAsia="宋体" w:cs="宋体"/>
          <w:szCs w:val="28"/>
        </w:rPr>
      </w:pPr>
      <w:r>
        <w:rPr>
          <w:rFonts w:hint="eastAsia" w:ascii="宋体" w:hAnsi="宋体" w:eastAsia="宋体" w:cs="宋体"/>
          <w:szCs w:val="28"/>
        </w:rPr>
        <w:t>1、收入说明</w:t>
      </w:r>
    </w:p>
    <w:p>
      <w:pPr>
        <w:pStyle w:val="20"/>
        <w:rPr>
          <w:rFonts w:ascii="宋体" w:hAnsi="宋体" w:eastAsia="宋体" w:cs="宋体"/>
          <w:szCs w:val="28"/>
        </w:rPr>
      </w:pPr>
      <w:r>
        <w:rPr>
          <w:rFonts w:hint="eastAsia" w:ascii="宋体" w:hAnsi="宋体" w:eastAsia="宋体" w:cs="宋体"/>
          <w:szCs w:val="28"/>
        </w:rPr>
        <w:t>2023年高阳县庞口汽车农机配件城服务中心收入预算总额620.6765万元。</w:t>
      </w:r>
    </w:p>
    <w:p>
      <w:pPr>
        <w:pStyle w:val="20"/>
        <w:rPr>
          <w:rFonts w:ascii="宋体" w:hAnsi="宋体" w:eastAsia="宋体" w:cs="宋体"/>
          <w:szCs w:val="28"/>
        </w:rPr>
      </w:pPr>
      <w:r>
        <w:rPr>
          <w:rFonts w:hint="eastAsia" w:ascii="宋体" w:hAnsi="宋体" w:eastAsia="宋体" w:cs="宋体"/>
          <w:szCs w:val="28"/>
        </w:rPr>
        <w:t>资金来源：一般</w:t>
      </w:r>
      <w:r>
        <w:rPr>
          <w:rFonts w:hint="eastAsia" w:ascii="宋体" w:hAnsi="宋体" w:eastAsia="宋体" w:cs="宋体"/>
          <w:szCs w:val="28"/>
          <w:lang w:eastAsia="zh-CN"/>
        </w:rPr>
        <w:t>公共</w:t>
      </w:r>
      <w:r>
        <w:rPr>
          <w:rFonts w:hint="eastAsia" w:ascii="宋体" w:hAnsi="宋体" w:eastAsia="宋体" w:cs="宋体"/>
          <w:szCs w:val="28"/>
        </w:rPr>
        <w:t>预算收入620.6765万元，政府性基金收入0</w:t>
      </w:r>
      <w:r>
        <w:rPr>
          <w:rFonts w:hint="eastAsia" w:ascii="宋体" w:hAnsi="宋体" w:eastAsia="宋体" w:cs="宋体"/>
          <w:szCs w:val="28"/>
          <w:lang w:eastAsia="zh-CN"/>
        </w:rPr>
        <w:t>.00</w:t>
      </w:r>
      <w:r>
        <w:rPr>
          <w:rFonts w:hint="eastAsia" w:ascii="宋体" w:hAnsi="宋体" w:eastAsia="宋体" w:cs="宋体"/>
          <w:szCs w:val="28"/>
        </w:rPr>
        <w:t>万元，财政专户核拨收入0</w:t>
      </w:r>
      <w:r>
        <w:rPr>
          <w:rFonts w:hint="eastAsia" w:ascii="宋体" w:hAnsi="宋体" w:eastAsia="宋体" w:cs="宋体"/>
          <w:szCs w:val="28"/>
          <w:lang w:eastAsia="zh-CN"/>
        </w:rPr>
        <w:t>.00</w:t>
      </w:r>
      <w:r>
        <w:rPr>
          <w:rFonts w:hint="eastAsia" w:ascii="宋体" w:hAnsi="宋体" w:eastAsia="宋体" w:cs="宋体"/>
          <w:szCs w:val="28"/>
        </w:rPr>
        <w:t>万元，其他收入来源0</w:t>
      </w:r>
      <w:r>
        <w:rPr>
          <w:rFonts w:hint="eastAsia" w:ascii="宋体" w:hAnsi="宋体" w:eastAsia="宋体" w:cs="宋体"/>
          <w:szCs w:val="28"/>
          <w:lang w:eastAsia="zh-CN"/>
        </w:rPr>
        <w:t>.00</w:t>
      </w:r>
      <w:r>
        <w:rPr>
          <w:rFonts w:hint="eastAsia" w:ascii="宋体" w:hAnsi="宋体" w:eastAsia="宋体" w:cs="宋体"/>
          <w:szCs w:val="28"/>
        </w:rPr>
        <w:t>万元。</w:t>
      </w:r>
    </w:p>
    <w:p>
      <w:pPr>
        <w:pStyle w:val="20"/>
        <w:rPr>
          <w:rFonts w:ascii="宋体" w:hAnsi="宋体" w:eastAsia="宋体" w:cs="宋体"/>
          <w:szCs w:val="28"/>
        </w:rPr>
      </w:pPr>
      <w:r>
        <w:rPr>
          <w:rFonts w:hint="eastAsia" w:ascii="宋体" w:hAnsi="宋体" w:eastAsia="宋体" w:cs="宋体"/>
          <w:szCs w:val="28"/>
        </w:rPr>
        <w:t>2、支出说明</w:t>
      </w:r>
    </w:p>
    <w:p>
      <w:pPr>
        <w:pStyle w:val="20"/>
        <w:rPr>
          <w:rFonts w:ascii="宋体" w:hAnsi="宋体" w:eastAsia="宋体" w:cs="宋体"/>
          <w:szCs w:val="28"/>
          <w:lang w:eastAsia="zh-CN"/>
        </w:rPr>
      </w:pPr>
      <w:r>
        <w:rPr>
          <w:rFonts w:hint="eastAsia" w:ascii="宋体" w:hAnsi="宋体" w:eastAsia="宋体" w:cs="宋体"/>
          <w:szCs w:val="28"/>
        </w:rPr>
        <w:t>2023</w:t>
      </w:r>
      <w:r>
        <w:rPr>
          <w:rFonts w:hint="eastAsia" w:ascii="宋体" w:hAnsi="宋体" w:eastAsia="宋体" w:cs="宋体"/>
          <w:szCs w:val="28"/>
          <w:lang w:eastAsia="zh-CN"/>
        </w:rPr>
        <w:t>年</w:t>
      </w:r>
      <w:r>
        <w:rPr>
          <w:rFonts w:hint="eastAsia" w:ascii="宋体" w:hAnsi="宋体" w:eastAsia="宋体" w:cs="宋体"/>
          <w:szCs w:val="28"/>
        </w:rPr>
        <w:t>我部门预算支出总额620.6765万元，基本支出588.22万</w:t>
      </w:r>
      <w:r>
        <w:rPr>
          <w:rFonts w:hint="eastAsia" w:ascii="宋体" w:hAnsi="宋体" w:eastAsia="宋体" w:cs="宋体"/>
          <w:szCs w:val="28"/>
          <w:lang w:eastAsia="zh-CN"/>
        </w:rPr>
        <w:t>。</w:t>
      </w:r>
    </w:p>
    <w:p>
      <w:pPr>
        <w:pStyle w:val="20"/>
        <w:rPr>
          <w:rFonts w:ascii="宋体" w:hAnsi="宋体" w:eastAsia="宋体" w:cs="宋体"/>
          <w:szCs w:val="28"/>
          <w:lang w:eastAsia="zh-CN"/>
        </w:rPr>
      </w:pPr>
      <w:r>
        <w:rPr>
          <w:rFonts w:hint="eastAsia" w:ascii="宋体" w:hAnsi="宋体" w:eastAsia="宋体" w:cs="宋体"/>
          <w:szCs w:val="28"/>
        </w:rPr>
        <w:t>其中：人员经费554.51万元</w:t>
      </w:r>
      <w:r>
        <w:rPr>
          <w:rFonts w:hint="eastAsia" w:ascii="宋体" w:hAnsi="宋体" w:eastAsia="宋体" w:cs="宋体"/>
          <w:szCs w:val="28"/>
          <w:lang w:eastAsia="zh-CN"/>
        </w:rPr>
        <w:t>；</w:t>
      </w:r>
    </w:p>
    <w:p>
      <w:pPr>
        <w:pStyle w:val="20"/>
        <w:rPr>
          <w:rFonts w:ascii="宋体" w:hAnsi="宋体" w:eastAsia="宋体" w:cs="宋体"/>
          <w:szCs w:val="28"/>
        </w:rPr>
      </w:pPr>
      <w:r>
        <w:rPr>
          <w:rFonts w:hint="eastAsia" w:ascii="宋体" w:hAnsi="宋体" w:eastAsia="宋体" w:cs="宋体"/>
          <w:szCs w:val="28"/>
        </w:rPr>
        <w:t>日常公用经费33.71万元。</w:t>
      </w:r>
    </w:p>
    <w:p>
      <w:pPr>
        <w:pStyle w:val="20"/>
        <w:rPr>
          <w:rFonts w:ascii="宋体" w:hAnsi="宋体" w:eastAsia="宋体" w:cs="宋体"/>
          <w:szCs w:val="28"/>
          <w:lang w:eastAsia="zh-CN"/>
        </w:rPr>
      </w:pPr>
      <w:r>
        <w:rPr>
          <w:rFonts w:hint="eastAsia" w:ascii="宋体" w:hAnsi="宋体" w:eastAsia="宋体" w:cs="宋体"/>
          <w:szCs w:val="28"/>
        </w:rPr>
        <w:t>项目支出32.4565万</w:t>
      </w:r>
      <w:r>
        <w:rPr>
          <w:rFonts w:hint="eastAsia" w:ascii="宋体" w:hAnsi="宋体" w:eastAsia="宋体" w:cs="宋体"/>
          <w:szCs w:val="28"/>
          <w:lang w:eastAsia="zh-CN"/>
        </w:rPr>
        <w:t>元。</w:t>
      </w:r>
    </w:p>
    <w:p>
      <w:pPr>
        <w:pStyle w:val="20"/>
        <w:rPr>
          <w:rFonts w:ascii="宋体" w:hAnsi="宋体" w:eastAsia="宋体" w:cs="宋体"/>
          <w:szCs w:val="28"/>
          <w:lang w:eastAsia="zh-CN"/>
        </w:rPr>
      </w:pPr>
      <w:r>
        <w:rPr>
          <w:rFonts w:hint="eastAsia" w:ascii="宋体" w:hAnsi="宋体" w:eastAsia="宋体" w:cs="宋体"/>
          <w:szCs w:val="28"/>
        </w:rPr>
        <w:t>其中：高阳县庞口市场容貌综合整治10.00万元</w:t>
      </w:r>
      <w:r>
        <w:rPr>
          <w:rFonts w:hint="eastAsia" w:ascii="宋体" w:hAnsi="宋体" w:eastAsia="宋体" w:cs="宋体"/>
          <w:szCs w:val="28"/>
          <w:lang w:eastAsia="zh-CN"/>
        </w:rPr>
        <w:t>；</w:t>
      </w:r>
    </w:p>
    <w:p>
      <w:pPr>
        <w:pStyle w:val="20"/>
        <w:rPr>
          <w:rFonts w:ascii="宋体" w:hAnsi="宋体" w:eastAsia="宋体" w:cs="宋体"/>
          <w:szCs w:val="28"/>
          <w:lang w:eastAsia="zh-CN"/>
        </w:rPr>
      </w:pPr>
      <w:r>
        <w:rPr>
          <w:rFonts w:hint="eastAsia" w:ascii="宋体" w:hAnsi="宋体" w:eastAsia="宋体" w:cs="宋体"/>
          <w:szCs w:val="28"/>
        </w:rPr>
        <w:t>综合事务管理（劳务派遣）8.40万元</w:t>
      </w:r>
      <w:r>
        <w:rPr>
          <w:rFonts w:hint="eastAsia" w:ascii="宋体" w:hAnsi="宋体" w:eastAsia="宋体" w:cs="宋体"/>
          <w:szCs w:val="28"/>
          <w:lang w:eastAsia="zh-CN"/>
        </w:rPr>
        <w:t>；</w:t>
      </w:r>
    </w:p>
    <w:p>
      <w:pPr>
        <w:pStyle w:val="20"/>
        <w:rPr>
          <w:rFonts w:ascii="宋体" w:hAnsi="宋体" w:eastAsia="宋体" w:cs="宋体"/>
          <w:szCs w:val="28"/>
        </w:rPr>
      </w:pPr>
      <w:r>
        <w:rPr>
          <w:rFonts w:hint="eastAsia" w:ascii="宋体" w:hAnsi="宋体" w:eastAsia="宋体" w:cs="宋体"/>
          <w:szCs w:val="28"/>
        </w:rPr>
        <w:t>庞口市管会租金14.0565万元。</w:t>
      </w:r>
    </w:p>
    <w:p>
      <w:pPr>
        <w:pStyle w:val="20"/>
        <w:rPr>
          <w:rFonts w:ascii="宋体" w:hAnsi="宋体" w:eastAsia="宋体" w:cs="宋体"/>
          <w:szCs w:val="28"/>
        </w:rPr>
      </w:pPr>
      <w:r>
        <w:rPr>
          <w:rFonts w:hint="eastAsia" w:ascii="宋体" w:hAnsi="宋体" w:eastAsia="宋体" w:cs="宋体"/>
          <w:szCs w:val="28"/>
        </w:rPr>
        <w:t>3、与上年增减情况</w:t>
      </w:r>
    </w:p>
    <w:p>
      <w:pPr>
        <w:pStyle w:val="20"/>
        <w:rPr>
          <w:rFonts w:ascii="宋体" w:hAnsi="宋体" w:eastAsia="宋体" w:cs="宋体"/>
          <w:szCs w:val="28"/>
        </w:rPr>
      </w:pPr>
      <w:r>
        <w:rPr>
          <w:rFonts w:hint="eastAsia" w:ascii="宋体" w:hAnsi="宋体" w:eastAsia="宋体" w:cs="宋体"/>
          <w:szCs w:val="28"/>
        </w:rPr>
        <w:t>本年度预算收支安排620.6765万元，较上年增加97.9965万元，其中：人员经费增加109.41万元，主要是人员工资待遇提高。日常公用经费减少28.87万元，项目支出增加17.4565万元。主要原因是新增综合事务管理（劳务派遣）和庞口市管会租金两个项目。我部门严格控制日常公用经费支出，推进“三公”经费管理规范化、制度化，节约化，使日常公用经费逐年递减。</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1"/>
        <w:rPr>
          <w:rFonts w:eastAsia="宋体" w:cs="宋体" w:asciiTheme="minorHAnsi" w:hAnsiTheme="minorHAnsi"/>
          <w:lang w:val="uk-UA"/>
        </w:rPr>
      </w:pPr>
      <w:r>
        <w:rPr>
          <w:rFonts w:hint="eastAsia" w:ascii="宋体" w:eastAsia="宋体" w:cs="宋体"/>
        </w:rPr>
        <w:t>202</w:t>
      </w:r>
      <w:r>
        <w:rPr>
          <w:rFonts w:ascii="宋体" w:eastAsia="宋体" w:cs="宋体"/>
        </w:rPr>
        <w:t>3</w:t>
      </w:r>
      <w:r>
        <w:rPr>
          <w:rFonts w:hint="eastAsia" w:ascii="宋体" w:eastAsia="宋体" w:cs="宋体"/>
        </w:rPr>
        <w:t>年我部门运行经费</w:t>
      </w:r>
      <w:r>
        <w:rPr>
          <w:rFonts w:hint="eastAsia" w:ascii="宋体" w:eastAsia="宋体" w:cs="宋体"/>
          <w:lang w:eastAsia="zh-CN"/>
        </w:rPr>
        <w:t>共计安排</w:t>
      </w:r>
      <w:r>
        <w:rPr>
          <w:rFonts w:hint="eastAsia" w:ascii="宋体" w:eastAsia="宋体" w:cs="宋体"/>
          <w:lang w:val="en-US" w:eastAsia="zh-CN"/>
        </w:rPr>
        <w:t>33.07</w:t>
      </w:r>
      <w:r>
        <w:rPr>
          <w:rFonts w:hint="eastAsia" w:ascii="宋体" w:eastAsia="宋体" w:cs="宋体"/>
        </w:rPr>
        <w:t>万元，其中：办公费</w:t>
      </w:r>
      <w:r>
        <w:rPr>
          <w:rFonts w:hint="eastAsia" w:ascii="宋体" w:eastAsia="宋体" w:cs="宋体"/>
          <w:lang w:val="en-US" w:eastAsia="zh-CN"/>
        </w:rPr>
        <w:t>7.50</w:t>
      </w:r>
      <w:r>
        <w:rPr>
          <w:rFonts w:hint="eastAsia" w:ascii="宋体" w:eastAsia="宋体" w:cs="宋体"/>
        </w:rPr>
        <w:t>万元、</w:t>
      </w:r>
      <w:r>
        <w:rPr>
          <w:rFonts w:hint="eastAsia" w:ascii="宋体" w:eastAsia="宋体" w:cs="宋体"/>
          <w:lang w:val="en-US" w:eastAsia="zh-CN"/>
        </w:rPr>
        <w:t>印刷费0.30万元、手续费0.20万元、</w:t>
      </w:r>
      <w:r>
        <w:rPr>
          <w:rFonts w:hint="eastAsia" w:ascii="宋体" w:eastAsia="宋体" w:cs="宋体"/>
        </w:rPr>
        <w:t>邮电费</w:t>
      </w:r>
      <w:r>
        <w:rPr>
          <w:rFonts w:hint="eastAsia" w:ascii="宋体" w:eastAsia="宋体" w:cs="宋体"/>
          <w:lang w:val="en-US" w:eastAsia="zh-CN"/>
        </w:rPr>
        <w:t>7</w:t>
      </w:r>
      <w:r>
        <w:rPr>
          <w:rFonts w:hint="eastAsia" w:ascii="宋体" w:eastAsia="宋体" w:cs="宋体"/>
        </w:rPr>
        <w:t>.</w:t>
      </w:r>
      <w:r>
        <w:rPr>
          <w:rFonts w:hint="eastAsia" w:ascii="宋体" w:eastAsia="宋体" w:cs="宋体"/>
          <w:lang w:val="en-US" w:eastAsia="zh-CN"/>
        </w:rPr>
        <w:t>44</w:t>
      </w:r>
      <w:r>
        <w:rPr>
          <w:rFonts w:hint="eastAsia" w:ascii="宋体" w:eastAsia="宋体" w:cs="宋体"/>
        </w:rPr>
        <w:t>万元、</w:t>
      </w:r>
      <w:r>
        <w:rPr>
          <w:rFonts w:hint="eastAsia" w:ascii="宋体" w:eastAsia="宋体" w:cs="宋体"/>
          <w:lang w:val="en-US" w:eastAsia="zh-CN"/>
        </w:rPr>
        <w:t>取暖费3.43万元、物业管理费0.80万元、差旅费0.00</w:t>
      </w:r>
      <w:r>
        <w:rPr>
          <w:rFonts w:hint="eastAsia" w:ascii="宋体" w:eastAsia="宋体" w:cs="宋体"/>
        </w:rPr>
        <w:t>万元、</w:t>
      </w:r>
      <w:r>
        <w:rPr>
          <w:rFonts w:hint="eastAsia" w:ascii="宋体" w:eastAsia="宋体" w:cs="宋体"/>
          <w:lang w:val="en-US" w:eastAsia="zh-CN"/>
        </w:rPr>
        <w:t>会议费0.00万元、维修（护）费1.10万元、</w:t>
      </w:r>
      <w:r>
        <w:rPr>
          <w:rFonts w:hint="eastAsia" w:ascii="宋体" w:eastAsia="宋体" w:cs="宋体"/>
        </w:rPr>
        <w:t>公务用车维护费0.00万元、</w:t>
      </w:r>
      <w:r>
        <w:rPr>
          <w:rFonts w:hint="eastAsia" w:ascii="宋体" w:eastAsia="宋体" w:cs="宋体"/>
          <w:lang w:val="en-US" w:eastAsia="zh-CN"/>
        </w:rPr>
        <w:t>委托业务费1.82万元、工会经费4.13万元、福利费3.45万元、其他商品和服务支出0.30万元、办公设备购置2.60万元</w:t>
      </w:r>
      <w:r>
        <w:rPr>
          <w:rFonts w:hint="eastAsia" w:ascii="宋体" w:eastAsia="宋体" w:cs="宋体"/>
        </w:rPr>
        <w:t>。</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rPr>
          <w:rFonts w:hint="eastAsia" w:ascii="宋体" w:hAnsi="宋体" w:eastAsia="宋体" w:cs="宋体"/>
        </w:rPr>
        <w:t>2023年我部门预算批复“三公”经费0.32万元，其中因公出国</w:t>
      </w:r>
      <w:r>
        <w:rPr>
          <w:rFonts w:hint="eastAsia" w:ascii="宋体" w:hAnsi="宋体" w:eastAsia="宋体" w:cs="宋体"/>
          <w:lang w:eastAsia="zh-CN"/>
        </w:rPr>
        <w:t>（</w:t>
      </w:r>
      <w:r>
        <w:rPr>
          <w:rFonts w:hint="eastAsia" w:ascii="宋体" w:hAnsi="宋体" w:eastAsia="宋体" w:cs="宋体"/>
        </w:rPr>
        <w:t>境</w:t>
      </w:r>
      <w:r>
        <w:rPr>
          <w:rFonts w:hint="eastAsia" w:ascii="宋体" w:hAnsi="宋体" w:eastAsia="宋体" w:cs="宋体"/>
          <w:lang w:eastAsia="zh-CN"/>
        </w:rPr>
        <w:t>）</w:t>
      </w:r>
      <w:r>
        <w:rPr>
          <w:rFonts w:hint="eastAsia" w:ascii="宋体" w:hAnsi="宋体" w:eastAsia="宋体" w:cs="宋体"/>
        </w:rPr>
        <w:t>费0.00万元，公务用车购置与运维费0.00万元</w:t>
      </w:r>
      <w:r>
        <w:rPr>
          <w:rFonts w:hint="eastAsia" w:ascii="宋体" w:hAnsi="宋体" w:eastAsia="宋体" w:cs="宋体"/>
          <w:lang w:eastAsia="zh-CN"/>
        </w:rPr>
        <w:t>（其中：</w:t>
      </w:r>
      <w:r>
        <w:t>公务用车购置费</w:t>
      </w:r>
      <w:r>
        <w:rPr>
          <w:rFonts w:hint="eastAsia"/>
          <w:lang w:eastAsia="zh-CN"/>
        </w:rPr>
        <w:t>0.00万元</w:t>
      </w:r>
      <w:r>
        <w:rPr>
          <w:rFonts w:hint="eastAsia" w:ascii="宋体" w:hAnsi="宋体" w:eastAsia="宋体" w:cs="宋体"/>
        </w:rPr>
        <w:t>，</w:t>
      </w:r>
      <w:r>
        <w:t>公务用车运行维护费</w:t>
      </w:r>
      <w:r>
        <w:rPr>
          <w:rFonts w:hint="eastAsia"/>
          <w:lang w:eastAsia="zh-CN"/>
        </w:rPr>
        <w:t>0.00万元），</w:t>
      </w:r>
      <w:r>
        <w:rPr>
          <w:rFonts w:hint="eastAsia" w:ascii="宋体" w:hAnsi="宋体" w:eastAsia="宋体" w:cs="宋体"/>
        </w:rPr>
        <w:t>公务接待费0.32万元，与2022年减少0.04万元。我</w:t>
      </w:r>
      <w:r>
        <w:rPr>
          <w:rFonts w:hint="eastAsia" w:ascii="宋体" w:hAnsi="宋体" w:eastAsia="宋体" w:cs="宋体"/>
          <w:lang w:eastAsia="zh-CN"/>
        </w:rPr>
        <w:t>部门</w:t>
      </w:r>
      <w:r>
        <w:rPr>
          <w:rFonts w:hint="eastAsia" w:ascii="宋体" w:hAnsi="宋体" w:eastAsia="宋体" w:cs="宋体"/>
        </w:rPr>
        <w:t>针对“三公”经费支出制定了严格的管理制度，认真执行中央八项规定,厉行节约，杜绝浪费，从总量来讲，我</w:t>
      </w:r>
      <w:r>
        <w:rPr>
          <w:rFonts w:hint="eastAsia" w:ascii="宋体" w:hAnsi="宋体" w:eastAsia="宋体" w:cs="宋体"/>
          <w:lang w:eastAsia="zh-CN"/>
        </w:rPr>
        <w:t>部门</w:t>
      </w:r>
      <w:r>
        <w:rPr>
          <w:rFonts w:hint="eastAsia" w:ascii="宋体" w:hAnsi="宋体" w:eastAsia="宋体" w:cs="宋体"/>
        </w:rPr>
        <w:t>的“三公”经费与202</w:t>
      </w:r>
      <w:r>
        <w:rPr>
          <w:rFonts w:hint="eastAsia" w:ascii="宋体" w:hAnsi="宋体" w:eastAsia="宋体" w:cs="宋体"/>
          <w:lang w:eastAsia="zh-CN"/>
        </w:rPr>
        <w:t>2</w:t>
      </w:r>
      <w:r>
        <w:rPr>
          <w:rFonts w:hint="eastAsia" w:ascii="宋体" w:hAnsi="宋体" w:eastAsia="宋体" w:cs="宋体"/>
        </w:rPr>
        <w:t>年相比减少了</w:t>
      </w:r>
      <w:r>
        <w:rPr>
          <w:rFonts w:hint="eastAsia" w:ascii="宋体" w:hAnsi="宋体" w:eastAsia="宋体" w:cs="宋体"/>
          <w:lang w:eastAsia="zh-CN"/>
        </w:rPr>
        <w:t>0.04</w:t>
      </w:r>
      <w:r>
        <w:rPr>
          <w:rFonts w:hint="eastAsia" w:ascii="宋体" w:hAnsi="宋体" w:eastAsia="宋体" w:cs="宋体"/>
        </w:rPr>
        <w:t>万元。</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rPr>
          <w:rFonts w:ascii="宋体" w:hAnsi="宋体" w:eastAsia="宋体" w:cs="宋体"/>
          <w:sz w:val="28"/>
          <w:szCs w:val="28"/>
        </w:rPr>
      </w:pPr>
      <w:r>
        <w:rPr>
          <w:rFonts w:hint="eastAsia" w:ascii="宋体" w:hAnsi="宋体" w:eastAsia="宋体" w:cs="宋体"/>
          <w:color w:val="000000"/>
          <w:sz w:val="28"/>
          <w:szCs w:val="28"/>
        </w:rPr>
        <w:t>（一）总体绩效目标</w:t>
      </w:r>
    </w:p>
    <w:p>
      <w:pPr>
        <w:pStyle w:val="23"/>
        <w:rPr>
          <w:rFonts w:ascii="宋体" w:hAnsi="宋体" w:eastAsia="宋体" w:cs="宋体"/>
          <w:szCs w:val="28"/>
        </w:rPr>
      </w:pPr>
      <w:r>
        <w:rPr>
          <w:rFonts w:hint="eastAsia" w:ascii="宋体" w:hAnsi="宋体" w:eastAsia="宋体" w:cs="宋体"/>
          <w:szCs w:val="28"/>
        </w:rPr>
        <w:t>2023年，我们将认真落实</w:t>
      </w:r>
      <w:r>
        <w:rPr>
          <w:rFonts w:hint="eastAsia" w:ascii="宋体" w:hAnsi="宋体" w:eastAsia="宋体" w:cs="宋体"/>
          <w:szCs w:val="28"/>
          <w:lang w:eastAsia="zh-CN"/>
        </w:rPr>
        <w:t>县委、县政府</w:t>
      </w:r>
      <w:r>
        <w:rPr>
          <w:rFonts w:hint="eastAsia" w:ascii="宋体" w:hAnsi="宋体" w:eastAsia="宋体" w:cs="宋体"/>
          <w:szCs w:val="28"/>
        </w:rPr>
        <w:t>的各项决策部署，认真完成市场管理各项工作。积极筹措资金，对市场内部分破损道路及辅助设施进行翻新改造，确保破损设施完好率保持90%以上。并解决雨季排水问题，进一步改善市场基础设施环境。谋划庞口物流园区建设，引导物流企业进驻园区，优化物流环境。积极引进电商企业，谋划建设电子商务中心，搭建“农机电商平台”，大力推进互联网+物流+电商的智慧物流模式，实现市场交易由线下向线上的转型升级。进一步加强与“三大行业协会”的沟通协调，组织市场商户参展参会，进一步扩大庞口品牌影响力。结合河北省安全生产专项整治三年行动，强责任、抓落实，坚持不懈地开展市场1126家商户安全生产大排查、大整治，保证排查率在95%以上，确保市场安全稳定。</w:t>
      </w:r>
    </w:p>
    <w:p>
      <w:pPr>
        <w:spacing w:line="500" w:lineRule="exact"/>
        <w:ind w:firstLine="560"/>
        <w:rPr>
          <w:rFonts w:ascii="宋体" w:hAnsi="宋体" w:eastAsia="宋体" w:cs="宋体"/>
          <w:sz w:val="28"/>
          <w:szCs w:val="28"/>
        </w:rPr>
      </w:pPr>
      <w:r>
        <w:rPr>
          <w:rFonts w:hint="eastAsia" w:ascii="宋体" w:hAnsi="宋体" w:eastAsia="宋体" w:cs="宋体"/>
          <w:color w:val="000000"/>
          <w:sz w:val="28"/>
          <w:szCs w:val="28"/>
        </w:rPr>
        <w:t>（二）分项绩效目标</w:t>
      </w:r>
    </w:p>
    <w:p>
      <w:pPr>
        <w:pStyle w:val="24"/>
        <w:rPr>
          <w:rFonts w:ascii="宋体" w:hAnsi="宋体" w:eastAsia="宋体" w:cs="宋体"/>
          <w:szCs w:val="28"/>
        </w:rPr>
      </w:pPr>
      <w:r>
        <w:rPr>
          <w:rFonts w:hint="eastAsia" w:ascii="宋体" w:hAnsi="宋体" w:eastAsia="宋体" w:cs="宋体"/>
          <w:szCs w:val="28"/>
        </w:rPr>
        <w:t>一</w:t>
      </w:r>
      <w:r>
        <w:rPr>
          <w:rFonts w:hint="eastAsia" w:ascii="宋体" w:hAnsi="宋体" w:eastAsia="宋体" w:cs="宋体"/>
          <w:szCs w:val="28"/>
          <w:lang w:eastAsia="zh-CN"/>
        </w:rPr>
        <w:t>、</w:t>
      </w:r>
      <w:r>
        <w:rPr>
          <w:rFonts w:hint="eastAsia" w:ascii="宋体" w:hAnsi="宋体" w:eastAsia="宋体" w:cs="宋体"/>
          <w:szCs w:val="28"/>
        </w:rPr>
        <w:t>税费征收应收尽收</w:t>
      </w:r>
    </w:p>
    <w:p>
      <w:pPr>
        <w:pStyle w:val="24"/>
        <w:rPr>
          <w:rFonts w:ascii="宋体" w:hAnsi="宋体" w:eastAsia="宋体" w:cs="宋体"/>
          <w:szCs w:val="28"/>
        </w:rPr>
      </w:pPr>
      <w:r>
        <w:rPr>
          <w:rFonts w:hint="eastAsia" w:ascii="宋体" w:hAnsi="宋体" w:eastAsia="宋体" w:cs="宋体"/>
          <w:szCs w:val="28"/>
        </w:rPr>
        <w:t>绩效目标：收取庞口市场房屋租赁费（即事业单位国有资产出租出借收入）。认真履行职责，确保各项收费工作完成县委县政府任务指标。应征尽征，避免税费流失。</w:t>
      </w:r>
    </w:p>
    <w:p>
      <w:pPr>
        <w:pStyle w:val="24"/>
        <w:rPr>
          <w:rFonts w:ascii="宋体" w:hAnsi="宋体" w:eastAsia="宋体" w:cs="宋体"/>
          <w:szCs w:val="28"/>
        </w:rPr>
      </w:pPr>
      <w:r>
        <w:rPr>
          <w:rFonts w:hint="eastAsia" w:ascii="宋体" w:hAnsi="宋体" w:eastAsia="宋体" w:cs="宋体"/>
          <w:szCs w:val="28"/>
        </w:rPr>
        <w:t>绩效指标：应征尽征，避免税费流失，全年预算征收210万元。</w:t>
      </w:r>
    </w:p>
    <w:p>
      <w:pPr>
        <w:pStyle w:val="24"/>
        <w:rPr>
          <w:rFonts w:ascii="宋体" w:hAnsi="宋体" w:eastAsia="宋体" w:cs="宋体"/>
          <w:szCs w:val="28"/>
        </w:rPr>
      </w:pPr>
      <w:r>
        <w:rPr>
          <w:rFonts w:hint="eastAsia" w:ascii="宋体" w:hAnsi="宋体" w:eastAsia="宋体" w:cs="宋体"/>
          <w:szCs w:val="28"/>
        </w:rPr>
        <w:t>二</w:t>
      </w:r>
      <w:r>
        <w:rPr>
          <w:rFonts w:hint="eastAsia" w:ascii="宋体" w:hAnsi="宋体" w:eastAsia="宋体" w:cs="宋体"/>
          <w:szCs w:val="28"/>
          <w:lang w:eastAsia="zh-CN"/>
        </w:rPr>
        <w:t>、</w:t>
      </w:r>
      <w:r>
        <w:rPr>
          <w:rFonts w:hint="eastAsia" w:ascii="宋体" w:hAnsi="宋体" w:eastAsia="宋体" w:cs="宋体"/>
          <w:szCs w:val="28"/>
        </w:rPr>
        <w:t xml:space="preserve">优化市场管理 </w:t>
      </w:r>
    </w:p>
    <w:p>
      <w:pPr>
        <w:pStyle w:val="24"/>
        <w:rPr>
          <w:rFonts w:ascii="宋体" w:hAnsi="宋体" w:eastAsia="宋体" w:cs="宋体"/>
          <w:szCs w:val="28"/>
        </w:rPr>
      </w:pPr>
      <w:r>
        <w:rPr>
          <w:rFonts w:hint="eastAsia" w:ascii="宋体" w:hAnsi="宋体" w:eastAsia="宋体" w:cs="宋体"/>
          <w:szCs w:val="28"/>
        </w:rPr>
        <w:t>绩效目标：规划停车位，维持车辆停放秩序，对市场占道经营、店外经营进行规范管理。对市场合理规划管理，创造优良的经营经商环境。对市场内和高速引线门店广告牌匾进行统一规划管理。配合执法部门打击市场假冒伪劣产品，打击欺生排外、欺行霸市行为，打击违法交易行为，协调买卖纠纷，解决商户困难。</w:t>
      </w:r>
    </w:p>
    <w:p>
      <w:pPr>
        <w:pStyle w:val="24"/>
        <w:rPr>
          <w:rFonts w:ascii="宋体" w:hAnsi="宋体" w:eastAsia="宋体" w:cs="宋体"/>
          <w:szCs w:val="28"/>
        </w:rPr>
      </w:pPr>
      <w:r>
        <w:rPr>
          <w:rFonts w:hint="eastAsia" w:ascii="宋体" w:hAnsi="宋体" w:eastAsia="宋体" w:cs="宋体"/>
          <w:szCs w:val="28"/>
        </w:rPr>
        <w:t>绩效指标：规划市场停车位160个，维持车辆停放秩序，对市场占道经营、店外经营进行规范管理。</w:t>
      </w:r>
    </w:p>
    <w:p>
      <w:pPr>
        <w:pStyle w:val="24"/>
        <w:rPr>
          <w:rFonts w:ascii="宋体" w:hAnsi="宋体" w:eastAsia="宋体" w:cs="宋体"/>
          <w:szCs w:val="28"/>
        </w:rPr>
      </w:pPr>
      <w:r>
        <w:rPr>
          <w:rFonts w:hint="eastAsia" w:ascii="宋体" w:hAnsi="宋体" w:eastAsia="宋体" w:cs="宋体"/>
          <w:szCs w:val="28"/>
        </w:rPr>
        <w:t>三</w:t>
      </w:r>
      <w:r>
        <w:rPr>
          <w:rFonts w:hint="eastAsia" w:ascii="宋体" w:hAnsi="宋体" w:eastAsia="宋体" w:cs="宋体"/>
          <w:szCs w:val="28"/>
          <w:lang w:eastAsia="zh-CN"/>
        </w:rPr>
        <w:t>、</w:t>
      </w:r>
      <w:r>
        <w:rPr>
          <w:rFonts w:hint="eastAsia" w:ascii="宋体" w:hAnsi="宋体" w:eastAsia="宋体" w:cs="宋体"/>
          <w:szCs w:val="28"/>
        </w:rPr>
        <w:t xml:space="preserve">市场环境综合治理 </w:t>
      </w:r>
    </w:p>
    <w:p>
      <w:pPr>
        <w:pStyle w:val="24"/>
        <w:rPr>
          <w:rFonts w:ascii="宋体" w:hAnsi="宋体" w:eastAsia="宋体" w:cs="宋体"/>
          <w:szCs w:val="28"/>
        </w:rPr>
      </w:pPr>
      <w:r>
        <w:rPr>
          <w:rFonts w:hint="eastAsia" w:ascii="宋体" w:hAnsi="宋体" w:eastAsia="宋体" w:cs="宋体"/>
          <w:szCs w:val="28"/>
        </w:rPr>
        <w:t>绩效目标：对市场范围内公路、便道、绿化设施及消防公共设施的养护和维修管理工作。做好市场内城容、城貌及环境卫生的维护和清扫工作。市场内供电线路和设备的管护工作。</w:t>
      </w:r>
    </w:p>
    <w:p>
      <w:pPr>
        <w:pStyle w:val="24"/>
        <w:rPr>
          <w:rFonts w:ascii="宋体" w:hAnsi="宋体" w:eastAsia="宋体" w:cs="宋体"/>
          <w:szCs w:val="28"/>
        </w:rPr>
      </w:pPr>
      <w:r>
        <w:rPr>
          <w:rFonts w:hint="eastAsia" w:ascii="宋体" w:hAnsi="宋体" w:eastAsia="宋体" w:cs="宋体"/>
          <w:szCs w:val="28"/>
        </w:rPr>
        <w:t>绩效指标：保障市场干净整洁，保障市场安全供电，无故障天数330天以上。</w:t>
      </w:r>
    </w:p>
    <w:p>
      <w:pPr>
        <w:pStyle w:val="24"/>
        <w:rPr>
          <w:rFonts w:ascii="宋体" w:hAnsi="宋体" w:eastAsia="宋体" w:cs="宋体"/>
          <w:szCs w:val="28"/>
        </w:rPr>
      </w:pPr>
      <w:r>
        <w:rPr>
          <w:rFonts w:hint="eastAsia" w:ascii="宋体" w:hAnsi="宋体" w:eastAsia="宋体" w:cs="宋体"/>
          <w:szCs w:val="28"/>
        </w:rPr>
        <w:t>四</w:t>
      </w:r>
      <w:r>
        <w:rPr>
          <w:rFonts w:hint="eastAsia" w:ascii="宋体" w:hAnsi="宋体" w:eastAsia="宋体" w:cs="宋体"/>
          <w:szCs w:val="28"/>
          <w:lang w:eastAsia="zh-CN"/>
        </w:rPr>
        <w:t>、</w:t>
      </w:r>
      <w:r>
        <w:rPr>
          <w:rFonts w:hint="eastAsia" w:ascii="宋体" w:hAnsi="宋体" w:eastAsia="宋体" w:cs="宋体"/>
          <w:szCs w:val="28"/>
        </w:rPr>
        <w:t xml:space="preserve">制定市场发展规划 </w:t>
      </w:r>
    </w:p>
    <w:p>
      <w:pPr>
        <w:pStyle w:val="24"/>
        <w:rPr>
          <w:rFonts w:ascii="宋体" w:hAnsi="宋体" w:eastAsia="宋体" w:cs="宋体"/>
          <w:szCs w:val="28"/>
        </w:rPr>
      </w:pPr>
      <w:r>
        <w:rPr>
          <w:rFonts w:hint="eastAsia" w:ascii="宋体" w:hAnsi="宋体" w:eastAsia="宋体" w:cs="宋体"/>
          <w:szCs w:val="28"/>
        </w:rPr>
        <w:t>绩效目标：依托昊昇项目建设，优先包装和谋划庞口物流园区，引导物流企业进驻园区，规范经营行为，优化物流环境。在此基础上，积极引进电商企业，谋划建设电子商务中心，搭建“农机电商平台”，大力推进互联网+物流+电商的智慧物流模式，实现市场交易由线下向线上的转型升级。</w:t>
      </w:r>
    </w:p>
    <w:p>
      <w:pPr>
        <w:pStyle w:val="24"/>
        <w:rPr>
          <w:rFonts w:ascii="宋体" w:hAnsi="宋体" w:eastAsia="宋体" w:cs="宋体"/>
          <w:szCs w:val="28"/>
        </w:rPr>
      </w:pPr>
      <w:r>
        <w:rPr>
          <w:rFonts w:hint="eastAsia" w:ascii="宋体" w:hAnsi="宋体" w:eastAsia="宋体" w:cs="宋体"/>
          <w:szCs w:val="28"/>
        </w:rPr>
        <w:t>绩效指标：加大市场知名度宣传，扩大交易额，加快庞口物流园区建设。</w:t>
      </w:r>
    </w:p>
    <w:p>
      <w:pPr>
        <w:pStyle w:val="24"/>
        <w:rPr>
          <w:rFonts w:ascii="宋体" w:hAnsi="宋体" w:eastAsia="宋体" w:cs="宋体"/>
          <w:szCs w:val="28"/>
        </w:rPr>
      </w:pPr>
      <w:r>
        <w:rPr>
          <w:rFonts w:hint="eastAsia" w:ascii="宋体" w:hAnsi="宋体" w:eastAsia="宋体" w:cs="宋体"/>
          <w:szCs w:val="28"/>
        </w:rPr>
        <w:t>五</w:t>
      </w:r>
      <w:r>
        <w:rPr>
          <w:rFonts w:hint="eastAsia" w:ascii="宋体" w:hAnsi="宋体" w:eastAsia="宋体" w:cs="宋体"/>
          <w:szCs w:val="28"/>
          <w:lang w:eastAsia="zh-CN"/>
        </w:rPr>
        <w:t>、</w:t>
      </w:r>
      <w:r>
        <w:rPr>
          <w:rFonts w:hint="eastAsia" w:ascii="宋体" w:hAnsi="宋体" w:eastAsia="宋体" w:cs="宋体"/>
          <w:szCs w:val="28"/>
        </w:rPr>
        <w:t xml:space="preserve">协调指导完成各项工作 </w:t>
      </w:r>
    </w:p>
    <w:p>
      <w:pPr>
        <w:pStyle w:val="24"/>
        <w:rPr>
          <w:rFonts w:ascii="宋体" w:hAnsi="宋体" w:eastAsia="宋体" w:cs="宋体"/>
          <w:szCs w:val="28"/>
        </w:rPr>
      </w:pPr>
      <w:r>
        <w:rPr>
          <w:rFonts w:hint="eastAsia" w:ascii="宋体" w:hAnsi="宋体" w:eastAsia="宋体" w:cs="宋体"/>
          <w:szCs w:val="28"/>
        </w:rPr>
        <w:t>绩效目标：协调、指导政府有关职能部门对市场实行管理。负责上级交办的其他事项。</w:t>
      </w:r>
    </w:p>
    <w:p>
      <w:pPr>
        <w:pStyle w:val="24"/>
        <w:rPr>
          <w:rFonts w:ascii="宋体" w:hAnsi="宋体" w:eastAsia="宋体" w:cs="宋体"/>
          <w:szCs w:val="28"/>
        </w:rPr>
      </w:pPr>
      <w:r>
        <w:rPr>
          <w:rFonts w:hint="eastAsia" w:ascii="宋体" w:hAnsi="宋体" w:eastAsia="宋体" w:cs="宋体"/>
          <w:szCs w:val="28"/>
        </w:rPr>
        <w:t>绩效指标：完成上级交办的各项工作任务，任务完成率95%以上。</w:t>
      </w:r>
    </w:p>
    <w:p>
      <w:pPr>
        <w:spacing w:line="500" w:lineRule="exact"/>
        <w:ind w:firstLine="560"/>
        <w:rPr>
          <w:rFonts w:ascii="宋体" w:hAnsi="宋体" w:eastAsia="宋体" w:cs="宋体"/>
          <w:sz w:val="28"/>
          <w:szCs w:val="28"/>
        </w:rPr>
      </w:pPr>
      <w:r>
        <w:rPr>
          <w:rFonts w:hint="eastAsia" w:ascii="宋体" w:hAnsi="宋体" w:eastAsia="宋体" w:cs="宋体"/>
          <w:color w:val="000000"/>
          <w:sz w:val="28"/>
          <w:szCs w:val="28"/>
        </w:rPr>
        <w:t>（三）工作保障措施</w:t>
      </w:r>
    </w:p>
    <w:p>
      <w:pPr>
        <w:pStyle w:val="25"/>
        <w:rPr>
          <w:rFonts w:ascii="宋体" w:hAnsi="宋体" w:eastAsia="宋体" w:cs="宋体"/>
          <w:szCs w:val="28"/>
        </w:rPr>
      </w:pPr>
      <w:r>
        <w:rPr>
          <w:rFonts w:hint="eastAsia" w:ascii="宋体" w:hAnsi="宋体" w:eastAsia="宋体" w:cs="宋体"/>
          <w:szCs w:val="28"/>
        </w:rPr>
        <w:t>一</w:t>
      </w:r>
      <w:r>
        <w:rPr>
          <w:rFonts w:hint="eastAsia" w:ascii="宋体" w:hAnsi="宋体" w:eastAsia="宋体" w:cs="宋体"/>
          <w:szCs w:val="28"/>
          <w:lang w:eastAsia="zh-CN"/>
        </w:rPr>
        <w:t>、</w:t>
      </w:r>
      <w:r>
        <w:rPr>
          <w:rFonts w:hint="eastAsia" w:ascii="宋体" w:hAnsi="宋体" w:eastAsia="宋体" w:cs="宋体"/>
          <w:szCs w:val="28"/>
        </w:rPr>
        <w:t>完善制度建设。将事前评估、目标管理、运行监控、绩效评价、结果应用等各项改革措施，有效融入预算管理的全过程，建立健全市场管理预算绩效管理制度体系。</w:t>
      </w:r>
    </w:p>
    <w:p>
      <w:pPr>
        <w:pStyle w:val="25"/>
        <w:rPr>
          <w:rFonts w:ascii="宋体" w:hAnsi="宋体" w:eastAsia="宋体" w:cs="宋体"/>
          <w:szCs w:val="28"/>
        </w:rPr>
      </w:pPr>
      <w:r>
        <w:rPr>
          <w:rFonts w:hint="eastAsia" w:ascii="宋体" w:hAnsi="宋体" w:eastAsia="宋体" w:cs="宋体"/>
          <w:szCs w:val="28"/>
        </w:rPr>
        <w:t>二</w:t>
      </w:r>
      <w:r>
        <w:rPr>
          <w:rFonts w:hint="eastAsia" w:ascii="宋体" w:hAnsi="宋体" w:eastAsia="宋体" w:cs="宋体"/>
          <w:szCs w:val="28"/>
          <w:lang w:eastAsia="zh-CN"/>
        </w:rPr>
        <w:t>、</w:t>
      </w:r>
      <w:r>
        <w:rPr>
          <w:rFonts w:hint="eastAsia" w:ascii="宋体" w:hAnsi="宋体" w:eastAsia="宋体" w:cs="宋体"/>
          <w:szCs w:val="28"/>
        </w:rPr>
        <w:t>加强资金支出管理。围绕年度重点工作，进一步优化支出结构、编细编实预算、及时支付资金、按规定及时下达资金等多种措施，确保支出进度达标。</w:t>
      </w:r>
    </w:p>
    <w:p>
      <w:pPr>
        <w:pStyle w:val="25"/>
        <w:rPr>
          <w:rFonts w:ascii="宋体" w:hAnsi="宋体" w:eastAsia="宋体" w:cs="宋体"/>
          <w:szCs w:val="28"/>
        </w:rPr>
      </w:pPr>
      <w:r>
        <w:rPr>
          <w:rFonts w:hint="eastAsia" w:ascii="宋体" w:hAnsi="宋体" w:eastAsia="宋体" w:cs="宋体"/>
          <w:szCs w:val="28"/>
        </w:rPr>
        <w:t>三</w:t>
      </w:r>
      <w:r>
        <w:rPr>
          <w:rFonts w:hint="eastAsia" w:ascii="宋体" w:hAnsi="宋体" w:eastAsia="宋体" w:cs="宋体"/>
          <w:szCs w:val="28"/>
          <w:lang w:eastAsia="zh-CN"/>
        </w:rPr>
        <w:t>、</w:t>
      </w:r>
      <w:r>
        <w:rPr>
          <w:rFonts w:hint="eastAsia" w:ascii="宋体" w:hAnsi="宋体" w:eastAsia="宋体" w:cs="宋体"/>
          <w:szCs w:val="28"/>
        </w:rPr>
        <w:t>加强绩效运行监控。按要求开展绩效运行监控，发现问题及时采取措施，确保绩效目标如期保质实现。</w:t>
      </w:r>
    </w:p>
    <w:p>
      <w:pPr>
        <w:pStyle w:val="25"/>
        <w:rPr>
          <w:rFonts w:ascii="宋体" w:hAnsi="宋体" w:eastAsia="宋体" w:cs="宋体"/>
          <w:szCs w:val="28"/>
        </w:rPr>
      </w:pPr>
      <w:r>
        <w:rPr>
          <w:rFonts w:hint="eastAsia" w:ascii="宋体" w:hAnsi="宋体" w:eastAsia="宋体" w:cs="宋体"/>
          <w:szCs w:val="28"/>
        </w:rPr>
        <w:t>四</w:t>
      </w:r>
      <w:r>
        <w:rPr>
          <w:rFonts w:hint="eastAsia" w:ascii="宋体" w:hAnsi="宋体" w:eastAsia="宋体" w:cs="宋体"/>
          <w:szCs w:val="28"/>
          <w:lang w:eastAsia="zh-CN"/>
        </w:rPr>
        <w:t>、</w:t>
      </w:r>
      <w:r>
        <w:rPr>
          <w:rFonts w:hint="eastAsia" w:ascii="宋体" w:hAnsi="宋体" w:eastAsia="宋体" w:cs="宋体"/>
          <w:szCs w:val="28"/>
        </w:rPr>
        <w:t>做好绩效自评。按要求开展上年度部门预算绩效自评和重点评价工作，对评价中发现的问题及时整改，调整优化支出结构，提高财政资金使用效益。</w:t>
      </w:r>
    </w:p>
    <w:p>
      <w:pPr>
        <w:pStyle w:val="25"/>
        <w:rPr>
          <w:rFonts w:ascii="宋体" w:hAnsi="宋体" w:eastAsia="宋体" w:cs="宋体"/>
          <w:szCs w:val="28"/>
        </w:rPr>
      </w:pPr>
      <w:r>
        <w:rPr>
          <w:rFonts w:hint="eastAsia" w:ascii="宋体" w:hAnsi="宋体" w:eastAsia="宋体" w:cs="宋体"/>
          <w:szCs w:val="28"/>
        </w:rPr>
        <w:t>五</w:t>
      </w:r>
      <w:r>
        <w:rPr>
          <w:rFonts w:hint="eastAsia" w:ascii="宋体" w:hAnsi="宋体" w:eastAsia="宋体" w:cs="宋体"/>
          <w:szCs w:val="28"/>
          <w:lang w:eastAsia="zh-CN"/>
        </w:rPr>
        <w:t>、</w:t>
      </w:r>
      <w:r>
        <w:rPr>
          <w:rFonts w:hint="eastAsia" w:ascii="宋体" w:hAnsi="宋体" w:eastAsia="宋体" w:cs="宋体"/>
          <w:szCs w:val="28"/>
        </w:rPr>
        <w:t>规范财务资产管理。进一步完善财务管理制度，严格审批程序，加强固定资产登记、使用和报废处置管理，做到支出合理，物尽其用。</w:t>
      </w:r>
    </w:p>
    <w:p>
      <w:pPr>
        <w:pStyle w:val="25"/>
        <w:rPr>
          <w:rFonts w:ascii="宋体" w:hAnsi="宋体" w:eastAsia="宋体" w:cs="宋体"/>
          <w:szCs w:val="28"/>
        </w:rPr>
      </w:pPr>
      <w:r>
        <w:rPr>
          <w:rFonts w:hint="eastAsia" w:ascii="宋体" w:hAnsi="宋体" w:eastAsia="宋体" w:cs="宋体"/>
          <w:szCs w:val="28"/>
        </w:rPr>
        <w:t>六</w:t>
      </w:r>
      <w:r>
        <w:rPr>
          <w:rFonts w:hint="eastAsia" w:ascii="宋体" w:hAnsi="宋体" w:eastAsia="宋体" w:cs="宋体"/>
          <w:szCs w:val="28"/>
          <w:lang w:eastAsia="zh-CN"/>
        </w:rPr>
        <w:t>、</w:t>
      </w:r>
      <w:r>
        <w:rPr>
          <w:rFonts w:hint="eastAsia" w:ascii="宋体" w:hAnsi="宋体" w:eastAsia="宋体" w:cs="宋体"/>
          <w:szCs w:val="28"/>
        </w:rP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5"/>
        <w:rPr>
          <w:rFonts w:ascii="宋体" w:hAnsi="宋体" w:eastAsia="宋体" w:cs="宋体"/>
          <w:szCs w:val="28"/>
        </w:rPr>
      </w:pPr>
      <w:r>
        <w:rPr>
          <w:rFonts w:hint="eastAsia" w:ascii="宋体" w:hAnsi="宋体" w:eastAsia="宋体" w:cs="宋体"/>
          <w:szCs w:val="28"/>
        </w:rPr>
        <w:t>七</w:t>
      </w:r>
      <w:r>
        <w:rPr>
          <w:rFonts w:hint="eastAsia" w:ascii="宋体" w:hAnsi="宋体" w:eastAsia="宋体" w:cs="宋体"/>
          <w:szCs w:val="28"/>
          <w:lang w:eastAsia="zh-CN"/>
        </w:rPr>
        <w:t>、</w:t>
      </w:r>
      <w:r>
        <w:rPr>
          <w:rFonts w:hint="eastAsia" w:ascii="宋体" w:hAnsi="宋体" w:eastAsia="宋体" w:cs="宋体"/>
          <w:szCs w:val="28"/>
        </w:rPr>
        <w:t>加强宣传培训调研等。加强人员培训，提高本部门职工业务素质；加强调研，提出优化财政资金配置、提高资金使用效益的意见；加大宣传力度，强化预算绩效管理意识，促进预算绩效管理水平进一步提升。</w:t>
      </w:r>
    </w:p>
    <w:p>
      <w:pPr>
        <w:ind w:firstLine="640"/>
        <w:rPr>
          <w:rFonts w:eastAsia="方正楷体_GBK" w:cs="方正楷体_GBK" w:asciiTheme="minorHAnsi" w:hAnsiTheme="minorHAnsi"/>
          <w:b/>
          <w:color w:val="000000"/>
          <w:sz w:val="32"/>
          <w:lang w:val="uk-UA"/>
        </w:rPr>
      </w:pPr>
      <w:r>
        <w:rPr>
          <w:rFonts w:ascii="方正楷体_GBK" w:hAnsi="方正楷体_GBK" w:eastAsia="方正楷体_GBK" w:cs="方正楷体_GBK"/>
          <w:b/>
          <w:color w:val="000000"/>
          <w:sz w:val="32"/>
        </w:rPr>
        <w:t>第二部分  专项资金绩效目标</w:t>
      </w:r>
    </w:p>
    <w:p>
      <w:pPr>
        <w:ind w:firstLine="640"/>
        <w:rPr>
          <w:rFonts w:eastAsia="方正楷体_GBK" w:cs="方正楷体_GBK" w:asciiTheme="minorHAnsi" w:hAnsiTheme="minorHAnsi"/>
          <w:b/>
          <w:color w:val="000000"/>
          <w:sz w:val="32"/>
          <w:lang w:val="uk-UA"/>
        </w:rPr>
      </w:pPr>
    </w:p>
    <w:p>
      <w:pPr>
        <w:ind w:firstLine="640"/>
        <w:rPr>
          <w:rFonts w:asciiTheme="minorHAnsi" w:hAnsiTheme="minorHAnsi" w:eastAsiaTheme="minorEastAsia"/>
          <w:lang w:val="uk-UA" w:eastAsia="zh-CN"/>
        </w:rPr>
        <w:sectPr>
          <w:pgSz w:w="16840" w:h="11900" w:orient="landscape"/>
          <w:pgMar w:top="1361" w:right="1020" w:bottom="1361" w:left="1020" w:header="720" w:footer="720" w:gutter="0"/>
          <w:cols w:space="720" w:num="1"/>
        </w:sectPr>
      </w:pPr>
      <w:r>
        <w:rPr>
          <w:rFonts w:hint="eastAsia" w:cs="方正楷体_GBK" w:asciiTheme="minorHAnsi" w:hAnsiTheme="minorHAnsi" w:eastAsiaTheme="minorEastAsia"/>
          <w:b/>
          <w:color w:val="000000"/>
          <w:sz w:val="32"/>
          <w:lang w:val="uk-UA" w:eastAsia="zh-CN"/>
        </w:rPr>
        <w:t>无</w:t>
      </w:r>
    </w:p>
    <w:p>
      <w:pPr>
        <w:ind w:firstLine="640"/>
        <w:rPr>
          <w:rFonts w:asciiTheme="minorHAnsi" w:hAnsiTheme="minorHAnsi"/>
          <w:lang w:val="uk-UA"/>
        </w:rPr>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1、高阳县庞口市场容貌综合整治绩效目标表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1.完成道路维修，保障市场商户正常经营环境。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维修面积</w:t>
            </w:r>
          </w:p>
        </w:tc>
        <w:tc>
          <w:tcPr>
            <w:tcW w:w="2835" w:type="dxa"/>
            <w:vAlign w:val="center"/>
          </w:tcPr>
          <w:p>
            <w:pPr>
              <w:pStyle w:val="14"/>
            </w:pPr>
            <w:r>
              <w:t>维修路面面积</w:t>
            </w:r>
          </w:p>
        </w:tc>
        <w:tc>
          <w:tcPr>
            <w:tcW w:w="2551" w:type="dxa"/>
            <w:vAlign w:val="center"/>
          </w:tcPr>
          <w:p>
            <w:pPr>
              <w:pStyle w:val="14"/>
            </w:pPr>
            <w:r>
              <w:t>≥1000平方米</w:t>
            </w:r>
          </w:p>
        </w:tc>
        <w:tc>
          <w:tcPr>
            <w:tcW w:w="2268" w:type="dxa"/>
            <w:vAlign w:val="center"/>
          </w:tcPr>
          <w:p>
            <w:pPr>
              <w:pStyle w:val="14"/>
            </w:pPr>
            <w:r>
              <w:t>根据实际验收情况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维修质量合格率</w:t>
            </w:r>
          </w:p>
        </w:tc>
        <w:tc>
          <w:tcPr>
            <w:tcW w:w="2835" w:type="dxa"/>
            <w:vAlign w:val="center"/>
          </w:tcPr>
          <w:p>
            <w:pPr>
              <w:pStyle w:val="14"/>
            </w:pPr>
            <w:r>
              <w:t>验收质量合格率占需维修数量百分比</w:t>
            </w:r>
          </w:p>
        </w:tc>
        <w:tc>
          <w:tcPr>
            <w:tcW w:w="2551" w:type="dxa"/>
            <w:vAlign w:val="center"/>
          </w:tcPr>
          <w:p>
            <w:pPr>
              <w:pStyle w:val="14"/>
            </w:pPr>
            <w:r>
              <w:t>≥95%</w:t>
            </w:r>
          </w:p>
        </w:tc>
        <w:tc>
          <w:tcPr>
            <w:tcW w:w="2268" w:type="dxa"/>
            <w:vAlign w:val="center"/>
          </w:tcPr>
          <w:p>
            <w:pPr>
              <w:pStyle w:val="14"/>
            </w:pPr>
            <w:r>
              <w:t>根据实际施工验收情况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维修及时率</w:t>
            </w:r>
          </w:p>
        </w:tc>
        <w:tc>
          <w:tcPr>
            <w:tcW w:w="2835" w:type="dxa"/>
            <w:vAlign w:val="center"/>
          </w:tcPr>
          <w:p>
            <w:pPr>
              <w:pStyle w:val="14"/>
            </w:pPr>
            <w:r>
              <w:t>破损路面维修及时率</w:t>
            </w:r>
          </w:p>
        </w:tc>
        <w:tc>
          <w:tcPr>
            <w:tcW w:w="2551" w:type="dxa"/>
            <w:vAlign w:val="center"/>
          </w:tcPr>
          <w:p>
            <w:pPr>
              <w:pStyle w:val="14"/>
            </w:pPr>
            <w:r>
              <w:t>≥90%</w:t>
            </w:r>
          </w:p>
        </w:tc>
        <w:tc>
          <w:tcPr>
            <w:tcW w:w="2268" w:type="dxa"/>
            <w:vAlign w:val="center"/>
          </w:tcPr>
          <w:p>
            <w:pPr>
              <w:pStyle w:val="14"/>
            </w:pPr>
            <w:r>
              <w:t>根据实际维修时效确定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实际支出金额占预算金额比率</w:t>
            </w:r>
          </w:p>
        </w:tc>
        <w:tc>
          <w:tcPr>
            <w:tcW w:w="2551" w:type="dxa"/>
            <w:vAlign w:val="center"/>
          </w:tcPr>
          <w:p>
            <w:pPr>
              <w:pStyle w:val="14"/>
            </w:pPr>
            <w:r>
              <w:t>≤100%</w:t>
            </w:r>
          </w:p>
        </w:tc>
        <w:tc>
          <w:tcPr>
            <w:tcW w:w="2268" w:type="dxa"/>
            <w:vAlign w:val="center"/>
          </w:tcPr>
          <w:p>
            <w:pPr>
              <w:pStyle w:val="14"/>
            </w:pPr>
            <w:r>
              <w:t>根据实际支出情况确定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市容市貌整洁率</w:t>
            </w:r>
          </w:p>
        </w:tc>
        <w:tc>
          <w:tcPr>
            <w:tcW w:w="2835" w:type="dxa"/>
            <w:vAlign w:val="center"/>
          </w:tcPr>
          <w:p>
            <w:pPr>
              <w:pStyle w:val="14"/>
            </w:pPr>
            <w:r>
              <w:t>市容市貌整洁率</w:t>
            </w:r>
          </w:p>
        </w:tc>
        <w:tc>
          <w:tcPr>
            <w:tcW w:w="2551" w:type="dxa"/>
            <w:vAlign w:val="center"/>
          </w:tcPr>
          <w:p>
            <w:pPr>
              <w:pStyle w:val="14"/>
            </w:pPr>
            <w:r>
              <w:t>≥90%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市场商户满意度</w:t>
            </w:r>
          </w:p>
        </w:tc>
        <w:tc>
          <w:tcPr>
            <w:tcW w:w="2835" w:type="dxa"/>
            <w:vAlign w:val="center"/>
          </w:tcPr>
          <w:p>
            <w:pPr>
              <w:pStyle w:val="14"/>
            </w:pPr>
            <w:r>
              <w:t>调查市场商户对该项目满意度</w:t>
            </w:r>
          </w:p>
        </w:tc>
        <w:tc>
          <w:tcPr>
            <w:tcW w:w="2551" w:type="dxa"/>
            <w:vAlign w:val="center"/>
          </w:tcPr>
          <w:p>
            <w:pPr>
              <w:pStyle w:val="14"/>
            </w:pPr>
            <w:r>
              <w:t>≥80%</w:t>
            </w:r>
          </w:p>
        </w:tc>
        <w:tc>
          <w:tcPr>
            <w:tcW w:w="2268"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2、庞口市管会租金绩效目标表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rPr>
                <w:rFonts w:hint="eastAsia" w:eastAsia="方正书宋_GBK"/>
                <w:lang w:val="en-US" w:eastAsia="zh-CN"/>
              </w:rPr>
            </w:pPr>
            <w:r>
              <w:t>1.完成租赁费支付，保证仓储正常使用</w:t>
            </w:r>
            <w:r>
              <w:rPr>
                <w:rFonts w:hint="eastAsia"/>
                <w:lang w:eastAsia="zh-CN"/>
              </w:rP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租赁面积</w:t>
            </w:r>
          </w:p>
        </w:tc>
        <w:tc>
          <w:tcPr>
            <w:tcW w:w="2835" w:type="dxa"/>
            <w:vAlign w:val="center"/>
          </w:tcPr>
          <w:p>
            <w:pPr>
              <w:pStyle w:val="14"/>
            </w:pPr>
            <w:r>
              <w:t>租赁土地总面积</w:t>
            </w:r>
          </w:p>
        </w:tc>
        <w:tc>
          <w:tcPr>
            <w:tcW w:w="2551" w:type="dxa"/>
            <w:vAlign w:val="center"/>
          </w:tcPr>
          <w:p>
            <w:pPr>
              <w:pStyle w:val="14"/>
            </w:pPr>
            <w:r>
              <w:t>93.71亩</w:t>
            </w:r>
          </w:p>
        </w:tc>
        <w:tc>
          <w:tcPr>
            <w:tcW w:w="2268" w:type="dxa"/>
            <w:vAlign w:val="center"/>
          </w:tcPr>
          <w:p>
            <w:pPr>
              <w:pStyle w:val="14"/>
            </w:pPr>
            <w:r>
              <w:t>根据租赁协议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租赁服务质量合格率</w:t>
            </w:r>
          </w:p>
        </w:tc>
        <w:tc>
          <w:tcPr>
            <w:tcW w:w="2835" w:type="dxa"/>
            <w:vAlign w:val="center"/>
          </w:tcPr>
          <w:p>
            <w:pPr>
              <w:pStyle w:val="14"/>
            </w:pPr>
            <w:r>
              <w:t>租赁服务质量合格率</w:t>
            </w:r>
          </w:p>
        </w:tc>
        <w:tc>
          <w:tcPr>
            <w:tcW w:w="2551" w:type="dxa"/>
            <w:vAlign w:val="center"/>
          </w:tcPr>
          <w:p>
            <w:pPr>
              <w:pStyle w:val="14"/>
            </w:pPr>
            <w:r>
              <w:t>≥90%</w:t>
            </w:r>
          </w:p>
        </w:tc>
        <w:tc>
          <w:tcPr>
            <w:tcW w:w="2268" w:type="dxa"/>
            <w:vAlign w:val="center"/>
          </w:tcPr>
          <w:p>
            <w:pPr>
              <w:pStyle w:val="14"/>
            </w:pPr>
            <w:r>
              <w:t>根据租赁协议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支付及时率</w:t>
            </w:r>
          </w:p>
        </w:tc>
        <w:tc>
          <w:tcPr>
            <w:tcW w:w="2835" w:type="dxa"/>
            <w:vAlign w:val="center"/>
          </w:tcPr>
          <w:p>
            <w:pPr>
              <w:pStyle w:val="14"/>
            </w:pPr>
            <w:r>
              <w:t>对租赁费支付的及时率</w:t>
            </w:r>
          </w:p>
        </w:tc>
        <w:tc>
          <w:tcPr>
            <w:tcW w:w="2551" w:type="dxa"/>
            <w:vAlign w:val="center"/>
          </w:tcPr>
          <w:p>
            <w:pPr>
              <w:pStyle w:val="14"/>
            </w:pPr>
            <w:r>
              <w:t>≥90%</w:t>
            </w:r>
          </w:p>
        </w:tc>
        <w:tc>
          <w:tcPr>
            <w:tcW w:w="2268" w:type="dxa"/>
            <w:vAlign w:val="center"/>
          </w:tcPr>
          <w:p>
            <w:pPr>
              <w:pStyle w:val="14"/>
            </w:pPr>
            <w:r>
              <w:t>根据租赁协议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预算控制率</w:t>
            </w:r>
          </w:p>
        </w:tc>
        <w:tc>
          <w:tcPr>
            <w:tcW w:w="2835" w:type="dxa"/>
            <w:vAlign w:val="center"/>
          </w:tcPr>
          <w:p>
            <w:pPr>
              <w:pStyle w:val="14"/>
            </w:pPr>
            <w:r>
              <w:t>实际支出金额占预算金额的比率</w:t>
            </w:r>
          </w:p>
        </w:tc>
        <w:tc>
          <w:tcPr>
            <w:tcW w:w="2551" w:type="dxa"/>
            <w:vAlign w:val="center"/>
          </w:tcPr>
          <w:p>
            <w:pPr>
              <w:pStyle w:val="14"/>
            </w:pPr>
            <w:r>
              <w:t>≤100%</w:t>
            </w:r>
          </w:p>
        </w:tc>
        <w:tc>
          <w:tcPr>
            <w:tcW w:w="2268" w:type="dxa"/>
            <w:vAlign w:val="center"/>
          </w:tcPr>
          <w:p>
            <w:pPr>
              <w:pStyle w:val="14"/>
            </w:pPr>
            <w:r>
              <w:t>根据实际支出测算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提供仓储服务，提高市场发展能力</w:t>
            </w:r>
          </w:p>
        </w:tc>
        <w:tc>
          <w:tcPr>
            <w:tcW w:w="2835" w:type="dxa"/>
            <w:vAlign w:val="center"/>
          </w:tcPr>
          <w:p>
            <w:pPr>
              <w:pStyle w:val="14"/>
            </w:pPr>
            <w:r>
              <w:t>提供仓储服务，提高市场发展能力</w:t>
            </w:r>
          </w:p>
        </w:tc>
        <w:tc>
          <w:tcPr>
            <w:tcW w:w="2551" w:type="dxa"/>
            <w:vAlign w:val="center"/>
          </w:tcPr>
          <w:p>
            <w:pPr>
              <w:pStyle w:val="14"/>
            </w:pPr>
            <w:r>
              <w:t>实力提升</w:t>
            </w:r>
          </w:p>
        </w:tc>
        <w:tc>
          <w:tcPr>
            <w:tcW w:w="2268" w:type="dxa"/>
            <w:vAlign w:val="center"/>
          </w:tcPr>
          <w:p>
            <w:pPr>
              <w:pStyle w:val="14"/>
            </w:pPr>
            <w:r>
              <w:t>根据市场实际情况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市场商户满意度</w:t>
            </w:r>
          </w:p>
        </w:tc>
        <w:tc>
          <w:tcPr>
            <w:tcW w:w="2835" w:type="dxa"/>
            <w:vAlign w:val="center"/>
          </w:tcPr>
          <w:p>
            <w:pPr>
              <w:pStyle w:val="14"/>
            </w:pPr>
            <w:r>
              <w:t>调查市场商户对该项目的满意度</w:t>
            </w:r>
          </w:p>
        </w:tc>
        <w:tc>
          <w:tcPr>
            <w:tcW w:w="2551" w:type="dxa"/>
            <w:vAlign w:val="center"/>
          </w:tcPr>
          <w:p>
            <w:pPr>
              <w:pStyle w:val="14"/>
            </w:pPr>
            <w:r>
              <w:t>≥80%</w:t>
            </w:r>
          </w:p>
        </w:tc>
        <w:tc>
          <w:tcPr>
            <w:tcW w:w="2268" w:type="dxa"/>
            <w:vAlign w:val="center"/>
          </w:tcPr>
          <w:p>
            <w:pPr>
              <w:pStyle w:val="14"/>
            </w:pPr>
            <w:r>
              <w:t>市场商户调查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3、综合事务管理（劳务派遣）绩效目标表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1.完成劳务派遣人员工资保险支付。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时效指标</w:t>
            </w:r>
          </w:p>
        </w:tc>
        <w:tc>
          <w:tcPr>
            <w:tcW w:w="2835" w:type="dxa"/>
            <w:vAlign w:val="center"/>
          </w:tcPr>
          <w:p>
            <w:pPr>
              <w:pStyle w:val="14"/>
            </w:pPr>
            <w:r>
              <w:t>劳务人员经费支付及时性</w:t>
            </w:r>
          </w:p>
        </w:tc>
        <w:tc>
          <w:tcPr>
            <w:tcW w:w="2835" w:type="dxa"/>
            <w:vAlign w:val="center"/>
          </w:tcPr>
          <w:p>
            <w:pPr>
              <w:pStyle w:val="14"/>
            </w:pPr>
            <w:r>
              <w:t>每月20日前拨付工资保险</w:t>
            </w:r>
          </w:p>
        </w:tc>
        <w:tc>
          <w:tcPr>
            <w:tcW w:w="2551" w:type="dxa"/>
            <w:vAlign w:val="center"/>
          </w:tcPr>
          <w:p>
            <w:pPr>
              <w:pStyle w:val="14"/>
            </w:pPr>
            <w:r>
              <w:t>&gt;20日</w:t>
            </w:r>
          </w:p>
        </w:tc>
        <w:tc>
          <w:tcPr>
            <w:tcW w:w="2268" w:type="dxa"/>
            <w:vAlign w:val="center"/>
          </w:tcPr>
          <w:p>
            <w:pPr>
              <w:pStyle w:val="14"/>
            </w:pPr>
            <w:r>
              <w:t>工资保险支付情况表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劳务经费支付准确率</w:t>
            </w:r>
          </w:p>
        </w:tc>
        <w:tc>
          <w:tcPr>
            <w:tcW w:w="2835" w:type="dxa"/>
            <w:vAlign w:val="center"/>
          </w:tcPr>
          <w:p>
            <w:pPr>
              <w:pStyle w:val="14"/>
            </w:pPr>
            <w:r>
              <w:t>劳务派遣人员经费支付准确率</w:t>
            </w:r>
          </w:p>
        </w:tc>
        <w:tc>
          <w:tcPr>
            <w:tcW w:w="2551" w:type="dxa"/>
            <w:vAlign w:val="center"/>
          </w:tcPr>
          <w:p>
            <w:pPr>
              <w:pStyle w:val="14"/>
            </w:pPr>
            <w:r>
              <w:t>&gt;95%</w:t>
            </w:r>
          </w:p>
        </w:tc>
        <w:tc>
          <w:tcPr>
            <w:tcW w:w="2268" w:type="dxa"/>
            <w:vAlign w:val="center"/>
          </w:tcPr>
          <w:p>
            <w:pPr>
              <w:pStyle w:val="14"/>
            </w:pPr>
            <w:r>
              <w:t>工资保险支付情况表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劳务人员经费覆盖率</w:t>
            </w:r>
          </w:p>
        </w:tc>
        <w:tc>
          <w:tcPr>
            <w:tcW w:w="2835" w:type="dxa"/>
            <w:vAlign w:val="center"/>
          </w:tcPr>
          <w:p>
            <w:pPr>
              <w:pStyle w:val="14"/>
            </w:pPr>
            <w:r>
              <w:t>实际发放人数占应发放人数比率</w:t>
            </w:r>
          </w:p>
        </w:tc>
        <w:tc>
          <w:tcPr>
            <w:tcW w:w="2551" w:type="dxa"/>
            <w:vAlign w:val="center"/>
          </w:tcPr>
          <w:p>
            <w:pPr>
              <w:pStyle w:val="14"/>
            </w:pPr>
            <w:r>
              <w:t>&gt;95%</w:t>
            </w:r>
          </w:p>
        </w:tc>
        <w:tc>
          <w:tcPr>
            <w:tcW w:w="2268" w:type="dxa"/>
            <w:vAlign w:val="center"/>
          </w:tcPr>
          <w:p>
            <w:pPr>
              <w:pStyle w:val="14"/>
            </w:pPr>
            <w:r>
              <w:t>工资保险支付情况表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劳务人员经费预算执行率</w:t>
            </w:r>
          </w:p>
        </w:tc>
        <w:tc>
          <w:tcPr>
            <w:tcW w:w="2835" w:type="dxa"/>
            <w:vAlign w:val="center"/>
          </w:tcPr>
          <w:p>
            <w:pPr>
              <w:pStyle w:val="14"/>
            </w:pPr>
            <w:r>
              <w:t>实际支付经费执行率</w:t>
            </w:r>
          </w:p>
        </w:tc>
        <w:tc>
          <w:tcPr>
            <w:tcW w:w="2551" w:type="dxa"/>
            <w:vAlign w:val="center"/>
          </w:tcPr>
          <w:p>
            <w:pPr>
              <w:pStyle w:val="14"/>
            </w:pPr>
            <w:r>
              <w:t>&gt;95%</w:t>
            </w:r>
          </w:p>
        </w:tc>
        <w:tc>
          <w:tcPr>
            <w:tcW w:w="2268" w:type="dxa"/>
            <w:vAlign w:val="center"/>
          </w:tcPr>
          <w:p>
            <w:pPr>
              <w:pStyle w:val="14"/>
            </w:pPr>
            <w:r>
              <w:t>工资保险支付情况表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劳务人员满意度</w:t>
            </w:r>
          </w:p>
        </w:tc>
        <w:tc>
          <w:tcPr>
            <w:tcW w:w="2835" w:type="dxa"/>
            <w:vAlign w:val="center"/>
          </w:tcPr>
          <w:p>
            <w:pPr>
              <w:pStyle w:val="14"/>
            </w:pPr>
            <w:r>
              <w:t>劳务人员对该项目的满意度情况</w:t>
            </w:r>
          </w:p>
        </w:tc>
        <w:tc>
          <w:tcPr>
            <w:tcW w:w="2551" w:type="dxa"/>
            <w:vAlign w:val="center"/>
          </w:tcPr>
          <w:p>
            <w:pPr>
              <w:pStyle w:val="14"/>
            </w:pPr>
            <w:r>
              <w:t>&gt;95%</w:t>
            </w:r>
          </w:p>
        </w:tc>
        <w:tc>
          <w:tcPr>
            <w:tcW w:w="2268" w:type="dxa"/>
            <w:vAlign w:val="center"/>
          </w:tcPr>
          <w:p>
            <w:pPr>
              <w:pStyle w:val="14"/>
            </w:pPr>
            <w:r>
              <w:t>调查劳务派遣人员满意度</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2023年，高阳县庞口汽车农机配件城服务中心安排政府采购预算0.00万元。具体内容见下表。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345高阳县庞口汽车农机配件城服务中心</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高阳县庞口汽车农机配件城服务中心（含所属单位）上年末固定资产金额为257.24万元（详见下表）。本年度拟购置固定资产总额为2.60万元。</w:t>
      </w:r>
      <w:r>
        <w:rPr>
          <w:rFonts w:hint="eastAsia" w:eastAsia="方正仿宋_GBK"/>
          <w:color w:val="000000"/>
          <w:sz w:val="28"/>
          <w:lang w:eastAsia="zh-CN"/>
        </w:rPr>
        <w:t>没有达到政府采购标准，不在政府采购预算体现。</w:t>
      </w:r>
    </w:p>
    <w:p>
      <w:pPr>
        <w:jc w:val="center"/>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345高阳县庞口汽车农机配件城服务中心</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257.24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r>
              <w:t>2035.65</w:t>
            </w:r>
          </w:p>
        </w:tc>
        <w:tc>
          <w:tcPr>
            <w:tcW w:w="2835" w:type="dxa"/>
            <w:vAlign w:val="center"/>
          </w:tcPr>
          <w:p>
            <w:pPr>
              <w:pStyle w:val="13"/>
            </w:pPr>
            <w:r>
              <w:t>127.49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1830.65</w:t>
            </w:r>
          </w:p>
        </w:tc>
        <w:tc>
          <w:tcPr>
            <w:tcW w:w="2835" w:type="dxa"/>
            <w:vAlign w:val="center"/>
          </w:tcPr>
          <w:p>
            <w:pPr>
              <w:pStyle w:val="13"/>
            </w:pPr>
            <w:r>
              <w:t>109.61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r>
              <w:t>1</w:t>
            </w:r>
          </w:p>
        </w:tc>
        <w:tc>
          <w:tcPr>
            <w:tcW w:w="2835" w:type="dxa"/>
            <w:vAlign w:val="center"/>
          </w:tcPr>
          <w:p>
            <w:pPr>
              <w:pStyle w:val="13"/>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rPr>
                <w:rFonts w:hint="eastAsia" w:eastAsia="方正书宋_GBK"/>
                <w:lang w:eastAsia="zh-CN"/>
              </w:rPr>
            </w:pPr>
            <w:r>
              <w:t>25</w:t>
            </w:r>
            <w:r>
              <w:rPr>
                <w:rFonts w:hint="eastAsia"/>
                <w:lang w:val="en-US" w:eastAsia="zh-CN"/>
              </w:rPr>
              <w:t>0</w:t>
            </w:r>
          </w:p>
        </w:tc>
        <w:tc>
          <w:tcPr>
            <w:tcW w:w="2835" w:type="dxa"/>
            <w:vAlign w:val="center"/>
          </w:tcPr>
          <w:p>
            <w:pPr>
              <w:pStyle w:val="13"/>
            </w:pPr>
            <w:r>
              <w:t>108.75</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eastAsia="黑体" w:cs="黑体"/>
          <w:color w:val="000000"/>
          <w:sz w:val="32"/>
        </w:rPr>
        <w:t>九、其他需要说明的事项</w:t>
      </w:r>
      <w:bookmarkEnd w:id="17"/>
    </w:p>
    <w:p>
      <w:pPr>
        <w:spacing w:line="500" w:lineRule="exact"/>
        <w:ind w:firstLine="560"/>
        <w:rPr>
          <w:vanish/>
          <w:lang w:val="uk-UA"/>
        </w:rPr>
        <w:sectPr>
          <w:pgSz w:w="16840" w:h="11900" w:orient="landscape"/>
          <w:pgMar w:top="1361" w:right="1020" w:bottom="1134" w:left="1020" w:header="720" w:footer="720" w:gutter="0"/>
          <w:cols w:space="720" w:num="1"/>
          <w:docGrid w:linePitch="326" w:charSpace="0"/>
        </w:sectPr>
      </w:pPr>
      <w:r>
        <w:rPr>
          <w:rFonts w:eastAsia="方正仿宋_GBK"/>
          <w:color w:val="000000"/>
          <w:sz w:val="28"/>
        </w:rPr>
        <w:t>我部门无其他需要说明的事项。</w:t>
      </w:r>
    </w:p>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yZjFkNzMwZWQzMDEzOGZhZGEzYzM3OGIwYWJkMzQifQ=="/>
  </w:docVars>
  <w:rsids>
    <w:rsidRoot w:val="008C4D15"/>
    <w:rsid w:val="00142C7B"/>
    <w:rsid w:val="002573EF"/>
    <w:rsid w:val="003B460C"/>
    <w:rsid w:val="00481C4D"/>
    <w:rsid w:val="004A552D"/>
    <w:rsid w:val="0051448D"/>
    <w:rsid w:val="00796D13"/>
    <w:rsid w:val="007F2653"/>
    <w:rsid w:val="008C4D15"/>
    <w:rsid w:val="00B21738"/>
    <w:rsid w:val="00B3425F"/>
    <w:rsid w:val="00BF1EEA"/>
    <w:rsid w:val="00D33E5A"/>
    <w:rsid w:val="00DA4211"/>
    <w:rsid w:val="00E35D14"/>
    <w:rsid w:val="00FD52CB"/>
    <w:rsid w:val="08DC59EB"/>
    <w:rsid w:val="0B6F212B"/>
    <w:rsid w:val="15FB3195"/>
    <w:rsid w:val="331F707C"/>
    <w:rsid w:val="3FB4593E"/>
    <w:rsid w:val="5418769A"/>
    <w:rsid w:val="5B091FBC"/>
    <w:rsid w:val="75C9397B"/>
    <w:rsid w:val="7B183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2023-03-07T09:05:06Z</dcterms:created>
  <dcterms:modified xsi:type="dcterms:W3CDTF">2023-03-07T01:05:06Z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2023-03-07T09:05:07Z</dcterms:created>
  <dcterms:modified xsi:type="dcterms:W3CDTF">2023-03-07T01:05:07Z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2023-03-07T09:05:12Z</dcterms:created>
  <dcterms:modified xsi:type="dcterms:W3CDTF">2023-03-07T01:05:12Z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2023-03-07T09:05:06Z</dcterms:created>
  <dcterms:modified xsi:type="dcterms:W3CDTF">2023-03-07T01:05:06Z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2023-03-07T09:05:06Z</dcterms:created>
  <dcterms:modified xsi:type="dcterms:W3CDTF">2023-03-07T01:05:06Z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2023-03-07T09:05:06Z</dcterms:created>
  <dcterms:modified xsi:type="dcterms:W3CDTF">2023-03-07T01:05:06Z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2023-03-07T09:05:10Z</dcterms:created>
  <dcterms:modified xsi:type="dcterms:W3CDTF">2023-03-07T01:05:10Z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2023-03-07T09:05:05Z</dcterms:created>
  <dcterms:modified xsi:type="dcterms:W3CDTF">2023-03-07T01:05:05Z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2023-03-07T09:05:11Z</dcterms:created>
  <dcterms:modified xsi:type="dcterms:W3CDTF">2023-03-07T01:05:11Z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2023-03-07T09:05:11Z</dcterms:created>
  <dcterms:modified xsi:type="dcterms:W3CDTF">2023-03-07T01:05:11Z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2023-03-07T09:05:11Z</dcterms:created>
  <dcterms:modified xsi:type="dcterms:W3CDTF">2023-03-07T01:05:11Z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B6FC6E7E-EAB7-4730-A15D-A90B1549BDE5}">
  <ds:schemaRefs/>
</ds:datastoreItem>
</file>

<file path=customXml/itemProps11.xml><?xml version="1.0" encoding="utf-8"?>
<ds:datastoreItem xmlns:ds="http://schemas.openxmlformats.org/officeDocument/2006/customXml" ds:itemID="{7EEFC44E-9965-413B-8255-98C059414B85}">
  <ds:schemaRefs/>
</ds:datastoreItem>
</file>

<file path=customXml/itemProps12.xml><?xml version="1.0" encoding="utf-8"?>
<ds:datastoreItem xmlns:ds="http://schemas.openxmlformats.org/officeDocument/2006/customXml" ds:itemID="{E521D57A-9A81-4325-9495-7EC88240CFE8}">
  <ds:schemaRefs/>
</ds:datastoreItem>
</file>

<file path=customXml/itemProps13.xml><?xml version="1.0" encoding="utf-8"?>
<ds:datastoreItem xmlns:ds="http://schemas.openxmlformats.org/officeDocument/2006/customXml" ds:itemID="{B1E5721F-A01E-4406-B57E-AF94144E89EC}">
  <ds:schemaRefs/>
</ds:datastoreItem>
</file>

<file path=customXml/itemProps14.xml><?xml version="1.0" encoding="utf-8"?>
<ds:datastoreItem xmlns:ds="http://schemas.openxmlformats.org/officeDocument/2006/customXml" ds:itemID="{85218A45-80AC-49EE-BCC5-892D62B10759}">
  <ds:schemaRefs/>
</ds:datastoreItem>
</file>

<file path=customXml/itemProps15.xml><?xml version="1.0" encoding="utf-8"?>
<ds:datastoreItem xmlns:ds="http://schemas.openxmlformats.org/officeDocument/2006/customXml" ds:itemID="{0065BFD1-21C2-497C-80B6-CA77E50886B1}">
  <ds:schemaRefs/>
</ds:datastoreItem>
</file>

<file path=customXml/itemProps16.xml><?xml version="1.0" encoding="utf-8"?>
<ds:datastoreItem xmlns:ds="http://schemas.openxmlformats.org/officeDocument/2006/customXml" ds:itemID="{C29B79B8-17B4-4C5E-912E-AB8A9963D4E5}">
  <ds:schemaRefs/>
</ds:datastoreItem>
</file>

<file path=customXml/itemProps17.xml><?xml version="1.0" encoding="utf-8"?>
<ds:datastoreItem xmlns:ds="http://schemas.openxmlformats.org/officeDocument/2006/customXml" ds:itemID="{76193152-FFFD-47C0-A9F1-4BE0BD1104B7}">
  <ds:schemaRefs/>
</ds:datastoreItem>
</file>

<file path=customXml/itemProps18.xml><?xml version="1.0" encoding="utf-8"?>
<ds:datastoreItem xmlns:ds="http://schemas.openxmlformats.org/officeDocument/2006/customXml" ds:itemID="{5740A118-DAB7-49B4-8967-A366D28FBA06}">
  <ds:schemaRefs/>
</ds:datastoreItem>
</file>

<file path=customXml/itemProps19.xml><?xml version="1.0" encoding="utf-8"?>
<ds:datastoreItem xmlns:ds="http://schemas.openxmlformats.org/officeDocument/2006/customXml" ds:itemID="{A0F6C8F0-4B34-42CC-AB5B-3E793B6ADC64}">
  <ds:schemaRefs/>
</ds:datastoreItem>
</file>

<file path=customXml/itemProps2.xml><?xml version="1.0" encoding="utf-8"?>
<ds:datastoreItem xmlns:ds="http://schemas.openxmlformats.org/officeDocument/2006/customXml" ds:itemID="{163BB02C-3EE3-4CF1-A2A8-A957AB9864C7}">
  <ds:schemaRefs/>
</ds:datastoreItem>
</file>

<file path=customXml/itemProps20.xml><?xml version="1.0" encoding="utf-8"?>
<ds:datastoreItem xmlns:ds="http://schemas.openxmlformats.org/officeDocument/2006/customXml" ds:itemID="{D8C059E0-296E-4695-980F-CB6F50B9F444}">
  <ds:schemaRefs/>
</ds:datastoreItem>
</file>

<file path=customXml/itemProps21.xml><?xml version="1.0" encoding="utf-8"?>
<ds:datastoreItem xmlns:ds="http://schemas.openxmlformats.org/officeDocument/2006/customXml" ds:itemID="{0B6BA837-9093-4D2C-8A3C-157F144DCF82}">
  <ds:schemaRefs/>
</ds:datastoreItem>
</file>

<file path=customXml/itemProps22.xml><?xml version="1.0" encoding="utf-8"?>
<ds:datastoreItem xmlns:ds="http://schemas.openxmlformats.org/officeDocument/2006/customXml" ds:itemID="{E3CB2E42-901D-44E1-9515-4C9546D01114}">
  <ds:schemaRefs/>
</ds:datastoreItem>
</file>

<file path=customXml/itemProps23.xml><?xml version="1.0" encoding="utf-8"?>
<ds:datastoreItem xmlns:ds="http://schemas.openxmlformats.org/officeDocument/2006/customXml" ds:itemID="{E4B16868-157D-4764-9DE1-3B6BB290A97B}">
  <ds:schemaRefs/>
</ds:datastoreItem>
</file>

<file path=customXml/itemProps3.xml><?xml version="1.0" encoding="utf-8"?>
<ds:datastoreItem xmlns:ds="http://schemas.openxmlformats.org/officeDocument/2006/customXml" ds:itemID="{FF4305FC-DF61-48B2-BDFA-FF9CEDB97F1B}">
  <ds:schemaRefs/>
</ds:datastoreItem>
</file>

<file path=customXml/itemProps4.xml><?xml version="1.0" encoding="utf-8"?>
<ds:datastoreItem xmlns:ds="http://schemas.openxmlformats.org/officeDocument/2006/customXml" ds:itemID="{583A155C-9DF9-4EE2-BB81-72BBEBC8378B}">
  <ds:schemaRefs/>
</ds:datastoreItem>
</file>

<file path=customXml/itemProps5.xml><?xml version="1.0" encoding="utf-8"?>
<ds:datastoreItem xmlns:ds="http://schemas.openxmlformats.org/officeDocument/2006/customXml" ds:itemID="{014550A8-7123-427F-ABEC-36810C485E8B}">
  <ds:schemaRefs/>
</ds:datastoreItem>
</file>

<file path=customXml/itemProps6.xml><?xml version="1.0" encoding="utf-8"?>
<ds:datastoreItem xmlns:ds="http://schemas.openxmlformats.org/officeDocument/2006/customXml" ds:itemID="{C17DAF87-2868-4CD6-A610-3D80B7176CBE}">
  <ds:schemaRefs/>
</ds:datastoreItem>
</file>

<file path=customXml/itemProps7.xml><?xml version="1.0" encoding="utf-8"?>
<ds:datastoreItem xmlns:ds="http://schemas.openxmlformats.org/officeDocument/2006/customXml" ds:itemID="{78345FB3-AF04-4080-833D-544471B72D46}">
  <ds:schemaRefs/>
</ds:datastoreItem>
</file>

<file path=customXml/itemProps8.xml><?xml version="1.0" encoding="utf-8"?>
<ds:datastoreItem xmlns:ds="http://schemas.openxmlformats.org/officeDocument/2006/customXml" ds:itemID="{4780A0C1-E9B4-453B-B1EC-C6145E98F1E9}">
  <ds:schemaRefs/>
</ds:datastoreItem>
</file>

<file path=customXml/itemProps9.xml><?xml version="1.0" encoding="utf-8"?>
<ds:datastoreItem xmlns:ds="http://schemas.openxmlformats.org/officeDocument/2006/customXml" ds:itemID="{B683B614-D08B-41FA-8B51-C2E439CF029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7115</Words>
  <Characters>8087</Characters>
  <Lines>77</Lines>
  <Paragraphs>21</Paragraphs>
  <TotalTime>9</TotalTime>
  <ScaleCrop>false</ScaleCrop>
  <LinksUpToDate>false</LinksUpToDate>
  <CharactersWithSpaces>8247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2023-09-19T09:25:00Z</dcterms:created>
  <dc:creator>Administrator</dc:creator>
  <cp:lastModifiedBy>Administratorgy0312</cp:lastModifiedBy>
  <dcterms:modified xsi:type="dcterms:W3CDTF">2023-11-08T11:25:37Z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01FB25C74D8B4588B81242889ECE90E0_13</vt:lpwstr>
  </property>
</Properties>
</file>