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pPr>
      <w:bookmarkStart w:id="18" w:name="_GoBack"/>
      <w:bookmarkEnd w:id="18"/>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 xml:space="preserve"> </w:t>
      </w:r>
    </w:p>
    <w:p>
      <w:r>
        <w:rPr>
          <w:rFonts w:hint="eastAsia" w:ascii="方正楷体_GBK" w:hAnsi="方正楷体_GBK" w:eastAsia="宋体"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单位</w:t>
      </w:r>
      <w:r>
        <w:t>预算收支总表</w:t>
      </w:r>
      <w:r>
        <w:tab/>
      </w:r>
      <w:r>
        <w:rPr>
          <w:rFonts w:hint="eastAsia"/>
          <w:lang w:eastAsia="zh-CN"/>
        </w:rPr>
        <w:t>3</w:t>
      </w:r>
      <w:r>
        <w:rPr>
          <w:rFonts w:hint="eastAsia"/>
          <w:lang w:eastAsia="zh-CN"/>
        </w:rPr>
        <w:fldChar w:fldCharType="end"/>
      </w:r>
    </w:p>
    <w:p>
      <w:pPr>
        <w:pStyle w:val="5"/>
        <w:tabs>
          <w:tab w:val="right" w:leader="dot" w:pos="14562"/>
        </w:tabs>
      </w:pPr>
      <w:r>
        <w:fldChar w:fldCharType="begin"/>
      </w:r>
      <w:r>
        <w:instrText xml:space="preserve"> HYPERLINK \l "_Toc_2_2_0000000002" </w:instrText>
      </w:r>
      <w:r>
        <w:fldChar w:fldCharType="separate"/>
      </w:r>
      <w:r>
        <w:rPr>
          <w:rFonts w:hint="eastAsia"/>
        </w:rPr>
        <w:t>单位</w:t>
      </w:r>
      <w:r>
        <w:t>预算收入总表</w:t>
      </w:r>
      <w:r>
        <w:tab/>
      </w:r>
      <w:r>
        <w:rPr>
          <w:rFonts w:hint="eastAsia"/>
          <w:lang w:eastAsia="zh-CN"/>
        </w:rPr>
        <w:t>5</w:t>
      </w:r>
      <w:r>
        <w:rPr>
          <w:rFonts w:hint="eastAsia"/>
          <w:lang w:eastAsia="zh-CN"/>
        </w:rPr>
        <w:fldChar w:fldCharType="end"/>
      </w:r>
    </w:p>
    <w:p>
      <w:pPr>
        <w:pStyle w:val="5"/>
        <w:tabs>
          <w:tab w:val="right" w:leader="dot" w:pos="14562"/>
        </w:tabs>
      </w:pPr>
      <w:r>
        <w:fldChar w:fldCharType="begin"/>
      </w:r>
      <w:r>
        <w:instrText xml:space="preserve"> HYPERLINK \l "_Toc_2_2_0000000003" </w:instrText>
      </w:r>
      <w:r>
        <w:fldChar w:fldCharType="separate"/>
      </w:r>
      <w:r>
        <w:rPr>
          <w:rFonts w:hint="eastAsia"/>
        </w:rPr>
        <w:t>单位</w:t>
      </w:r>
      <w:r>
        <w:t>预算支出总表</w:t>
      </w:r>
      <w:r>
        <w:tab/>
      </w:r>
      <w:r>
        <w:rPr>
          <w:rFonts w:hint="eastAsia"/>
          <w:lang w:eastAsia="zh-CN"/>
        </w:rPr>
        <w:t>7</w:t>
      </w:r>
      <w:r>
        <w:rPr>
          <w:rFonts w:hint="eastAsia"/>
          <w:lang w:eastAsia="zh-CN"/>
        </w:rPr>
        <w:fldChar w:fldCharType="end"/>
      </w:r>
    </w:p>
    <w:p>
      <w:pPr>
        <w:pStyle w:val="5"/>
        <w:tabs>
          <w:tab w:val="right" w:leader="dot" w:pos="14562"/>
        </w:tabs>
      </w:pPr>
      <w:r>
        <w:fldChar w:fldCharType="begin"/>
      </w:r>
      <w:r>
        <w:instrText xml:space="preserve"> HYPERLINK \l "_Toc_2_2_0000000004" </w:instrText>
      </w:r>
      <w:r>
        <w:fldChar w:fldCharType="separate"/>
      </w:r>
      <w:r>
        <w:rPr>
          <w:rFonts w:hint="eastAsia"/>
        </w:rPr>
        <w:t>单位</w:t>
      </w:r>
      <w:r>
        <w:t>预算财政拨款收支总表</w:t>
      </w:r>
      <w:r>
        <w:tab/>
      </w:r>
      <w:r>
        <w:rPr>
          <w:rFonts w:hint="eastAsia"/>
          <w:lang w:eastAsia="zh-CN"/>
        </w:rPr>
        <w:t>8</w:t>
      </w:r>
      <w:r>
        <w:rPr>
          <w:rFonts w:hint="eastAsia"/>
          <w:lang w:eastAsia="zh-CN"/>
        </w:rPr>
        <w:fldChar w:fldCharType="end"/>
      </w:r>
    </w:p>
    <w:p>
      <w:pPr>
        <w:pStyle w:val="5"/>
        <w:tabs>
          <w:tab w:val="right" w:leader="dot" w:pos="14562"/>
        </w:tabs>
      </w:pPr>
      <w:r>
        <w:fldChar w:fldCharType="begin"/>
      </w:r>
      <w:r>
        <w:instrText xml:space="preserve"> HYPERLINK \l "_Toc_2_2_0000000005" </w:instrText>
      </w:r>
      <w:r>
        <w:fldChar w:fldCharType="separate"/>
      </w:r>
      <w:r>
        <w:rPr>
          <w:rFonts w:hint="eastAsia"/>
        </w:rPr>
        <w:t>单位</w:t>
      </w:r>
      <w:r>
        <w:t>预算一般公共预算财政拨款支出表</w:t>
      </w:r>
      <w:r>
        <w:tab/>
      </w:r>
      <w:r>
        <w:rPr>
          <w:rFonts w:hint="eastAsia"/>
          <w:lang w:eastAsia="zh-CN"/>
        </w:rPr>
        <w:t>10</w:t>
      </w:r>
      <w:r>
        <w:rPr>
          <w:rFonts w:hint="eastAsia"/>
          <w:lang w:eastAsia="zh-CN"/>
        </w:rPr>
        <w:fldChar w:fldCharType="end"/>
      </w:r>
    </w:p>
    <w:p>
      <w:pPr>
        <w:pStyle w:val="5"/>
        <w:tabs>
          <w:tab w:val="right" w:leader="dot" w:pos="14562"/>
        </w:tabs>
      </w:pPr>
      <w:r>
        <w:fldChar w:fldCharType="begin"/>
      </w:r>
      <w:r>
        <w:instrText xml:space="preserve"> HYPERLINK \l "_Toc_2_2_0000000006" </w:instrText>
      </w:r>
      <w:r>
        <w:fldChar w:fldCharType="separate"/>
      </w:r>
      <w:r>
        <w:rPr>
          <w:rFonts w:hint="eastAsia"/>
        </w:rPr>
        <w:t>单位</w:t>
      </w:r>
      <w:r>
        <w:t>预算一般公共预算财政拨款基本支出表</w:t>
      </w:r>
      <w:r>
        <w:tab/>
      </w:r>
      <w:r>
        <w:rPr>
          <w:rFonts w:hint="eastAsia"/>
          <w:lang w:eastAsia="zh-CN"/>
        </w:rPr>
        <w:t>11</w:t>
      </w:r>
      <w:r>
        <w:rPr>
          <w:rFonts w:hint="eastAsia"/>
          <w:lang w:eastAsia="zh-CN"/>
        </w:rPr>
        <w:fldChar w:fldCharType="end"/>
      </w:r>
    </w:p>
    <w:p>
      <w:pPr>
        <w:pStyle w:val="5"/>
        <w:tabs>
          <w:tab w:val="right" w:leader="dot" w:pos="14562"/>
        </w:tabs>
      </w:pPr>
      <w:r>
        <w:fldChar w:fldCharType="begin"/>
      </w:r>
      <w:r>
        <w:instrText xml:space="preserve"> HYPERLINK \l "_Toc_2_2_0000000007" </w:instrText>
      </w:r>
      <w:r>
        <w:fldChar w:fldCharType="separate"/>
      </w:r>
      <w:r>
        <w:rPr>
          <w:rFonts w:hint="eastAsia"/>
        </w:rPr>
        <w:t>单位</w:t>
      </w:r>
      <w:r>
        <w:t>预算政府基金预算财政拨款支出表</w:t>
      </w:r>
      <w:r>
        <w:tab/>
      </w:r>
      <w:r>
        <w:rPr>
          <w:rFonts w:hint="eastAsia"/>
          <w:lang w:eastAsia="zh-CN"/>
        </w:rPr>
        <w:t>13</w:t>
      </w:r>
      <w:r>
        <w:rPr>
          <w:rFonts w:hint="eastAsia"/>
          <w:lang w:eastAsia="zh-CN"/>
        </w:rPr>
        <w:fldChar w:fldCharType="end"/>
      </w:r>
    </w:p>
    <w:p>
      <w:pPr>
        <w:pStyle w:val="5"/>
        <w:tabs>
          <w:tab w:val="right" w:leader="dot" w:pos="14562"/>
        </w:tabs>
      </w:pPr>
      <w:r>
        <w:fldChar w:fldCharType="begin"/>
      </w:r>
      <w:r>
        <w:instrText xml:space="preserve"> HYPERLINK \l "_Toc_2_2_0000000008" </w:instrText>
      </w:r>
      <w:r>
        <w:fldChar w:fldCharType="separate"/>
      </w:r>
      <w:r>
        <w:rPr>
          <w:rFonts w:hint="eastAsia"/>
        </w:rPr>
        <w:t>单位</w:t>
      </w:r>
      <w:r>
        <w:t>预算国有资本经营预算财政拨款支出表</w:t>
      </w:r>
      <w:r>
        <w:tab/>
      </w:r>
      <w:r>
        <w:rPr>
          <w:rFonts w:hint="eastAsia"/>
          <w:lang w:eastAsia="zh-CN"/>
        </w:rPr>
        <w:t>14</w:t>
      </w:r>
      <w:r>
        <w:rPr>
          <w:rFonts w:hint="eastAsia"/>
          <w:lang w:eastAsia="zh-CN"/>
        </w:rPr>
        <w:fldChar w:fldCharType="end"/>
      </w:r>
    </w:p>
    <w:p>
      <w:pPr>
        <w:pStyle w:val="5"/>
        <w:tabs>
          <w:tab w:val="right" w:leader="dot" w:pos="14562"/>
        </w:tabs>
      </w:pPr>
      <w:r>
        <w:fldChar w:fldCharType="begin"/>
      </w:r>
      <w:r>
        <w:instrText xml:space="preserve"> HYPERLINK \l "_Toc_2_2_0000000009" </w:instrText>
      </w:r>
      <w:r>
        <w:fldChar w:fldCharType="separate"/>
      </w:r>
      <w:r>
        <w:rPr>
          <w:rFonts w:hint="eastAsia"/>
        </w:rPr>
        <w:t>单位</w:t>
      </w:r>
      <w:r>
        <w:t>预算财政拨款“三公”经费支出表</w:t>
      </w:r>
      <w:r>
        <w:tab/>
      </w:r>
      <w:r>
        <w:rPr>
          <w:rFonts w:hint="eastAsia"/>
          <w:lang w:eastAsia="zh-CN"/>
        </w:rPr>
        <w:t>15</w:t>
      </w:r>
      <w:r>
        <w:rPr>
          <w:rFonts w:hint="eastAsia"/>
          <w:lang w:eastAsia="zh-CN"/>
        </w:rPr>
        <w:fldChar w:fldCharType="end"/>
      </w:r>
    </w:p>
    <w:p>
      <w:r>
        <w:fldChar w:fldCharType="end"/>
      </w:r>
    </w:p>
    <w:p>
      <w:r>
        <w:rPr>
          <w:rFonts w:hint="eastAsia" w:ascii="方正楷体_GBK" w:hAnsi="方正楷体_GBK" w:eastAsia="方正楷体_GBK" w:cs="方正楷体_GBK"/>
          <w:b/>
          <w:color w:val="000000"/>
          <w:sz w:val="28"/>
        </w:rPr>
        <w:t>单位</w:t>
      </w:r>
      <w:r>
        <w:rPr>
          <w:rFonts w:ascii="方正楷体_GBK" w:hAnsi="方正楷体_GBK" w:eastAsia="方正楷体_GBK" w:cs="方正楷体_GBK"/>
          <w:b/>
          <w:color w:val="000000"/>
          <w:sz w:val="28"/>
        </w:rPr>
        <w:t>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rPr>
        <w:t>单位</w:t>
      </w:r>
      <w:r>
        <w:t>职责及机构设置情况</w:t>
      </w:r>
      <w:r>
        <w:tab/>
      </w:r>
      <w:r>
        <w:rPr>
          <w:rFonts w:hint="eastAsia"/>
          <w:lang w:eastAsia="zh-CN"/>
        </w:rPr>
        <w:t>16</w:t>
      </w:r>
      <w:r>
        <w:rPr>
          <w:rFonts w:hint="eastAsia"/>
          <w:lang w:eastAsia="zh-CN"/>
        </w:rPr>
        <w:fldChar w:fldCharType="end"/>
      </w:r>
    </w:p>
    <w:p>
      <w:pPr>
        <w:pStyle w:val="5"/>
        <w:tabs>
          <w:tab w:val="right" w:leader="dot" w:pos="14562"/>
        </w:tabs>
      </w:pPr>
      <w:r>
        <w:fldChar w:fldCharType="begin"/>
      </w:r>
      <w:r>
        <w:instrText xml:space="preserve"> HYPERLINK \l "_Toc_3_3_0000000011" </w:instrText>
      </w:r>
      <w:r>
        <w:fldChar w:fldCharType="separate"/>
      </w:r>
      <w:r>
        <w:t>二、</w:t>
      </w:r>
      <w:r>
        <w:rPr>
          <w:rFonts w:hint="eastAsia"/>
        </w:rPr>
        <w:t>单位</w:t>
      </w:r>
      <w:r>
        <w:t>预算安排的总体情况</w:t>
      </w:r>
      <w:r>
        <w:tab/>
      </w:r>
      <w:r>
        <w:rPr>
          <w:rFonts w:hint="eastAsia"/>
          <w:lang w:eastAsia="zh-CN"/>
        </w:rPr>
        <w:t>17</w:t>
      </w:r>
      <w:r>
        <w:rPr>
          <w:rFonts w:hint="eastAsia"/>
          <w:lang w:eastAsia="zh-CN"/>
        </w:rP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lang w:eastAsia="zh-CN"/>
        </w:rPr>
        <w:t>17</w:t>
      </w:r>
      <w:r>
        <w:rPr>
          <w:rFonts w:hint="eastAsia"/>
          <w:lang w:eastAsia="zh-CN"/>
        </w:rP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18</w:t>
      </w:r>
      <w:r>
        <w:rPr>
          <w:rFonts w:hint="eastAsia"/>
          <w:lang w:eastAsia="zh-CN"/>
        </w:rP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rPr>
          <w:rFonts w:hint="eastAsia"/>
          <w:lang w:eastAsia="zh-CN"/>
        </w:rPr>
        <w:t>18</w:t>
      </w:r>
      <w:r>
        <w:rPr>
          <w:rFonts w:hint="eastAsia"/>
          <w:lang w:eastAsia="zh-CN"/>
        </w:rP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rPr>
          <w:rFonts w:hint="eastAsia"/>
          <w:lang w:eastAsia="zh-CN"/>
        </w:rPr>
        <w:t>25</w:t>
      </w:r>
      <w:r>
        <w:rPr>
          <w:rFonts w:hint="eastAsia"/>
          <w:lang w:eastAsia="zh-CN"/>
        </w:rP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rPr>
          <w:rFonts w:hint="eastAsia"/>
          <w:lang w:eastAsia="zh-CN"/>
        </w:rPr>
        <w:t>25</w:t>
      </w:r>
      <w:r>
        <w:rPr>
          <w:rFonts w:hint="eastAsia"/>
          <w:lang w:eastAsia="zh-CN"/>
        </w:rP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rPr>
          <w:rFonts w:hint="eastAsia"/>
          <w:lang w:eastAsia="zh-CN"/>
        </w:rPr>
        <w:t>26</w:t>
      </w:r>
      <w:r>
        <w:rPr>
          <w:rFonts w:hint="eastAsia"/>
          <w:lang w:eastAsia="zh-CN"/>
        </w:rP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rPr>
          <w:rFonts w:hint="eastAsia"/>
          <w:lang w:eastAsia="zh-CN"/>
        </w:rPr>
        <w:t>26</w:t>
      </w:r>
      <w:r>
        <w:rPr>
          <w:rFonts w:hint="eastAsia"/>
          <w:lang w:eastAsia="zh-CN"/>
        </w:rP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outlineLvl w:val="1"/>
      </w:pPr>
      <w:bookmarkStart w:id="0" w:name="_Toc_2_2_0000000001"/>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预算收支总表</w:t>
      </w:r>
      <w:bookmarkEnd w:id="0"/>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rPr>
                <w:lang w:eastAsia="zh-CN"/>
              </w:rPr>
            </w:pPr>
            <w:r>
              <w:t>131</w:t>
            </w:r>
            <w:r>
              <w:rPr>
                <w:rFonts w:hint="eastAsia"/>
                <w:lang w:eastAsia="zh-CN"/>
              </w:rPr>
              <w:t>001</w:t>
            </w:r>
            <w:r>
              <w:t>高阳县政协办公室</w:t>
            </w:r>
            <w:r>
              <w:rPr>
                <w:rFonts w:hint="eastAsia"/>
                <w:lang w:eastAsia="zh-CN"/>
              </w:rPr>
              <w:t>（机关）</w:t>
            </w:r>
          </w:p>
        </w:tc>
        <w:tc>
          <w:tcPr>
            <w:tcW w:w="2126" w:type="dxa"/>
            <w:tcBorders>
              <w:top w:val="single" w:color="FFFFFF" w:sz="6" w:space="0"/>
              <w:left w:val="single" w:color="FFFFFF" w:sz="6" w:space="0"/>
              <w:right w:val="single" w:color="FFFFFF" w:sz="6" w:space="0"/>
            </w:tcBorders>
            <w:vAlign w:val="center"/>
          </w:tcPr>
          <w:p>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rPr>
          <w:trHeight w:val="369" w:hRule="atLeast"/>
          <w:tblHeader/>
          <w:jc w:val="center"/>
        </w:trPr>
        <w:tc>
          <w:tcPr>
            <w:tcW w:w="850" w:type="dxa"/>
            <w:vMerge w:val="continue"/>
            <w:vAlign w:val="top"/>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453.72</w:t>
            </w:r>
          </w:p>
        </w:tc>
        <w:tc>
          <w:tcPr>
            <w:tcW w:w="4535" w:type="dxa"/>
            <w:vAlign w:val="center"/>
          </w:tcPr>
          <w:p>
            <w:pPr>
              <w:pStyle w:val="14"/>
            </w:pPr>
            <w:r>
              <w:t>一、一般公共服务支出</w:t>
            </w:r>
          </w:p>
        </w:tc>
        <w:tc>
          <w:tcPr>
            <w:tcW w:w="2126" w:type="dxa"/>
            <w:vAlign w:val="center"/>
          </w:tcPr>
          <w:p>
            <w:pPr>
              <w:pStyle w:val="13"/>
            </w:pPr>
            <w:r>
              <w:t>382.54</w:t>
            </w:r>
          </w:p>
        </w:tc>
      </w:tr>
      <w:tr>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35.85</w:t>
            </w:r>
          </w:p>
        </w:tc>
      </w:tr>
      <w:tr>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13.92</w:t>
            </w:r>
          </w:p>
        </w:tc>
      </w:tr>
      <w:tr>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21.41</w:t>
            </w:r>
          </w:p>
        </w:tc>
      </w:tr>
      <w:tr>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rPr>
          <w:trHeight w:val="369" w:hRule="atLeast"/>
          <w:jc w:val="center"/>
        </w:trPr>
        <w:tc>
          <w:tcPr>
            <w:tcW w:w="850" w:type="dxa"/>
            <w:vAlign w:val="center"/>
          </w:tcPr>
          <w:p>
            <w:pPr>
              <w:pStyle w:val="15"/>
            </w:pPr>
            <w:r>
              <w:t>31</w:t>
            </w:r>
          </w:p>
        </w:tc>
        <w:tc>
          <w:tcPr>
            <w:tcW w:w="4536" w:type="dxa"/>
            <w:vAlign w:val="center"/>
          </w:tcPr>
          <w:p>
            <w:pPr>
              <w:pStyle w:val="16"/>
            </w:pPr>
            <w:r>
              <w:t>本年收入合计</w:t>
            </w:r>
          </w:p>
        </w:tc>
        <w:tc>
          <w:tcPr>
            <w:tcW w:w="2126" w:type="dxa"/>
            <w:vAlign w:val="center"/>
          </w:tcPr>
          <w:p>
            <w:pPr>
              <w:pStyle w:val="17"/>
            </w:pPr>
            <w:r>
              <w:t>453.72</w:t>
            </w:r>
          </w:p>
        </w:tc>
        <w:tc>
          <w:tcPr>
            <w:tcW w:w="4535" w:type="dxa"/>
            <w:vAlign w:val="center"/>
          </w:tcPr>
          <w:p>
            <w:pPr>
              <w:pStyle w:val="16"/>
            </w:pPr>
            <w:r>
              <w:t>本年支出合计</w:t>
            </w:r>
          </w:p>
        </w:tc>
        <w:tc>
          <w:tcPr>
            <w:tcW w:w="2126" w:type="dxa"/>
            <w:vAlign w:val="center"/>
          </w:tcPr>
          <w:p>
            <w:pPr>
              <w:pStyle w:val="17"/>
            </w:pPr>
            <w:r>
              <w:t>453.72</w:t>
            </w:r>
          </w:p>
        </w:tc>
      </w:tr>
      <w:tr>
        <w:trPr>
          <w:trHeight w:val="369" w:hRule="atLeast"/>
          <w:jc w:val="center"/>
        </w:trPr>
        <w:tc>
          <w:tcPr>
            <w:tcW w:w="850" w:type="dxa"/>
            <w:vAlign w:val="center"/>
          </w:tcPr>
          <w:p>
            <w:pPr>
              <w:pStyle w:val="15"/>
            </w:pPr>
            <w:r>
              <w:t>32</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rPr>
          <w:trHeight w:val="369" w:hRule="atLeast"/>
          <w:jc w:val="center"/>
        </w:trPr>
        <w:tc>
          <w:tcPr>
            <w:tcW w:w="850" w:type="dxa"/>
            <w:vAlign w:val="center"/>
          </w:tcPr>
          <w:p>
            <w:pPr>
              <w:pStyle w:val="15"/>
            </w:pPr>
            <w:r>
              <w:t>33</w:t>
            </w:r>
          </w:p>
        </w:tc>
        <w:tc>
          <w:tcPr>
            <w:tcW w:w="4536" w:type="dxa"/>
            <w:vAlign w:val="center"/>
          </w:tcPr>
          <w:p>
            <w:pPr>
              <w:pStyle w:val="16"/>
            </w:pPr>
            <w:r>
              <w:t>收入总计</w:t>
            </w:r>
          </w:p>
        </w:tc>
        <w:tc>
          <w:tcPr>
            <w:tcW w:w="2126" w:type="dxa"/>
            <w:vAlign w:val="center"/>
          </w:tcPr>
          <w:p>
            <w:pPr>
              <w:pStyle w:val="17"/>
            </w:pPr>
            <w:r>
              <w:t>453.72</w:t>
            </w:r>
          </w:p>
        </w:tc>
        <w:tc>
          <w:tcPr>
            <w:tcW w:w="4535" w:type="dxa"/>
            <w:vAlign w:val="center"/>
          </w:tcPr>
          <w:p>
            <w:pPr>
              <w:pStyle w:val="16"/>
            </w:pPr>
            <w:r>
              <w:t>支出总计</w:t>
            </w:r>
          </w:p>
        </w:tc>
        <w:tc>
          <w:tcPr>
            <w:tcW w:w="2126" w:type="dxa"/>
            <w:vAlign w:val="center"/>
          </w:tcPr>
          <w:p>
            <w:pPr>
              <w:pStyle w:val="17"/>
            </w:pPr>
            <w:r>
              <w:t>453.72</w:t>
            </w:r>
          </w:p>
        </w:tc>
      </w:tr>
    </w:tbl>
    <w:p>
      <w:pPr>
        <w:sectPr>
          <w:footerReference r:id="rId4" w:type="default"/>
          <w:footerReference r:id="rId5" w:type="even"/>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预算收入总表</w:t>
      </w:r>
      <w:bookmarkEnd w:id="1"/>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rPr>
                <w:lang w:eastAsia="zh-CN"/>
              </w:rPr>
            </w:pPr>
            <w:r>
              <w:t>131</w:t>
            </w:r>
            <w:r>
              <w:rPr>
                <w:rFonts w:hint="eastAsia"/>
                <w:lang w:eastAsia="zh-CN"/>
              </w:rPr>
              <w:t>001</w:t>
            </w:r>
            <w:r>
              <w:t>高阳县政协办公室</w:t>
            </w:r>
            <w:r>
              <w:rPr>
                <w:rFonts w:hint="eastAsia"/>
                <w:lang w:eastAsia="zh-CN"/>
              </w:rPr>
              <w:t>（机关）</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rPr>
          <w:trHeight w:val="369" w:hRule="atLeast"/>
          <w:tblHeader/>
          <w:jc w:val="center"/>
        </w:trPr>
        <w:tc>
          <w:tcPr>
            <w:tcW w:w="680" w:type="dxa"/>
            <w:vMerge w:val="continue"/>
            <w:vAlign w:val="top"/>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vAlign w:val="top"/>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vAlign w:val="top"/>
          </w:tcPr>
          <w:p/>
        </w:tc>
      </w:tr>
      <w:tr>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453.72</w:t>
            </w:r>
          </w:p>
        </w:tc>
        <w:tc>
          <w:tcPr>
            <w:tcW w:w="1134" w:type="dxa"/>
            <w:vAlign w:val="center"/>
          </w:tcPr>
          <w:p>
            <w:pPr>
              <w:pStyle w:val="17"/>
            </w:pPr>
            <w:r>
              <w:t>453.72</w:t>
            </w:r>
          </w:p>
        </w:tc>
        <w:tc>
          <w:tcPr>
            <w:tcW w:w="1134" w:type="dxa"/>
            <w:vAlign w:val="center"/>
          </w:tcPr>
          <w:p>
            <w:pPr>
              <w:pStyle w:val="17"/>
            </w:pPr>
            <w:r>
              <w:t>453.72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382.54</w:t>
            </w:r>
          </w:p>
        </w:tc>
        <w:tc>
          <w:tcPr>
            <w:tcW w:w="1134" w:type="dxa"/>
            <w:vAlign w:val="center"/>
          </w:tcPr>
          <w:p>
            <w:pPr>
              <w:pStyle w:val="13"/>
            </w:pPr>
            <w:r>
              <w:t>382.54</w:t>
            </w:r>
          </w:p>
        </w:tc>
        <w:tc>
          <w:tcPr>
            <w:tcW w:w="1134" w:type="dxa"/>
            <w:vAlign w:val="center"/>
          </w:tcPr>
          <w:p>
            <w:pPr>
              <w:pStyle w:val="13"/>
            </w:pPr>
            <w:r>
              <w:t>382.54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3</w:t>
            </w:r>
          </w:p>
        </w:tc>
        <w:tc>
          <w:tcPr>
            <w:tcW w:w="992" w:type="dxa"/>
            <w:vAlign w:val="center"/>
          </w:tcPr>
          <w:p>
            <w:pPr>
              <w:pStyle w:val="14"/>
            </w:pPr>
            <w:r>
              <w:t>20102</w:t>
            </w:r>
          </w:p>
        </w:tc>
        <w:tc>
          <w:tcPr>
            <w:tcW w:w="1559" w:type="dxa"/>
            <w:vAlign w:val="center"/>
          </w:tcPr>
          <w:p>
            <w:pPr>
              <w:pStyle w:val="14"/>
            </w:pPr>
            <w:r>
              <w:t>政协事务</w:t>
            </w:r>
          </w:p>
        </w:tc>
        <w:tc>
          <w:tcPr>
            <w:tcW w:w="1134" w:type="dxa"/>
            <w:vAlign w:val="center"/>
          </w:tcPr>
          <w:p>
            <w:pPr>
              <w:pStyle w:val="13"/>
            </w:pPr>
            <w:r>
              <w:t>382.54</w:t>
            </w:r>
          </w:p>
        </w:tc>
        <w:tc>
          <w:tcPr>
            <w:tcW w:w="1134" w:type="dxa"/>
            <w:vAlign w:val="center"/>
          </w:tcPr>
          <w:p>
            <w:pPr>
              <w:pStyle w:val="13"/>
            </w:pPr>
            <w:r>
              <w:t>382.54</w:t>
            </w:r>
          </w:p>
        </w:tc>
        <w:tc>
          <w:tcPr>
            <w:tcW w:w="1134" w:type="dxa"/>
            <w:vAlign w:val="center"/>
          </w:tcPr>
          <w:p>
            <w:pPr>
              <w:pStyle w:val="13"/>
            </w:pPr>
            <w:r>
              <w:t>382.54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4</w:t>
            </w:r>
          </w:p>
        </w:tc>
        <w:tc>
          <w:tcPr>
            <w:tcW w:w="992" w:type="dxa"/>
            <w:vAlign w:val="center"/>
          </w:tcPr>
          <w:p>
            <w:pPr>
              <w:pStyle w:val="14"/>
            </w:pPr>
            <w:r>
              <w:t>2010201</w:t>
            </w:r>
          </w:p>
        </w:tc>
        <w:tc>
          <w:tcPr>
            <w:tcW w:w="1559" w:type="dxa"/>
            <w:vAlign w:val="center"/>
          </w:tcPr>
          <w:p>
            <w:pPr>
              <w:pStyle w:val="14"/>
            </w:pPr>
            <w:r>
              <w:t>行政运行</w:t>
            </w:r>
          </w:p>
        </w:tc>
        <w:tc>
          <w:tcPr>
            <w:tcW w:w="1134" w:type="dxa"/>
            <w:vAlign w:val="center"/>
          </w:tcPr>
          <w:p>
            <w:pPr>
              <w:pStyle w:val="13"/>
            </w:pPr>
            <w:r>
              <w:t>336.54</w:t>
            </w:r>
          </w:p>
        </w:tc>
        <w:tc>
          <w:tcPr>
            <w:tcW w:w="1134" w:type="dxa"/>
            <w:vAlign w:val="center"/>
          </w:tcPr>
          <w:p>
            <w:pPr>
              <w:pStyle w:val="13"/>
            </w:pPr>
            <w:r>
              <w:t>336.54</w:t>
            </w:r>
          </w:p>
        </w:tc>
        <w:tc>
          <w:tcPr>
            <w:tcW w:w="1134" w:type="dxa"/>
            <w:vAlign w:val="center"/>
          </w:tcPr>
          <w:p>
            <w:pPr>
              <w:pStyle w:val="13"/>
            </w:pPr>
            <w:r>
              <w:t>336.54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5</w:t>
            </w:r>
          </w:p>
        </w:tc>
        <w:tc>
          <w:tcPr>
            <w:tcW w:w="992" w:type="dxa"/>
            <w:vAlign w:val="center"/>
          </w:tcPr>
          <w:p>
            <w:pPr>
              <w:pStyle w:val="14"/>
            </w:pPr>
            <w:r>
              <w:t>2010204</w:t>
            </w:r>
          </w:p>
        </w:tc>
        <w:tc>
          <w:tcPr>
            <w:tcW w:w="1559" w:type="dxa"/>
            <w:vAlign w:val="center"/>
          </w:tcPr>
          <w:p>
            <w:pPr>
              <w:pStyle w:val="14"/>
            </w:pPr>
            <w:r>
              <w:t>政协会议</w:t>
            </w:r>
          </w:p>
        </w:tc>
        <w:tc>
          <w:tcPr>
            <w:tcW w:w="1134" w:type="dxa"/>
            <w:vAlign w:val="center"/>
          </w:tcPr>
          <w:p>
            <w:pPr>
              <w:pStyle w:val="13"/>
            </w:pPr>
            <w:r>
              <w:t>36.00</w:t>
            </w:r>
          </w:p>
        </w:tc>
        <w:tc>
          <w:tcPr>
            <w:tcW w:w="1134" w:type="dxa"/>
            <w:vAlign w:val="center"/>
          </w:tcPr>
          <w:p>
            <w:pPr>
              <w:pStyle w:val="13"/>
            </w:pPr>
            <w:r>
              <w:t>36.00</w:t>
            </w:r>
          </w:p>
        </w:tc>
        <w:tc>
          <w:tcPr>
            <w:tcW w:w="1134" w:type="dxa"/>
            <w:vAlign w:val="center"/>
          </w:tcPr>
          <w:p>
            <w:pPr>
              <w:pStyle w:val="13"/>
            </w:pPr>
            <w:r>
              <w:t>36.00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6</w:t>
            </w:r>
          </w:p>
        </w:tc>
        <w:tc>
          <w:tcPr>
            <w:tcW w:w="992" w:type="dxa"/>
            <w:vAlign w:val="center"/>
          </w:tcPr>
          <w:p>
            <w:pPr>
              <w:pStyle w:val="14"/>
            </w:pPr>
            <w:r>
              <w:t>2010205</w:t>
            </w:r>
          </w:p>
        </w:tc>
        <w:tc>
          <w:tcPr>
            <w:tcW w:w="1559" w:type="dxa"/>
            <w:vAlign w:val="center"/>
          </w:tcPr>
          <w:p>
            <w:pPr>
              <w:pStyle w:val="14"/>
            </w:pPr>
            <w:r>
              <w:t>委员视察</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35.85</w:t>
            </w:r>
          </w:p>
        </w:tc>
        <w:tc>
          <w:tcPr>
            <w:tcW w:w="1134" w:type="dxa"/>
            <w:vAlign w:val="center"/>
          </w:tcPr>
          <w:p>
            <w:pPr>
              <w:pStyle w:val="13"/>
            </w:pPr>
            <w:r>
              <w:t>35.85</w:t>
            </w:r>
          </w:p>
        </w:tc>
        <w:tc>
          <w:tcPr>
            <w:tcW w:w="1134" w:type="dxa"/>
            <w:vAlign w:val="center"/>
          </w:tcPr>
          <w:p>
            <w:pPr>
              <w:pStyle w:val="13"/>
            </w:pPr>
            <w:r>
              <w:t>35.85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34.25</w:t>
            </w:r>
          </w:p>
        </w:tc>
        <w:tc>
          <w:tcPr>
            <w:tcW w:w="1134" w:type="dxa"/>
            <w:vAlign w:val="center"/>
          </w:tcPr>
          <w:p>
            <w:pPr>
              <w:pStyle w:val="13"/>
            </w:pPr>
            <w:r>
              <w:t>34.25</w:t>
            </w:r>
          </w:p>
        </w:tc>
        <w:tc>
          <w:tcPr>
            <w:tcW w:w="1134" w:type="dxa"/>
            <w:vAlign w:val="center"/>
          </w:tcPr>
          <w:p>
            <w:pPr>
              <w:pStyle w:val="13"/>
            </w:pPr>
            <w:r>
              <w:t>34.25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9</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34.25</w:t>
            </w:r>
          </w:p>
        </w:tc>
        <w:tc>
          <w:tcPr>
            <w:tcW w:w="1134" w:type="dxa"/>
            <w:vAlign w:val="center"/>
          </w:tcPr>
          <w:p>
            <w:pPr>
              <w:pStyle w:val="13"/>
            </w:pPr>
            <w:r>
              <w:t>34.25</w:t>
            </w:r>
          </w:p>
        </w:tc>
        <w:tc>
          <w:tcPr>
            <w:tcW w:w="1134" w:type="dxa"/>
            <w:vAlign w:val="center"/>
          </w:tcPr>
          <w:p>
            <w:pPr>
              <w:pStyle w:val="13"/>
            </w:pPr>
            <w:r>
              <w:t>34.25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10</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1.60</w:t>
            </w:r>
          </w:p>
        </w:tc>
        <w:tc>
          <w:tcPr>
            <w:tcW w:w="1134" w:type="dxa"/>
            <w:vAlign w:val="center"/>
          </w:tcPr>
          <w:p>
            <w:pPr>
              <w:pStyle w:val="13"/>
            </w:pPr>
            <w:r>
              <w:t>1.60</w:t>
            </w:r>
          </w:p>
        </w:tc>
        <w:tc>
          <w:tcPr>
            <w:tcW w:w="1134" w:type="dxa"/>
            <w:vAlign w:val="center"/>
          </w:tcPr>
          <w:p>
            <w:pPr>
              <w:pStyle w:val="13"/>
            </w:pPr>
            <w:r>
              <w:t>1.60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11</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1.60</w:t>
            </w:r>
          </w:p>
        </w:tc>
        <w:tc>
          <w:tcPr>
            <w:tcW w:w="1134" w:type="dxa"/>
            <w:vAlign w:val="center"/>
          </w:tcPr>
          <w:p>
            <w:pPr>
              <w:pStyle w:val="13"/>
            </w:pPr>
            <w:r>
              <w:t>1.60</w:t>
            </w:r>
          </w:p>
        </w:tc>
        <w:tc>
          <w:tcPr>
            <w:tcW w:w="1134" w:type="dxa"/>
            <w:vAlign w:val="center"/>
          </w:tcPr>
          <w:p>
            <w:pPr>
              <w:pStyle w:val="13"/>
            </w:pPr>
            <w:r>
              <w:t>1.60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13</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14</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15</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21.41</w:t>
            </w:r>
          </w:p>
        </w:tc>
        <w:tc>
          <w:tcPr>
            <w:tcW w:w="1134" w:type="dxa"/>
            <w:vAlign w:val="center"/>
          </w:tcPr>
          <w:p>
            <w:pPr>
              <w:pStyle w:val="13"/>
            </w:pPr>
            <w:r>
              <w:t>21.41</w:t>
            </w:r>
          </w:p>
        </w:tc>
        <w:tc>
          <w:tcPr>
            <w:tcW w:w="1134" w:type="dxa"/>
            <w:vAlign w:val="center"/>
          </w:tcPr>
          <w:p>
            <w:pPr>
              <w:pStyle w:val="13"/>
            </w:pPr>
            <w:r>
              <w:t>21.41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16</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21.41</w:t>
            </w:r>
          </w:p>
        </w:tc>
        <w:tc>
          <w:tcPr>
            <w:tcW w:w="1134" w:type="dxa"/>
            <w:vAlign w:val="center"/>
          </w:tcPr>
          <w:p>
            <w:pPr>
              <w:pStyle w:val="13"/>
            </w:pPr>
            <w:r>
              <w:t>21.41</w:t>
            </w:r>
          </w:p>
        </w:tc>
        <w:tc>
          <w:tcPr>
            <w:tcW w:w="1134" w:type="dxa"/>
            <w:vAlign w:val="center"/>
          </w:tcPr>
          <w:p>
            <w:pPr>
              <w:pStyle w:val="13"/>
            </w:pPr>
            <w:r>
              <w:t>21.41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17</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21.41</w:t>
            </w:r>
          </w:p>
        </w:tc>
        <w:tc>
          <w:tcPr>
            <w:tcW w:w="1134" w:type="dxa"/>
            <w:vAlign w:val="center"/>
          </w:tcPr>
          <w:p>
            <w:pPr>
              <w:pStyle w:val="13"/>
            </w:pPr>
            <w:r>
              <w:t>21.41</w:t>
            </w:r>
          </w:p>
        </w:tc>
        <w:tc>
          <w:tcPr>
            <w:tcW w:w="1134" w:type="dxa"/>
            <w:vAlign w:val="center"/>
          </w:tcPr>
          <w:p>
            <w:pPr>
              <w:pStyle w:val="13"/>
            </w:pPr>
            <w:r>
              <w:t>21.41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预算支出总表</w:t>
      </w:r>
      <w:bookmarkEnd w:id="2"/>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rPr>
                <w:lang w:eastAsia="zh-CN"/>
              </w:rPr>
            </w:pPr>
            <w:r>
              <w:t>131</w:t>
            </w:r>
            <w:r>
              <w:rPr>
                <w:rFonts w:hint="eastAsia"/>
                <w:lang w:eastAsia="zh-CN"/>
              </w:rPr>
              <w:t>001</w:t>
            </w:r>
            <w:r>
              <w:t>高阳县政协办公室</w:t>
            </w:r>
            <w:r>
              <w:rPr>
                <w:rFonts w:hint="eastAsia"/>
                <w:lang w:eastAsia="zh-CN"/>
              </w:rPr>
              <w:t>（机关）</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453.72</w:t>
            </w:r>
          </w:p>
        </w:tc>
        <w:tc>
          <w:tcPr>
            <w:tcW w:w="1361" w:type="dxa"/>
            <w:vAlign w:val="center"/>
          </w:tcPr>
          <w:p>
            <w:pPr>
              <w:pStyle w:val="17"/>
            </w:pPr>
            <w:r>
              <w:t>407.72</w:t>
            </w:r>
          </w:p>
        </w:tc>
        <w:tc>
          <w:tcPr>
            <w:tcW w:w="1361" w:type="dxa"/>
            <w:vAlign w:val="center"/>
          </w:tcPr>
          <w:p>
            <w:pPr>
              <w:pStyle w:val="17"/>
            </w:pPr>
            <w:r>
              <w:t>46.00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6" w:type="dxa"/>
            <w:vAlign w:val="center"/>
          </w:tcPr>
          <w:p>
            <w:pPr>
              <w:pStyle w:val="14"/>
            </w:pPr>
            <w:r>
              <w:t>一般公共服务支出</w:t>
            </w:r>
          </w:p>
        </w:tc>
        <w:tc>
          <w:tcPr>
            <w:tcW w:w="1361" w:type="dxa"/>
            <w:vAlign w:val="center"/>
          </w:tcPr>
          <w:p>
            <w:pPr>
              <w:pStyle w:val="13"/>
            </w:pPr>
            <w:r>
              <w:t>382.54</w:t>
            </w:r>
          </w:p>
        </w:tc>
        <w:tc>
          <w:tcPr>
            <w:tcW w:w="1361" w:type="dxa"/>
            <w:vAlign w:val="center"/>
          </w:tcPr>
          <w:p>
            <w:pPr>
              <w:pStyle w:val="13"/>
            </w:pPr>
            <w:r>
              <w:t>336.54</w:t>
            </w:r>
          </w:p>
        </w:tc>
        <w:tc>
          <w:tcPr>
            <w:tcW w:w="1361" w:type="dxa"/>
            <w:vAlign w:val="center"/>
          </w:tcPr>
          <w:p>
            <w:pPr>
              <w:pStyle w:val="13"/>
            </w:pPr>
            <w:r>
              <w:t>46.00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3</w:t>
            </w:r>
          </w:p>
        </w:tc>
        <w:tc>
          <w:tcPr>
            <w:tcW w:w="992" w:type="dxa"/>
            <w:vAlign w:val="center"/>
          </w:tcPr>
          <w:p>
            <w:pPr>
              <w:pStyle w:val="14"/>
            </w:pPr>
            <w:r>
              <w:t>20102</w:t>
            </w:r>
          </w:p>
        </w:tc>
        <w:tc>
          <w:tcPr>
            <w:tcW w:w="4536" w:type="dxa"/>
            <w:vAlign w:val="center"/>
          </w:tcPr>
          <w:p>
            <w:pPr>
              <w:pStyle w:val="14"/>
            </w:pPr>
            <w:r>
              <w:t>政协事务</w:t>
            </w:r>
          </w:p>
        </w:tc>
        <w:tc>
          <w:tcPr>
            <w:tcW w:w="1361" w:type="dxa"/>
            <w:vAlign w:val="center"/>
          </w:tcPr>
          <w:p>
            <w:pPr>
              <w:pStyle w:val="13"/>
            </w:pPr>
            <w:r>
              <w:t>382.54</w:t>
            </w:r>
          </w:p>
        </w:tc>
        <w:tc>
          <w:tcPr>
            <w:tcW w:w="1361" w:type="dxa"/>
            <w:vAlign w:val="center"/>
          </w:tcPr>
          <w:p>
            <w:pPr>
              <w:pStyle w:val="13"/>
            </w:pPr>
            <w:r>
              <w:t>336.54</w:t>
            </w:r>
          </w:p>
        </w:tc>
        <w:tc>
          <w:tcPr>
            <w:tcW w:w="1361" w:type="dxa"/>
            <w:vAlign w:val="center"/>
          </w:tcPr>
          <w:p>
            <w:pPr>
              <w:pStyle w:val="13"/>
            </w:pPr>
            <w:r>
              <w:t>46.00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4</w:t>
            </w:r>
          </w:p>
        </w:tc>
        <w:tc>
          <w:tcPr>
            <w:tcW w:w="992" w:type="dxa"/>
            <w:vAlign w:val="center"/>
          </w:tcPr>
          <w:p>
            <w:pPr>
              <w:pStyle w:val="14"/>
            </w:pPr>
            <w:r>
              <w:t>2010201</w:t>
            </w:r>
          </w:p>
        </w:tc>
        <w:tc>
          <w:tcPr>
            <w:tcW w:w="4536" w:type="dxa"/>
            <w:vAlign w:val="center"/>
          </w:tcPr>
          <w:p>
            <w:pPr>
              <w:pStyle w:val="14"/>
            </w:pPr>
            <w:r>
              <w:t>行政运行</w:t>
            </w:r>
          </w:p>
        </w:tc>
        <w:tc>
          <w:tcPr>
            <w:tcW w:w="1361" w:type="dxa"/>
            <w:vAlign w:val="center"/>
          </w:tcPr>
          <w:p>
            <w:pPr>
              <w:pStyle w:val="13"/>
            </w:pPr>
            <w:r>
              <w:t>336.54</w:t>
            </w:r>
          </w:p>
        </w:tc>
        <w:tc>
          <w:tcPr>
            <w:tcW w:w="1361" w:type="dxa"/>
            <w:vAlign w:val="center"/>
          </w:tcPr>
          <w:p>
            <w:pPr>
              <w:pStyle w:val="13"/>
            </w:pPr>
            <w:r>
              <w:t>336.54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5</w:t>
            </w:r>
          </w:p>
        </w:tc>
        <w:tc>
          <w:tcPr>
            <w:tcW w:w="992" w:type="dxa"/>
            <w:vAlign w:val="center"/>
          </w:tcPr>
          <w:p>
            <w:pPr>
              <w:pStyle w:val="14"/>
            </w:pPr>
            <w:r>
              <w:t>2010204</w:t>
            </w:r>
          </w:p>
        </w:tc>
        <w:tc>
          <w:tcPr>
            <w:tcW w:w="4536" w:type="dxa"/>
            <w:vAlign w:val="center"/>
          </w:tcPr>
          <w:p>
            <w:pPr>
              <w:pStyle w:val="14"/>
            </w:pPr>
            <w:r>
              <w:t>政协会议</w:t>
            </w:r>
          </w:p>
        </w:tc>
        <w:tc>
          <w:tcPr>
            <w:tcW w:w="1361" w:type="dxa"/>
            <w:vAlign w:val="center"/>
          </w:tcPr>
          <w:p>
            <w:pPr>
              <w:pStyle w:val="13"/>
            </w:pPr>
            <w:r>
              <w:t>36.00</w:t>
            </w:r>
          </w:p>
        </w:tc>
        <w:tc>
          <w:tcPr>
            <w:tcW w:w="1361" w:type="dxa"/>
            <w:vAlign w:val="center"/>
          </w:tcPr>
          <w:p>
            <w:pPr>
              <w:pStyle w:val="13"/>
            </w:pPr>
          </w:p>
        </w:tc>
        <w:tc>
          <w:tcPr>
            <w:tcW w:w="1361" w:type="dxa"/>
            <w:vAlign w:val="center"/>
          </w:tcPr>
          <w:p>
            <w:pPr>
              <w:pStyle w:val="13"/>
            </w:pPr>
            <w:r>
              <w:t>36.00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6</w:t>
            </w:r>
          </w:p>
        </w:tc>
        <w:tc>
          <w:tcPr>
            <w:tcW w:w="992" w:type="dxa"/>
            <w:vAlign w:val="center"/>
          </w:tcPr>
          <w:p>
            <w:pPr>
              <w:pStyle w:val="14"/>
            </w:pPr>
            <w:r>
              <w:t>2010205</w:t>
            </w:r>
          </w:p>
        </w:tc>
        <w:tc>
          <w:tcPr>
            <w:tcW w:w="4536" w:type="dxa"/>
            <w:vAlign w:val="center"/>
          </w:tcPr>
          <w:p>
            <w:pPr>
              <w:pStyle w:val="14"/>
            </w:pPr>
            <w:r>
              <w:t>委员视察</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6" w:type="dxa"/>
            <w:vAlign w:val="center"/>
          </w:tcPr>
          <w:p>
            <w:pPr>
              <w:pStyle w:val="14"/>
            </w:pPr>
            <w:r>
              <w:t>社会保障和就业支出</w:t>
            </w:r>
          </w:p>
        </w:tc>
        <w:tc>
          <w:tcPr>
            <w:tcW w:w="1361" w:type="dxa"/>
            <w:vAlign w:val="center"/>
          </w:tcPr>
          <w:p>
            <w:pPr>
              <w:pStyle w:val="13"/>
            </w:pPr>
            <w:r>
              <w:t>35.85</w:t>
            </w:r>
          </w:p>
        </w:tc>
        <w:tc>
          <w:tcPr>
            <w:tcW w:w="1361" w:type="dxa"/>
            <w:vAlign w:val="center"/>
          </w:tcPr>
          <w:p>
            <w:pPr>
              <w:pStyle w:val="13"/>
            </w:pPr>
            <w:r>
              <w:t>35.85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6" w:type="dxa"/>
            <w:vAlign w:val="center"/>
          </w:tcPr>
          <w:p>
            <w:pPr>
              <w:pStyle w:val="14"/>
            </w:pPr>
            <w:r>
              <w:t>行政事业单位养老支出</w:t>
            </w:r>
          </w:p>
        </w:tc>
        <w:tc>
          <w:tcPr>
            <w:tcW w:w="1361" w:type="dxa"/>
            <w:vAlign w:val="center"/>
          </w:tcPr>
          <w:p>
            <w:pPr>
              <w:pStyle w:val="13"/>
            </w:pPr>
            <w:r>
              <w:t>34.25</w:t>
            </w:r>
          </w:p>
        </w:tc>
        <w:tc>
          <w:tcPr>
            <w:tcW w:w="1361" w:type="dxa"/>
            <w:vAlign w:val="center"/>
          </w:tcPr>
          <w:p>
            <w:pPr>
              <w:pStyle w:val="13"/>
            </w:pPr>
            <w:r>
              <w:t>34.25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9</w:t>
            </w:r>
          </w:p>
        </w:tc>
        <w:tc>
          <w:tcPr>
            <w:tcW w:w="992" w:type="dxa"/>
            <w:vAlign w:val="center"/>
          </w:tcPr>
          <w:p>
            <w:pPr>
              <w:pStyle w:val="14"/>
            </w:pPr>
            <w:r>
              <w:t>2080505</w:t>
            </w:r>
          </w:p>
        </w:tc>
        <w:tc>
          <w:tcPr>
            <w:tcW w:w="4536" w:type="dxa"/>
            <w:vAlign w:val="center"/>
          </w:tcPr>
          <w:p>
            <w:pPr>
              <w:pStyle w:val="14"/>
            </w:pPr>
            <w:r>
              <w:t>机关事业单位基本养老保险缴费支出</w:t>
            </w:r>
          </w:p>
        </w:tc>
        <w:tc>
          <w:tcPr>
            <w:tcW w:w="1361" w:type="dxa"/>
            <w:vAlign w:val="center"/>
          </w:tcPr>
          <w:p>
            <w:pPr>
              <w:pStyle w:val="13"/>
            </w:pPr>
            <w:r>
              <w:t>34.25</w:t>
            </w:r>
          </w:p>
        </w:tc>
        <w:tc>
          <w:tcPr>
            <w:tcW w:w="1361" w:type="dxa"/>
            <w:vAlign w:val="center"/>
          </w:tcPr>
          <w:p>
            <w:pPr>
              <w:pStyle w:val="13"/>
            </w:pPr>
            <w:r>
              <w:t>34.25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10</w:t>
            </w:r>
          </w:p>
        </w:tc>
        <w:tc>
          <w:tcPr>
            <w:tcW w:w="992" w:type="dxa"/>
            <w:vAlign w:val="center"/>
          </w:tcPr>
          <w:p>
            <w:pPr>
              <w:pStyle w:val="14"/>
            </w:pPr>
            <w:r>
              <w:t>20808</w:t>
            </w:r>
          </w:p>
        </w:tc>
        <w:tc>
          <w:tcPr>
            <w:tcW w:w="4536" w:type="dxa"/>
            <w:vAlign w:val="center"/>
          </w:tcPr>
          <w:p>
            <w:pPr>
              <w:pStyle w:val="14"/>
            </w:pPr>
            <w:r>
              <w:t>抚恤</w:t>
            </w:r>
          </w:p>
        </w:tc>
        <w:tc>
          <w:tcPr>
            <w:tcW w:w="1361" w:type="dxa"/>
            <w:vAlign w:val="center"/>
          </w:tcPr>
          <w:p>
            <w:pPr>
              <w:pStyle w:val="13"/>
            </w:pPr>
            <w:r>
              <w:t>1.60</w:t>
            </w:r>
          </w:p>
        </w:tc>
        <w:tc>
          <w:tcPr>
            <w:tcW w:w="1361" w:type="dxa"/>
            <w:vAlign w:val="center"/>
          </w:tcPr>
          <w:p>
            <w:pPr>
              <w:pStyle w:val="13"/>
            </w:pPr>
            <w:r>
              <w:t>1.60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11</w:t>
            </w:r>
          </w:p>
        </w:tc>
        <w:tc>
          <w:tcPr>
            <w:tcW w:w="992" w:type="dxa"/>
            <w:vAlign w:val="center"/>
          </w:tcPr>
          <w:p>
            <w:pPr>
              <w:pStyle w:val="14"/>
            </w:pPr>
            <w:r>
              <w:t>2080801</w:t>
            </w:r>
          </w:p>
        </w:tc>
        <w:tc>
          <w:tcPr>
            <w:tcW w:w="4536" w:type="dxa"/>
            <w:vAlign w:val="center"/>
          </w:tcPr>
          <w:p>
            <w:pPr>
              <w:pStyle w:val="14"/>
            </w:pPr>
            <w:r>
              <w:t>死亡抚恤</w:t>
            </w:r>
          </w:p>
        </w:tc>
        <w:tc>
          <w:tcPr>
            <w:tcW w:w="1361" w:type="dxa"/>
            <w:vAlign w:val="center"/>
          </w:tcPr>
          <w:p>
            <w:pPr>
              <w:pStyle w:val="13"/>
            </w:pPr>
            <w:r>
              <w:t>1.60</w:t>
            </w:r>
          </w:p>
        </w:tc>
        <w:tc>
          <w:tcPr>
            <w:tcW w:w="1361" w:type="dxa"/>
            <w:vAlign w:val="center"/>
          </w:tcPr>
          <w:p>
            <w:pPr>
              <w:pStyle w:val="13"/>
            </w:pPr>
            <w:r>
              <w:t>1.60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12</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13.92</w:t>
            </w:r>
          </w:p>
        </w:tc>
        <w:tc>
          <w:tcPr>
            <w:tcW w:w="1361" w:type="dxa"/>
            <w:vAlign w:val="center"/>
          </w:tcPr>
          <w:p>
            <w:pPr>
              <w:pStyle w:val="13"/>
            </w:pPr>
            <w:r>
              <w:t>13.92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13</w:t>
            </w:r>
          </w:p>
        </w:tc>
        <w:tc>
          <w:tcPr>
            <w:tcW w:w="992" w:type="dxa"/>
            <w:vAlign w:val="center"/>
          </w:tcPr>
          <w:p>
            <w:pPr>
              <w:pStyle w:val="14"/>
            </w:pPr>
            <w:r>
              <w:t>21011</w:t>
            </w:r>
          </w:p>
        </w:tc>
        <w:tc>
          <w:tcPr>
            <w:tcW w:w="4536" w:type="dxa"/>
            <w:vAlign w:val="center"/>
          </w:tcPr>
          <w:p>
            <w:pPr>
              <w:pStyle w:val="14"/>
            </w:pPr>
            <w:r>
              <w:t>行政事业单位医疗</w:t>
            </w:r>
          </w:p>
        </w:tc>
        <w:tc>
          <w:tcPr>
            <w:tcW w:w="1361" w:type="dxa"/>
            <w:vAlign w:val="center"/>
          </w:tcPr>
          <w:p>
            <w:pPr>
              <w:pStyle w:val="13"/>
            </w:pPr>
            <w:r>
              <w:t>13.92</w:t>
            </w:r>
          </w:p>
        </w:tc>
        <w:tc>
          <w:tcPr>
            <w:tcW w:w="1361" w:type="dxa"/>
            <w:vAlign w:val="center"/>
          </w:tcPr>
          <w:p>
            <w:pPr>
              <w:pStyle w:val="13"/>
            </w:pPr>
            <w:r>
              <w:t>13.92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14</w:t>
            </w:r>
          </w:p>
        </w:tc>
        <w:tc>
          <w:tcPr>
            <w:tcW w:w="992" w:type="dxa"/>
            <w:vAlign w:val="center"/>
          </w:tcPr>
          <w:p>
            <w:pPr>
              <w:pStyle w:val="14"/>
            </w:pPr>
            <w:r>
              <w:t>2101101</w:t>
            </w:r>
          </w:p>
        </w:tc>
        <w:tc>
          <w:tcPr>
            <w:tcW w:w="4536" w:type="dxa"/>
            <w:vAlign w:val="center"/>
          </w:tcPr>
          <w:p>
            <w:pPr>
              <w:pStyle w:val="14"/>
            </w:pPr>
            <w:r>
              <w:t>行政单位医疗</w:t>
            </w:r>
          </w:p>
        </w:tc>
        <w:tc>
          <w:tcPr>
            <w:tcW w:w="1361" w:type="dxa"/>
            <w:vAlign w:val="center"/>
          </w:tcPr>
          <w:p>
            <w:pPr>
              <w:pStyle w:val="13"/>
            </w:pPr>
            <w:r>
              <w:t>13.92</w:t>
            </w:r>
          </w:p>
        </w:tc>
        <w:tc>
          <w:tcPr>
            <w:tcW w:w="1361" w:type="dxa"/>
            <w:vAlign w:val="center"/>
          </w:tcPr>
          <w:p>
            <w:pPr>
              <w:pStyle w:val="13"/>
            </w:pPr>
            <w:r>
              <w:t>13.92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15</w:t>
            </w:r>
          </w:p>
        </w:tc>
        <w:tc>
          <w:tcPr>
            <w:tcW w:w="992" w:type="dxa"/>
            <w:vAlign w:val="center"/>
          </w:tcPr>
          <w:p>
            <w:pPr>
              <w:pStyle w:val="14"/>
            </w:pPr>
            <w:r>
              <w:t>221</w:t>
            </w:r>
          </w:p>
        </w:tc>
        <w:tc>
          <w:tcPr>
            <w:tcW w:w="4536" w:type="dxa"/>
            <w:vAlign w:val="center"/>
          </w:tcPr>
          <w:p>
            <w:pPr>
              <w:pStyle w:val="14"/>
            </w:pPr>
            <w:r>
              <w:t>住房保障支出</w:t>
            </w:r>
          </w:p>
        </w:tc>
        <w:tc>
          <w:tcPr>
            <w:tcW w:w="1361" w:type="dxa"/>
            <w:vAlign w:val="center"/>
          </w:tcPr>
          <w:p>
            <w:pPr>
              <w:pStyle w:val="13"/>
            </w:pPr>
            <w:r>
              <w:t>21.41</w:t>
            </w:r>
          </w:p>
        </w:tc>
        <w:tc>
          <w:tcPr>
            <w:tcW w:w="1361" w:type="dxa"/>
            <w:vAlign w:val="center"/>
          </w:tcPr>
          <w:p>
            <w:pPr>
              <w:pStyle w:val="13"/>
            </w:pPr>
            <w:r>
              <w:t>21.41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16</w:t>
            </w:r>
          </w:p>
        </w:tc>
        <w:tc>
          <w:tcPr>
            <w:tcW w:w="992" w:type="dxa"/>
            <w:vAlign w:val="center"/>
          </w:tcPr>
          <w:p>
            <w:pPr>
              <w:pStyle w:val="14"/>
            </w:pPr>
            <w:r>
              <w:t>22102</w:t>
            </w:r>
          </w:p>
        </w:tc>
        <w:tc>
          <w:tcPr>
            <w:tcW w:w="4536" w:type="dxa"/>
            <w:vAlign w:val="center"/>
          </w:tcPr>
          <w:p>
            <w:pPr>
              <w:pStyle w:val="14"/>
            </w:pPr>
            <w:r>
              <w:t>住房改革支出</w:t>
            </w:r>
          </w:p>
        </w:tc>
        <w:tc>
          <w:tcPr>
            <w:tcW w:w="1361" w:type="dxa"/>
            <w:vAlign w:val="center"/>
          </w:tcPr>
          <w:p>
            <w:pPr>
              <w:pStyle w:val="13"/>
            </w:pPr>
            <w:r>
              <w:t>21.41</w:t>
            </w:r>
          </w:p>
        </w:tc>
        <w:tc>
          <w:tcPr>
            <w:tcW w:w="1361" w:type="dxa"/>
            <w:vAlign w:val="center"/>
          </w:tcPr>
          <w:p>
            <w:pPr>
              <w:pStyle w:val="13"/>
            </w:pPr>
            <w:r>
              <w:t>21.41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17</w:t>
            </w:r>
          </w:p>
        </w:tc>
        <w:tc>
          <w:tcPr>
            <w:tcW w:w="992" w:type="dxa"/>
            <w:vAlign w:val="center"/>
          </w:tcPr>
          <w:p>
            <w:pPr>
              <w:pStyle w:val="14"/>
            </w:pPr>
            <w:r>
              <w:t>2210201</w:t>
            </w:r>
          </w:p>
        </w:tc>
        <w:tc>
          <w:tcPr>
            <w:tcW w:w="4536" w:type="dxa"/>
            <w:vAlign w:val="center"/>
          </w:tcPr>
          <w:p>
            <w:pPr>
              <w:pStyle w:val="14"/>
            </w:pPr>
            <w:r>
              <w:t>住房公积金</w:t>
            </w:r>
          </w:p>
        </w:tc>
        <w:tc>
          <w:tcPr>
            <w:tcW w:w="1361" w:type="dxa"/>
            <w:vAlign w:val="center"/>
          </w:tcPr>
          <w:p>
            <w:pPr>
              <w:pStyle w:val="13"/>
            </w:pPr>
            <w:r>
              <w:t>21.41</w:t>
            </w:r>
          </w:p>
        </w:tc>
        <w:tc>
          <w:tcPr>
            <w:tcW w:w="1361" w:type="dxa"/>
            <w:vAlign w:val="center"/>
          </w:tcPr>
          <w:p>
            <w:pPr>
              <w:pStyle w:val="13"/>
            </w:pPr>
            <w:r>
              <w:t>21.41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预算财政拨款收支总表</w:t>
      </w:r>
      <w:bookmarkEnd w:id="3"/>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rPr>
                <w:lang w:eastAsia="zh-CN"/>
              </w:rPr>
            </w:pPr>
            <w:r>
              <w:t>131</w:t>
            </w:r>
            <w:r>
              <w:rPr>
                <w:rFonts w:hint="eastAsia"/>
                <w:lang w:eastAsia="zh-CN"/>
              </w:rPr>
              <w:t>001</w:t>
            </w:r>
            <w:r>
              <w:t>高阳县政协办公室</w:t>
            </w:r>
            <w:r>
              <w:rPr>
                <w:rFonts w:hint="eastAsia"/>
                <w:lang w:eastAsia="zh-CN"/>
              </w:rPr>
              <w:t>（机关）</w:t>
            </w:r>
          </w:p>
        </w:tc>
        <w:tc>
          <w:tcPr>
            <w:tcW w:w="3402" w:type="dxa"/>
            <w:tcBorders>
              <w:top w:val="single" w:color="FFFFFF" w:sz="6" w:space="0"/>
              <w:left w:val="single" w:color="FFFFFF"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rPr>
          <w:trHeight w:val="369" w:hRule="atLeast"/>
          <w:tblHeader/>
          <w:jc w:val="center"/>
        </w:trPr>
        <w:tc>
          <w:tcPr>
            <w:tcW w:w="850" w:type="dxa"/>
            <w:vMerge w:val="continue"/>
            <w:vAlign w:val="top"/>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453.72</w:t>
            </w:r>
          </w:p>
        </w:tc>
        <w:tc>
          <w:tcPr>
            <w:tcW w:w="3402" w:type="dxa"/>
            <w:vAlign w:val="center"/>
          </w:tcPr>
          <w:p>
            <w:pPr>
              <w:pStyle w:val="14"/>
            </w:pPr>
            <w:r>
              <w:t>一、一般公共服务支出</w:t>
            </w:r>
          </w:p>
        </w:tc>
        <w:tc>
          <w:tcPr>
            <w:tcW w:w="1474" w:type="dxa"/>
            <w:vAlign w:val="center"/>
          </w:tcPr>
          <w:p>
            <w:pPr>
              <w:pStyle w:val="13"/>
            </w:pPr>
            <w:r>
              <w:t>382.54</w:t>
            </w:r>
          </w:p>
        </w:tc>
        <w:tc>
          <w:tcPr>
            <w:tcW w:w="1474" w:type="dxa"/>
            <w:vAlign w:val="center"/>
          </w:tcPr>
          <w:p>
            <w:pPr>
              <w:pStyle w:val="13"/>
            </w:pPr>
            <w:r>
              <w:t>382.54</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35.85</w:t>
            </w:r>
          </w:p>
        </w:tc>
        <w:tc>
          <w:tcPr>
            <w:tcW w:w="1474" w:type="dxa"/>
            <w:vAlign w:val="center"/>
          </w:tcPr>
          <w:p>
            <w:pPr>
              <w:pStyle w:val="13"/>
            </w:pPr>
            <w:r>
              <w:t>35.85</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13.92</w:t>
            </w:r>
          </w:p>
        </w:tc>
        <w:tc>
          <w:tcPr>
            <w:tcW w:w="1474" w:type="dxa"/>
            <w:vAlign w:val="center"/>
          </w:tcPr>
          <w:p>
            <w:pPr>
              <w:pStyle w:val="13"/>
            </w:pPr>
            <w:r>
              <w:t>13.92</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21.41</w:t>
            </w:r>
          </w:p>
        </w:tc>
        <w:tc>
          <w:tcPr>
            <w:tcW w:w="1474" w:type="dxa"/>
            <w:vAlign w:val="center"/>
          </w:tcPr>
          <w:p>
            <w:pPr>
              <w:pStyle w:val="13"/>
            </w:pPr>
            <w:r>
              <w:t>21.41</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31</w:t>
            </w:r>
          </w:p>
        </w:tc>
        <w:tc>
          <w:tcPr>
            <w:tcW w:w="3402" w:type="dxa"/>
            <w:vAlign w:val="center"/>
          </w:tcPr>
          <w:p>
            <w:pPr>
              <w:pStyle w:val="16"/>
            </w:pPr>
            <w:r>
              <w:t>本年收入合计</w:t>
            </w:r>
          </w:p>
        </w:tc>
        <w:tc>
          <w:tcPr>
            <w:tcW w:w="1474" w:type="dxa"/>
            <w:vAlign w:val="center"/>
          </w:tcPr>
          <w:p>
            <w:pPr>
              <w:pStyle w:val="17"/>
            </w:pPr>
            <w:r>
              <w:t>453.72</w:t>
            </w:r>
          </w:p>
        </w:tc>
        <w:tc>
          <w:tcPr>
            <w:tcW w:w="3402" w:type="dxa"/>
            <w:vAlign w:val="center"/>
          </w:tcPr>
          <w:p>
            <w:pPr>
              <w:pStyle w:val="16"/>
            </w:pPr>
            <w:r>
              <w:t>本年支出合计</w:t>
            </w:r>
          </w:p>
        </w:tc>
        <w:tc>
          <w:tcPr>
            <w:tcW w:w="1474" w:type="dxa"/>
            <w:vAlign w:val="center"/>
          </w:tcPr>
          <w:p>
            <w:pPr>
              <w:pStyle w:val="17"/>
            </w:pPr>
            <w:r>
              <w:t>453.72</w:t>
            </w:r>
          </w:p>
        </w:tc>
        <w:tc>
          <w:tcPr>
            <w:tcW w:w="1474" w:type="dxa"/>
            <w:vAlign w:val="center"/>
          </w:tcPr>
          <w:p>
            <w:pPr>
              <w:pStyle w:val="17"/>
            </w:pPr>
            <w:r>
              <w:t>453.72</w:t>
            </w:r>
          </w:p>
        </w:tc>
        <w:tc>
          <w:tcPr>
            <w:tcW w:w="1474" w:type="dxa"/>
            <w:vAlign w:val="center"/>
          </w:tcPr>
          <w:p>
            <w:pPr>
              <w:pStyle w:val="17"/>
            </w:pPr>
          </w:p>
        </w:tc>
        <w:tc>
          <w:tcPr>
            <w:tcW w:w="1474" w:type="dxa"/>
            <w:vAlign w:val="center"/>
          </w:tcPr>
          <w:p>
            <w:pPr>
              <w:pStyle w:val="17"/>
            </w:pPr>
          </w:p>
        </w:tc>
      </w:tr>
      <w:tr>
        <w:trPr>
          <w:trHeight w:val="369" w:hRule="atLeast"/>
          <w:jc w:val="center"/>
        </w:trPr>
        <w:tc>
          <w:tcPr>
            <w:tcW w:w="850" w:type="dxa"/>
            <w:vAlign w:val="center"/>
          </w:tcPr>
          <w:p>
            <w:pPr>
              <w:pStyle w:val="15"/>
            </w:pPr>
            <w:r>
              <w:t>32</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33</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34</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35</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36</w:t>
            </w:r>
          </w:p>
        </w:tc>
        <w:tc>
          <w:tcPr>
            <w:tcW w:w="3402" w:type="dxa"/>
            <w:vAlign w:val="center"/>
          </w:tcPr>
          <w:p>
            <w:pPr>
              <w:pStyle w:val="16"/>
            </w:pPr>
            <w:r>
              <w:t>收入总计</w:t>
            </w:r>
          </w:p>
        </w:tc>
        <w:tc>
          <w:tcPr>
            <w:tcW w:w="1474" w:type="dxa"/>
            <w:vAlign w:val="center"/>
          </w:tcPr>
          <w:p>
            <w:pPr>
              <w:pStyle w:val="17"/>
            </w:pPr>
            <w:r>
              <w:t>453.72</w:t>
            </w:r>
          </w:p>
        </w:tc>
        <w:tc>
          <w:tcPr>
            <w:tcW w:w="3402" w:type="dxa"/>
            <w:vAlign w:val="center"/>
          </w:tcPr>
          <w:p>
            <w:pPr>
              <w:pStyle w:val="16"/>
            </w:pPr>
            <w:r>
              <w:t>支出总计</w:t>
            </w:r>
          </w:p>
        </w:tc>
        <w:tc>
          <w:tcPr>
            <w:tcW w:w="1474" w:type="dxa"/>
            <w:vAlign w:val="center"/>
          </w:tcPr>
          <w:p>
            <w:pPr>
              <w:pStyle w:val="17"/>
            </w:pPr>
            <w:r>
              <w:t>453.72</w:t>
            </w:r>
          </w:p>
        </w:tc>
        <w:tc>
          <w:tcPr>
            <w:tcW w:w="1474" w:type="dxa"/>
            <w:vAlign w:val="center"/>
          </w:tcPr>
          <w:p>
            <w:pPr>
              <w:pStyle w:val="17"/>
            </w:pPr>
            <w:r>
              <w:t>453.72</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预算一般公共预算财政拨款支出表</w:t>
      </w:r>
      <w:bookmarkEnd w:id="4"/>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lang w:eastAsia="zh-CN"/>
              </w:rPr>
            </w:pPr>
            <w:r>
              <w:t>131</w:t>
            </w:r>
            <w:r>
              <w:rPr>
                <w:rFonts w:hint="eastAsia"/>
                <w:lang w:eastAsia="zh-CN"/>
              </w:rPr>
              <w:t>001</w:t>
            </w:r>
            <w:r>
              <w:t>高阳县政协办公室</w:t>
            </w:r>
            <w:r>
              <w:rPr>
                <w:rFonts w:hint="eastAsia"/>
                <w:lang w:eastAsia="zh-CN"/>
              </w:rPr>
              <w:t>（机关）</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rPr>
          <w:trHeight w:val="369" w:hRule="atLeast"/>
          <w:tblHeader/>
          <w:jc w:val="center"/>
        </w:trPr>
        <w:tc>
          <w:tcPr>
            <w:tcW w:w="850" w:type="dxa"/>
            <w:vMerge w:val="continue"/>
            <w:vAlign w:val="top"/>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453.72</w:t>
            </w:r>
          </w:p>
        </w:tc>
        <w:tc>
          <w:tcPr>
            <w:tcW w:w="2551" w:type="dxa"/>
            <w:vAlign w:val="center"/>
          </w:tcPr>
          <w:p>
            <w:pPr>
              <w:pStyle w:val="17"/>
            </w:pPr>
            <w:r>
              <w:t>407.72</w:t>
            </w:r>
          </w:p>
        </w:tc>
        <w:tc>
          <w:tcPr>
            <w:tcW w:w="2551" w:type="dxa"/>
            <w:vAlign w:val="center"/>
          </w:tcPr>
          <w:p>
            <w:pPr>
              <w:pStyle w:val="17"/>
            </w:pPr>
            <w:r>
              <w:t>46.00</w:t>
            </w:r>
          </w:p>
        </w:tc>
      </w:tr>
      <w:tr>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382.54</w:t>
            </w:r>
          </w:p>
        </w:tc>
        <w:tc>
          <w:tcPr>
            <w:tcW w:w="2551" w:type="dxa"/>
            <w:vAlign w:val="center"/>
          </w:tcPr>
          <w:p>
            <w:pPr>
              <w:pStyle w:val="13"/>
            </w:pPr>
            <w:r>
              <w:t>336.54</w:t>
            </w:r>
          </w:p>
        </w:tc>
        <w:tc>
          <w:tcPr>
            <w:tcW w:w="2551" w:type="dxa"/>
            <w:vAlign w:val="center"/>
          </w:tcPr>
          <w:p>
            <w:pPr>
              <w:pStyle w:val="13"/>
            </w:pPr>
            <w:r>
              <w:t>46.00</w:t>
            </w:r>
          </w:p>
        </w:tc>
      </w:tr>
      <w:tr>
        <w:trPr>
          <w:trHeight w:val="369" w:hRule="atLeast"/>
          <w:jc w:val="center"/>
        </w:trPr>
        <w:tc>
          <w:tcPr>
            <w:tcW w:w="850" w:type="dxa"/>
            <w:vAlign w:val="center"/>
          </w:tcPr>
          <w:p>
            <w:pPr>
              <w:pStyle w:val="15"/>
            </w:pPr>
            <w:r>
              <w:t>3</w:t>
            </w:r>
          </w:p>
        </w:tc>
        <w:tc>
          <w:tcPr>
            <w:tcW w:w="1191" w:type="dxa"/>
            <w:vAlign w:val="center"/>
          </w:tcPr>
          <w:p>
            <w:pPr>
              <w:pStyle w:val="14"/>
            </w:pPr>
            <w:r>
              <w:t>20102</w:t>
            </w:r>
          </w:p>
        </w:tc>
        <w:tc>
          <w:tcPr>
            <w:tcW w:w="4535" w:type="dxa"/>
            <w:vAlign w:val="center"/>
          </w:tcPr>
          <w:p>
            <w:pPr>
              <w:pStyle w:val="14"/>
            </w:pPr>
            <w:r>
              <w:t>政协事务</w:t>
            </w:r>
          </w:p>
        </w:tc>
        <w:tc>
          <w:tcPr>
            <w:tcW w:w="2551" w:type="dxa"/>
            <w:vAlign w:val="center"/>
          </w:tcPr>
          <w:p>
            <w:pPr>
              <w:pStyle w:val="13"/>
            </w:pPr>
            <w:r>
              <w:t>382.54</w:t>
            </w:r>
          </w:p>
        </w:tc>
        <w:tc>
          <w:tcPr>
            <w:tcW w:w="2551" w:type="dxa"/>
            <w:vAlign w:val="center"/>
          </w:tcPr>
          <w:p>
            <w:pPr>
              <w:pStyle w:val="13"/>
            </w:pPr>
            <w:r>
              <w:t>336.54</w:t>
            </w:r>
          </w:p>
        </w:tc>
        <w:tc>
          <w:tcPr>
            <w:tcW w:w="2551" w:type="dxa"/>
            <w:vAlign w:val="center"/>
          </w:tcPr>
          <w:p>
            <w:pPr>
              <w:pStyle w:val="13"/>
            </w:pPr>
            <w:r>
              <w:t>46.00</w:t>
            </w:r>
          </w:p>
        </w:tc>
      </w:tr>
      <w:tr>
        <w:trPr>
          <w:trHeight w:val="369" w:hRule="atLeast"/>
          <w:jc w:val="center"/>
        </w:trPr>
        <w:tc>
          <w:tcPr>
            <w:tcW w:w="850" w:type="dxa"/>
            <w:vAlign w:val="center"/>
          </w:tcPr>
          <w:p>
            <w:pPr>
              <w:pStyle w:val="15"/>
            </w:pPr>
            <w:r>
              <w:t>4</w:t>
            </w:r>
          </w:p>
        </w:tc>
        <w:tc>
          <w:tcPr>
            <w:tcW w:w="1191" w:type="dxa"/>
            <w:vAlign w:val="center"/>
          </w:tcPr>
          <w:p>
            <w:pPr>
              <w:pStyle w:val="14"/>
            </w:pPr>
            <w:r>
              <w:t>2010201</w:t>
            </w:r>
          </w:p>
        </w:tc>
        <w:tc>
          <w:tcPr>
            <w:tcW w:w="4535" w:type="dxa"/>
            <w:vAlign w:val="center"/>
          </w:tcPr>
          <w:p>
            <w:pPr>
              <w:pStyle w:val="14"/>
            </w:pPr>
            <w:r>
              <w:t>行政运行</w:t>
            </w:r>
          </w:p>
        </w:tc>
        <w:tc>
          <w:tcPr>
            <w:tcW w:w="2551" w:type="dxa"/>
            <w:vAlign w:val="center"/>
          </w:tcPr>
          <w:p>
            <w:pPr>
              <w:pStyle w:val="13"/>
            </w:pPr>
            <w:r>
              <w:t>336.54</w:t>
            </w:r>
          </w:p>
        </w:tc>
        <w:tc>
          <w:tcPr>
            <w:tcW w:w="2551" w:type="dxa"/>
            <w:vAlign w:val="center"/>
          </w:tcPr>
          <w:p>
            <w:pPr>
              <w:pStyle w:val="13"/>
            </w:pPr>
            <w:r>
              <w:t>336.54</w:t>
            </w:r>
          </w:p>
        </w:tc>
        <w:tc>
          <w:tcPr>
            <w:tcW w:w="2551" w:type="dxa"/>
            <w:vAlign w:val="center"/>
          </w:tcPr>
          <w:p>
            <w:pPr>
              <w:pStyle w:val="13"/>
            </w:pPr>
          </w:p>
        </w:tc>
      </w:tr>
      <w:tr>
        <w:trPr>
          <w:trHeight w:val="369" w:hRule="atLeast"/>
          <w:jc w:val="center"/>
        </w:trPr>
        <w:tc>
          <w:tcPr>
            <w:tcW w:w="850" w:type="dxa"/>
            <w:vAlign w:val="center"/>
          </w:tcPr>
          <w:p>
            <w:pPr>
              <w:pStyle w:val="15"/>
            </w:pPr>
            <w:r>
              <w:t>5</w:t>
            </w:r>
          </w:p>
        </w:tc>
        <w:tc>
          <w:tcPr>
            <w:tcW w:w="1191" w:type="dxa"/>
            <w:vAlign w:val="center"/>
          </w:tcPr>
          <w:p>
            <w:pPr>
              <w:pStyle w:val="14"/>
            </w:pPr>
            <w:r>
              <w:t>2010204</w:t>
            </w:r>
          </w:p>
        </w:tc>
        <w:tc>
          <w:tcPr>
            <w:tcW w:w="4535" w:type="dxa"/>
            <w:vAlign w:val="center"/>
          </w:tcPr>
          <w:p>
            <w:pPr>
              <w:pStyle w:val="14"/>
            </w:pPr>
            <w:r>
              <w:t>政协会议</w:t>
            </w:r>
          </w:p>
        </w:tc>
        <w:tc>
          <w:tcPr>
            <w:tcW w:w="2551" w:type="dxa"/>
            <w:vAlign w:val="center"/>
          </w:tcPr>
          <w:p>
            <w:pPr>
              <w:pStyle w:val="13"/>
            </w:pPr>
            <w:r>
              <w:t>36.00</w:t>
            </w:r>
          </w:p>
        </w:tc>
        <w:tc>
          <w:tcPr>
            <w:tcW w:w="2551" w:type="dxa"/>
            <w:vAlign w:val="center"/>
          </w:tcPr>
          <w:p>
            <w:pPr>
              <w:pStyle w:val="13"/>
            </w:pPr>
          </w:p>
        </w:tc>
        <w:tc>
          <w:tcPr>
            <w:tcW w:w="2551" w:type="dxa"/>
            <w:vAlign w:val="center"/>
          </w:tcPr>
          <w:p>
            <w:pPr>
              <w:pStyle w:val="13"/>
            </w:pPr>
            <w:r>
              <w:t>36.00</w:t>
            </w:r>
          </w:p>
        </w:tc>
      </w:tr>
      <w:tr>
        <w:trPr>
          <w:trHeight w:val="369" w:hRule="atLeast"/>
          <w:jc w:val="center"/>
        </w:trPr>
        <w:tc>
          <w:tcPr>
            <w:tcW w:w="850" w:type="dxa"/>
            <w:vAlign w:val="center"/>
          </w:tcPr>
          <w:p>
            <w:pPr>
              <w:pStyle w:val="15"/>
            </w:pPr>
            <w:r>
              <w:t>6</w:t>
            </w:r>
          </w:p>
        </w:tc>
        <w:tc>
          <w:tcPr>
            <w:tcW w:w="1191" w:type="dxa"/>
            <w:vAlign w:val="center"/>
          </w:tcPr>
          <w:p>
            <w:pPr>
              <w:pStyle w:val="14"/>
            </w:pPr>
            <w:r>
              <w:t>2010205</w:t>
            </w:r>
          </w:p>
        </w:tc>
        <w:tc>
          <w:tcPr>
            <w:tcW w:w="4535" w:type="dxa"/>
            <w:vAlign w:val="center"/>
          </w:tcPr>
          <w:p>
            <w:pPr>
              <w:pStyle w:val="14"/>
            </w:pPr>
            <w:r>
              <w:t>委员视察</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35.85</w:t>
            </w:r>
          </w:p>
        </w:tc>
        <w:tc>
          <w:tcPr>
            <w:tcW w:w="2551" w:type="dxa"/>
            <w:vAlign w:val="center"/>
          </w:tcPr>
          <w:p>
            <w:pPr>
              <w:pStyle w:val="13"/>
            </w:pPr>
            <w:r>
              <w:t>35.85</w:t>
            </w:r>
          </w:p>
        </w:tc>
        <w:tc>
          <w:tcPr>
            <w:tcW w:w="2551" w:type="dxa"/>
            <w:vAlign w:val="center"/>
          </w:tcPr>
          <w:p>
            <w:pPr>
              <w:pStyle w:val="13"/>
            </w:pPr>
          </w:p>
        </w:tc>
      </w:tr>
      <w:tr>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34.25</w:t>
            </w:r>
          </w:p>
        </w:tc>
        <w:tc>
          <w:tcPr>
            <w:tcW w:w="2551" w:type="dxa"/>
            <w:vAlign w:val="center"/>
          </w:tcPr>
          <w:p>
            <w:pPr>
              <w:pStyle w:val="13"/>
            </w:pPr>
            <w:r>
              <w:t>34.25</w:t>
            </w:r>
          </w:p>
        </w:tc>
        <w:tc>
          <w:tcPr>
            <w:tcW w:w="2551" w:type="dxa"/>
            <w:vAlign w:val="center"/>
          </w:tcPr>
          <w:p>
            <w:pPr>
              <w:pStyle w:val="13"/>
            </w:pPr>
          </w:p>
        </w:tc>
      </w:tr>
      <w:tr>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34.25</w:t>
            </w:r>
          </w:p>
        </w:tc>
        <w:tc>
          <w:tcPr>
            <w:tcW w:w="2551" w:type="dxa"/>
            <w:vAlign w:val="center"/>
          </w:tcPr>
          <w:p>
            <w:pPr>
              <w:pStyle w:val="13"/>
            </w:pPr>
            <w:r>
              <w:t>34.25</w:t>
            </w:r>
          </w:p>
        </w:tc>
        <w:tc>
          <w:tcPr>
            <w:tcW w:w="2551" w:type="dxa"/>
            <w:vAlign w:val="center"/>
          </w:tcPr>
          <w:p>
            <w:pPr>
              <w:pStyle w:val="13"/>
            </w:pPr>
          </w:p>
        </w:tc>
      </w:tr>
      <w:tr>
        <w:trPr>
          <w:trHeight w:val="369" w:hRule="atLeast"/>
          <w:jc w:val="center"/>
        </w:trPr>
        <w:tc>
          <w:tcPr>
            <w:tcW w:w="850" w:type="dxa"/>
            <w:vAlign w:val="center"/>
          </w:tcPr>
          <w:p>
            <w:pPr>
              <w:pStyle w:val="15"/>
            </w:pPr>
            <w:r>
              <w:t>10</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1.60</w:t>
            </w:r>
          </w:p>
        </w:tc>
        <w:tc>
          <w:tcPr>
            <w:tcW w:w="2551" w:type="dxa"/>
            <w:vAlign w:val="center"/>
          </w:tcPr>
          <w:p>
            <w:pPr>
              <w:pStyle w:val="13"/>
            </w:pPr>
            <w:r>
              <w:t>1.60</w:t>
            </w:r>
          </w:p>
        </w:tc>
        <w:tc>
          <w:tcPr>
            <w:tcW w:w="2551" w:type="dxa"/>
            <w:vAlign w:val="center"/>
          </w:tcPr>
          <w:p>
            <w:pPr>
              <w:pStyle w:val="13"/>
            </w:pPr>
          </w:p>
        </w:tc>
      </w:tr>
      <w:tr>
        <w:trPr>
          <w:trHeight w:val="369" w:hRule="atLeast"/>
          <w:jc w:val="center"/>
        </w:trPr>
        <w:tc>
          <w:tcPr>
            <w:tcW w:w="850" w:type="dxa"/>
            <w:vAlign w:val="center"/>
          </w:tcPr>
          <w:p>
            <w:pPr>
              <w:pStyle w:val="15"/>
            </w:pPr>
            <w:r>
              <w:t>11</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1.60</w:t>
            </w:r>
          </w:p>
        </w:tc>
        <w:tc>
          <w:tcPr>
            <w:tcW w:w="2551" w:type="dxa"/>
            <w:vAlign w:val="center"/>
          </w:tcPr>
          <w:p>
            <w:pPr>
              <w:pStyle w:val="13"/>
            </w:pPr>
            <w:r>
              <w:t>1.60</w:t>
            </w:r>
          </w:p>
        </w:tc>
        <w:tc>
          <w:tcPr>
            <w:tcW w:w="2551" w:type="dxa"/>
            <w:vAlign w:val="center"/>
          </w:tcPr>
          <w:p>
            <w:pPr>
              <w:pStyle w:val="13"/>
            </w:pPr>
          </w:p>
        </w:tc>
      </w:tr>
      <w:tr>
        <w:trPr>
          <w:trHeight w:val="369" w:hRule="atLeast"/>
          <w:jc w:val="center"/>
        </w:trPr>
        <w:tc>
          <w:tcPr>
            <w:tcW w:w="850" w:type="dxa"/>
            <w:vAlign w:val="center"/>
          </w:tcPr>
          <w:p>
            <w:pPr>
              <w:pStyle w:val="15"/>
            </w:pPr>
            <w:r>
              <w:t>12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13.92</w:t>
            </w:r>
          </w:p>
        </w:tc>
        <w:tc>
          <w:tcPr>
            <w:tcW w:w="2551" w:type="dxa"/>
            <w:vAlign w:val="center"/>
          </w:tcPr>
          <w:p>
            <w:pPr>
              <w:pStyle w:val="13"/>
            </w:pPr>
            <w:r>
              <w:t>13.92</w:t>
            </w:r>
          </w:p>
        </w:tc>
        <w:tc>
          <w:tcPr>
            <w:tcW w:w="2551" w:type="dxa"/>
            <w:vAlign w:val="center"/>
          </w:tcPr>
          <w:p>
            <w:pPr>
              <w:pStyle w:val="13"/>
            </w:pPr>
          </w:p>
        </w:tc>
      </w:tr>
      <w:tr>
        <w:trPr>
          <w:trHeight w:val="369" w:hRule="atLeast"/>
          <w:jc w:val="center"/>
        </w:trPr>
        <w:tc>
          <w:tcPr>
            <w:tcW w:w="850" w:type="dxa"/>
            <w:vAlign w:val="center"/>
          </w:tcPr>
          <w:p>
            <w:pPr>
              <w:pStyle w:val="15"/>
            </w:pPr>
            <w:r>
              <w:t>13</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13.92</w:t>
            </w:r>
          </w:p>
        </w:tc>
        <w:tc>
          <w:tcPr>
            <w:tcW w:w="2551" w:type="dxa"/>
            <w:vAlign w:val="center"/>
          </w:tcPr>
          <w:p>
            <w:pPr>
              <w:pStyle w:val="13"/>
            </w:pPr>
            <w:r>
              <w:t>13.92</w:t>
            </w:r>
          </w:p>
        </w:tc>
        <w:tc>
          <w:tcPr>
            <w:tcW w:w="2551" w:type="dxa"/>
            <w:vAlign w:val="center"/>
          </w:tcPr>
          <w:p>
            <w:pPr>
              <w:pStyle w:val="13"/>
            </w:pPr>
          </w:p>
        </w:tc>
      </w:tr>
      <w:tr>
        <w:trPr>
          <w:trHeight w:val="369" w:hRule="atLeast"/>
          <w:jc w:val="center"/>
        </w:trPr>
        <w:tc>
          <w:tcPr>
            <w:tcW w:w="850" w:type="dxa"/>
            <w:vAlign w:val="center"/>
          </w:tcPr>
          <w:p>
            <w:pPr>
              <w:pStyle w:val="15"/>
            </w:pPr>
            <w:r>
              <w:t>14</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13.92</w:t>
            </w:r>
          </w:p>
        </w:tc>
        <w:tc>
          <w:tcPr>
            <w:tcW w:w="2551" w:type="dxa"/>
            <w:vAlign w:val="center"/>
          </w:tcPr>
          <w:p>
            <w:pPr>
              <w:pStyle w:val="13"/>
            </w:pPr>
            <w:r>
              <w:t>13.92</w:t>
            </w:r>
          </w:p>
        </w:tc>
        <w:tc>
          <w:tcPr>
            <w:tcW w:w="2551" w:type="dxa"/>
            <w:vAlign w:val="center"/>
          </w:tcPr>
          <w:p>
            <w:pPr>
              <w:pStyle w:val="13"/>
            </w:pPr>
          </w:p>
        </w:tc>
      </w:tr>
      <w:tr>
        <w:trPr>
          <w:trHeight w:val="369" w:hRule="atLeast"/>
          <w:jc w:val="center"/>
        </w:trPr>
        <w:tc>
          <w:tcPr>
            <w:tcW w:w="850" w:type="dxa"/>
            <w:vAlign w:val="center"/>
          </w:tcPr>
          <w:p>
            <w:pPr>
              <w:pStyle w:val="15"/>
            </w:pPr>
            <w:r>
              <w:t>15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21.41</w:t>
            </w:r>
          </w:p>
        </w:tc>
        <w:tc>
          <w:tcPr>
            <w:tcW w:w="2551" w:type="dxa"/>
            <w:vAlign w:val="center"/>
          </w:tcPr>
          <w:p>
            <w:pPr>
              <w:pStyle w:val="13"/>
            </w:pPr>
            <w:r>
              <w:t>21.41</w:t>
            </w:r>
          </w:p>
        </w:tc>
        <w:tc>
          <w:tcPr>
            <w:tcW w:w="2551" w:type="dxa"/>
            <w:vAlign w:val="center"/>
          </w:tcPr>
          <w:p>
            <w:pPr>
              <w:pStyle w:val="13"/>
            </w:pPr>
          </w:p>
        </w:tc>
      </w:tr>
      <w:tr>
        <w:trPr>
          <w:trHeight w:val="369" w:hRule="atLeast"/>
          <w:jc w:val="center"/>
        </w:trPr>
        <w:tc>
          <w:tcPr>
            <w:tcW w:w="850" w:type="dxa"/>
            <w:vAlign w:val="center"/>
          </w:tcPr>
          <w:p>
            <w:pPr>
              <w:pStyle w:val="15"/>
            </w:pPr>
            <w:r>
              <w:t>16</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21.41</w:t>
            </w:r>
          </w:p>
        </w:tc>
        <w:tc>
          <w:tcPr>
            <w:tcW w:w="2551" w:type="dxa"/>
            <w:vAlign w:val="center"/>
          </w:tcPr>
          <w:p>
            <w:pPr>
              <w:pStyle w:val="13"/>
            </w:pPr>
            <w:r>
              <w:t>21.41</w:t>
            </w:r>
          </w:p>
        </w:tc>
        <w:tc>
          <w:tcPr>
            <w:tcW w:w="2551" w:type="dxa"/>
            <w:vAlign w:val="center"/>
          </w:tcPr>
          <w:p>
            <w:pPr>
              <w:pStyle w:val="13"/>
            </w:pPr>
          </w:p>
        </w:tc>
      </w:tr>
      <w:tr>
        <w:trPr>
          <w:trHeight w:val="369" w:hRule="atLeast"/>
          <w:jc w:val="center"/>
        </w:trPr>
        <w:tc>
          <w:tcPr>
            <w:tcW w:w="850" w:type="dxa"/>
            <w:vAlign w:val="center"/>
          </w:tcPr>
          <w:p>
            <w:pPr>
              <w:pStyle w:val="15"/>
            </w:pPr>
            <w:r>
              <w:t>17</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21.41</w:t>
            </w:r>
          </w:p>
        </w:tc>
        <w:tc>
          <w:tcPr>
            <w:tcW w:w="2551" w:type="dxa"/>
            <w:vAlign w:val="center"/>
          </w:tcPr>
          <w:p>
            <w:pPr>
              <w:pStyle w:val="13"/>
            </w:pPr>
            <w:r>
              <w:t>21.41</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预算一般公共预算财政拨款基本支出表</w:t>
      </w:r>
      <w:bookmarkEnd w:id="5"/>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lang w:eastAsia="zh-CN"/>
              </w:rPr>
            </w:pPr>
            <w:r>
              <w:t>131</w:t>
            </w:r>
            <w:r>
              <w:rPr>
                <w:rFonts w:hint="eastAsia"/>
                <w:lang w:eastAsia="zh-CN"/>
              </w:rPr>
              <w:t>001</w:t>
            </w:r>
            <w:r>
              <w:t>高阳县政协办公室</w:t>
            </w:r>
            <w:r>
              <w:rPr>
                <w:rFonts w:hint="eastAsia"/>
                <w:lang w:eastAsia="zh-CN"/>
              </w:rPr>
              <w:t>（机关）</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w:t>
            </w:r>
            <w:r>
              <w:rPr>
                <w:rFonts w:hint="eastAsia" w:eastAsia="宋体"/>
                <w:lang w:eastAsia="zh-CN"/>
              </w:rPr>
              <w:t>单位</w:t>
            </w:r>
            <w:r>
              <w:t>经济分类科目</w:t>
            </w:r>
          </w:p>
        </w:tc>
        <w:tc>
          <w:tcPr>
            <w:tcW w:w="7654" w:type="dxa"/>
            <w:gridSpan w:val="3"/>
            <w:vAlign w:val="center"/>
          </w:tcPr>
          <w:p>
            <w:pPr>
              <w:pStyle w:val="12"/>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407.72</w:t>
            </w:r>
          </w:p>
        </w:tc>
        <w:tc>
          <w:tcPr>
            <w:tcW w:w="2551" w:type="dxa"/>
            <w:vAlign w:val="center"/>
          </w:tcPr>
          <w:p>
            <w:pPr>
              <w:pStyle w:val="17"/>
            </w:pPr>
            <w:r>
              <w:t>311.07</w:t>
            </w:r>
          </w:p>
        </w:tc>
        <w:tc>
          <w:tcPr>
            <w:tcW w:w="2552" w:type="dxa"/>
            <w:vAlign w:val="center"/>
          </w:tcPr>
          <w:p>
            <w:pPr>
              <w:pStyle w:val="17"/>
            </w:pPr>
            <w:r>
              <w:t>96.65</w:t>
            </w:r>
          </w:p>
        </w:tc>
      </w:tr>
      <w:tr>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307.55</w:t>
            </w:r>
          </w:p>
        </w:tc>
        <w:tc>
          <w:tcPr>
            <w:tcW w:w="2551" w:type="dxa"/>
            <w:vAlign w:val="center"/>
          </w:tcPr>
          <w:p>
            <w:pPr>
              <w:pStyle w:val="13"/>
            </w:pPr>
            <w:r>
              <w:t>307.55</w:t>
            </w:r>
          </w:p>
        </w:tc>
        <w:tc>
          <w:tcPr>
            <w:tcW w:w="2552" w:type="dxa"/>
            <w:vAlign w:val="center"/>
          </w:tcPr>
          <w:p>
            <w:pPr>
              <w:pStyle w:val="13"/>
            </w:pPr>
          </w:p>
        </w:tc>
      </w:tr>
      <w:tr>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147.67</w:t>
            </w:r>
          </w:p>
        </w:tc>
        <w:tc>
          <w:tcPr>
            <w:tcW w:w="2551" w:type="dxa"/>
            <w:vAlign w:val="center"/>
          </w:tcPr>
          <w:p>
            <w:pPr>
              <w:pStyle w:val="13"/>
            </w:pPr>
            <w:r>
              <w:t>147.67</w:t>
            </w:r>
          </w:p>
        </w:tc>
        <w:tc>
          <w:tcPr>
            <w:tcW w:w="2552" w:type="dxa"/>
            <w:vAlign w:val="center"/>
          </w:tcPr>
          <w:p>
            <w:pPr>
              <w:pStyle w:val="13"/>
            </w:pPr>
          </w:p>
        </w:tc>
      </w:tr>
      <w:tr>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75.94</w:t>
            </w:r>
          </w:p>
        </w:tc>
        <w:tc>
          <w:tcPr>
            <w:tcW w:w="2551" w:type="dxa"/>
            <w:vAlign w:val="center"/>
          </w:tcPr>
          <w:p>
            <w:pPr>
              <w:pStyle w:val="13"/>
            </w:pPr>
            <w:r>
              <w:t>75.94</w:t>
            </w:r>
          </w:p>
        </w:tc>
        <w:tc>
          <w:tcPr>
            <w:tcW w:w="2552" w:type="dxa"/>
            <w:vAlign w:val="center"/>
          </w:tcPr>
          <w:p>
            <w:pPr>
              <w:pStyle w:val="13"/>
            </w:pPr>
          </w:p>
        </w:tc>
      </w:tr>
      <w:tr>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12.95</w:t>
            </w:r>
          </w:p>
        </w:tc>
        <w:tc>
          <w:tcPr>
            <w:tcW w:w="2551" w:type="dxa"/>
            <w:vAlign w:val="center"/>
          </w:tcPr>
          <w:p>
            <w:pPr>
              <w:pStyle w:val="13"/>
            </w:pPr>
            <w:r>
              <w:t>12.95</w:t>
            </w:r>
          </w:p>
        </w:tc>
        <w:tc>
          <w:tcPr>
            <w:tcW w:w="2552" w:type="dxa"/>
            <w:vAlign w:val="center"/>
          </w:tcPr>
          <w:p>
            <w:pPr>
              <w:pStyle w:val="13"/>
            </w:pPr>
          </w:p>
        </w:tc>
      </w:tr>
      <w:tr>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34.25</w:t>
            </w:r>
          </w:p>
        </w:tc>
        <w:tc>
          <w:tcPr>
            <w:tcW w:w="2551" w:type="dxa"/>
            <w:vAlign w:val="center"/>
          </w:tcPr>
          <w:p>
            <w:pPr>
              <w:pStyle w:val="13"/>
            </w:pPr>
            <w:r>
              <w:t>34.25</w:t>
            </w:r>
          </w:p>
        </w:tc>
        <w:tc>
          <w:tcPr>
            <w:tcW w:w="2552" w:type="dxa"/>
            <w:vAlign w:val="center"/>
          </w:tcPr>
          <w:p>
            <w:pPr>
              <w:pStyle w:val="13"/>
            </w:pPr>
          </w:p>
        </w:tc>
      </w:tr>
      <w:tr>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城镇职工基本医疗保险缴费</w:t>
            </w:r>
          </w:p>
        </w:tc>
        <w:tc>
          <w:tcPr>
            <w:tcW w:w="2551" w:type="dxa"/>
            <w:vAlign w:val="center"/>
          </w:tcPr>
          <w:p>
            <w:pPr>
              <w:pStyle w:val="13"/>
            </w:pPr>
            <w:r>
              <w:t>13.92</w:t>
            </w:r>
          </w:p>
        </w:tc>
        <w:tc>
          <w:tcPr>
            <w:tcW w:w="2551" w:type="dxa"/>
            <w:vAlign w:val="center"/>
          </w:tcPr>
          <w:p>
            <w:pPr>
              <w:pStyle w:val="13"/>
            </w:pPr>
            <w:r>
              <w:t>13.92</w:t>
            </w:r>
          </w:p>
        </w:tc>
        <w:tc>
          <w:tcPr>
            <w:tcW w:w="2552" w:type="dxa"/>
            <w:vAlign w:val="center"/>
          </w:tcPr>
          <w:p>
            <w:pPr>
              <w:pStyle w:val="13"/>
            </w:pPr>
          </w:p>
        </w:tc>
      </w:tr>
      <w:tr>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1.41</w:t>
            </w:r>
          </w:p>
        </w:tc>
        <w:tc>
          <w:tcPr>
            <w:tcW w:w="2551" w:type="dxa"/>
            <w:vAlign w:val="center"/>
          </w:tcPr>
          <w:p>
            <w:pPr>
              <w:pStyle w:val="13"/>
            </w:pPr>
            <w:r>
              <w:t>1.41</w:t>
            </w:r>
          </w:p>
        </w:tc>
        <w:tc>
          <w:tcPr>
            <w:tcW w:w="2552" w:type="dxa"/>
            <w:vAlign w:val="center"/>
          </w:tcPr>
          <w:p>
            <w:pPr>
              <w:pStyle w:val="13"/>
            </w:pPr>
          </w:p>
        </w:tc>
      </w:tr>
      <w:tr>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21.41</w:t>
            </w:r>
          </w:p>
        </w:tc>
        <w:tc>
          <w:tcPr>
            <w:tcW w:w="2551" w:type="dxa"/>
            <w:vAlign w:val="center"/>
          </w:tcPr>
          <w:p>
            <w:pPr>
              <w:pStyle w:val="13"/>
            </w:pPr>
            <w:r>
              <w:t>21.41</w:t>
            </w:r>
          </w:p>
        </w:tc>
        <w:tc>
          <w:tcPr>
            <w:tcW w:w="2552" w:type="dxa"/>
            <w:vAlign w:val="center"/>
          </w:tcPr>
          <w:p>
            <w:pPr>
              <w:pStyle w:val="13"/>
            </w:pPr>
          </w:p>
        </w:tc>
      </w:tr>
      <w:tr>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96.65</w:t>
            </w:r>
          </w:p>
        </w:tc>
        <w:tc>
          <w:tcPr>
            <w:tcW w:w="2551" w:type="dxa"/>
            <w:vAlign w:val="center"/>
          </w:tcPr>
          <w:p>
            <w:pPr>
              <w:pStyle w:val="13"/>
            </w:pPr>
          </w:p>
        </w:tc>
        <w:tc>
          <w:tcPr>
            <w:tcW w:w="2552" w:type="dxa"/>
            <w:vAlign w:val="center"/>
          </w:tcPr>
          <w:p>
            <w:pPr>
              <w:pStyle w:val="13"/>
            </w:pPr>
            <w:r>
              <w:t>96.65</w:t>
            </w:r>
          </w:p>
        </w:tc>
      </w:tr>
      <w:tr>
        <w:trPr>
          <w:trHeight w:val="369" w:hRule="atLeast"/>
          <w:jc w:val="center"/>
        </w:trPr>
        <w:tc>
          <w:tcPr>
            <w:tcW w:w="850" w:type="dxa"/>
            <w:vAlign w:val="center"/>
          </w:tcPr>
          <w:p>
            <w:pPr>
              <w:pStyle w:val="15"/>
            </w:pPr>
            <w:r>
              <w:t>11</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22.89</w:t>
            </w:r>
          </w:p>
        </w:tc>
        <w:tc>
          <w:tcPr>
            <w:tcW w:w="2551" w:type="dxa"/>
            <w:vAlign w:val="center"/>
          </w:tcPr>
          <w:p>
            <w:pPr>
              <w:pStyle w:val="13"/>
            </w:pPr>
          </w:p>
        </w:tc>
        <w:tc>
          <w:tcPr>
            <w:tcW w:w="2552" w:type="dxa"/>
            <w:vAlign w:val="center"/>
          </w:tcPr>
          <w:p>
            <w:pPr>
              <w:pStyle w:val="13"/>
            </w:pPr>
            <w:r>
              <w:t>22.89</w:t>
            </w:r>
          </w:p>
        </w:tc>
      </w:tr>
      <w:tr>
        <w:trPr>
          <w:trHeight w:val="369" w:hRule="atLeast"/>
          <w:jc w:val="center"/>
        </w:trPr>
        <w:tc>
          <w:tcPr>
            <w:tcW w:w="850" w:type="dxa"/>
            <w:vAlign w:val="center"/>
          </w:tcPr>
          <w:p>
            <w:pPr>
              <w:pStyle w:val="15"/>
            </w:pPr>
            <w:r>
              <w:t>12</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12.79</w:t>
            </w:r>
          </w:p>
        </w:tc>
        <w:tc>
          <w:tcPr>
            <w:tcW w:w="2551" w:type="dxa"/>
            <w:vAlign w:val="center"/>
          </w:tcPr>
          <w:p>
            <w:pPr>
              <w:pStyle w:val="13"/>
            </w:pPr>
          </w:p>
        </w:tc>
        <w:tc>
          <w:tcPr>
            <w:tcW w:w="2552" w:type="dxa"/>
            <w:vAlign w:val="center"/>
          </w:tcPr>
          <w:p>
            <w:pPr>
              <w:pStyle w:val="13"/>
            </w:pPr>
            <w:r>
              <w:t>12.79</w:t>
            </w:r>
          </w:p>
        </w:tc>
      </w:tr>
      <w:tr>
        <w:trPr>
          <w:trHeight w:val="369" w:hRule="atLeast"/>
          <w:jc w:val="center"/>
        </w:trPr>
        <w:tc>
          <w:tcPr>
            <w:tcW w:w="850" w:type="dxa"/>
            <w:vAlign w:val="center"/>
          </w:tcPr>
          <w:p>
            <w:pPr>
              <w:pStyle w:val="15"/>
            </w:pPr>
            <w:r>
              <w:t>13</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8.55</w:t>
            </w:r>
          </w:p>
        </w:tc>
        <w:tc>
          <w:tcPr>
            <w:tcW w:w="2551" w:type="dxa"/>
            <w:vAlign w:val="center"/>
          </w:tcPr>
          <w:p>
            <w:pPr>
              <w:pStyle w:val="13"/>
            </w:pPr>
          </w:p>
        </w:tc>
        <w:tc>
          <w:tcPr>
            <w:tcW w:w="2552" w:type="dxa"/>
            <w:vAlign w:val="center"/>
          </w:tcPr>
          <w:p>
            <w:pPr>
              <w:pStyle w:val="13"/>
            </w:pPr>
            <w:r>
              <w:t>8.55</w:t>
            </w:r>
          </w:p>
        </w:tc>
      </w:tr>
      <w:tr>
        <w:trPr>
          <w:trHeight w:val="369" w:hRule="atLeast"/>
          <w:jc w:val="center"/>
        </w:trPr>
        <w:tc>
          <w:tcPr>
            <w:tcW w:w="850" w:type="dxa"/>
            <w:vAlign w:val="center"/>
          </w:tcPr>
          <w:p>
            <w:pPr>
              <w:pStyle w:val="15"/>
            </w:pPr>
            <w:r>
              <w:t>14</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9.00</w:t>
            </w:r>
          </w:p>
        </w:tc>
        <w:tc>
          <w:tcPr>
            <w:tcW w:w="2551" w:type="dxa"/>
            <w:vAlign w:val="center"/>
          </w:tcPr>
          <w:p>
            <w:pPr>
              <w:pStyle w:val="13"/>
            </w:pPr>
          </w:p>
        </w:tc>
        <w:tc>
          <w:tcPr>
            <w:tcW w:w="2552" w:type="dxa"/>
            <w:vAlign w:val="center"/>
          </w:tcPr>
          <w:p>
            <w:pPr>
              <w:pStyle w:val="13"/>
            </w:pPr>
            <w:r>
              <w:t>9.00</w:t>
            </w:r>
          </w:p>
        </w:tc>
      </w:tr>
      <w:tr>
        <w:trPr>
          <w:trHeight w:val="369" w:hRule="atLeast"/>
          <w:jc w:val="center"/>
        </w:trPr>
        <w:tc>
          <w:tcPr>
            <w:tcW w:w="850" w:type="dxa"/>
            <w:vAlign w:val="center"/>
          </w:tcPr>
          <w:p>
            <w:pPr>
              <w:pStyle w:val="15"/>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4.28</w:t>
            </w:r>
          </w:p>
        </w:tc>
        <w:tc>
          <w:tcPr>
            <w:tcW w:w="2551" w:type="dxa"/>
            <w:vAlign w:val="center"/>
          </w:tcPr>
          <w:p>
            <w:pPr>
              <w:pStyle w:val="13"/>
            </w:pPr>
          </w:p>
        </w:tc>
        <w:tc>
          <w:tcPr>
            <w:tcW w:w="2552" w:type="dxa"/>
            <w:vAlign w:val="center"/>
          </w:tcPr>
          <w:p>
            <w:pPr>
              <w:pStyle w:val="13"/>
            </w:pPr>
            <w:r>
              <w:t>4.28</w:t>
            </w:r>
          </w:p>
        </w:tc>
      </w:tr>
      <w:tr>
        <w:trPr>
          <w:trHeight w:val="369" w:hRule="atLeast"/>
          <w:jc w:val="center"/>
        </w:trPr>
        <w:tc>
          <w:tcPr>
            <w:tcW w:w="850" w:type="dxa"/>
            <w:vAlign w:val="center"/>
          </w:tcPr>
          <w:p>
            <w:pPr>
              <w:pStyle w:val="15"/>
            </w:pPr>
            <w:r>
              <w:t>16</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2.65</w:t>
            </w:r>
          </w:p>
        </w:tc>
        <w:tc>
          <w:tcPr>
            <w:tcW w:w="2551" w:type="dxa"/>
            <w:vAlign w:val="center"/>
          </w:tcPr>
          <w:p>
            <w:pPr>
              <w:pStyle w:val="13"/>
            </w:pPr>
          </w:p>
        </w:tc>
        <w:tc>
          <w:tcPr>
            <w:tcW w:w="2552" w:type="dxa"/>
            <w:vAlign w:val="center"/>
          </w:tcPr>
          <w:p>
            <w:pPr>
              <w:pStyle w:val="13"/>
            </w:pPr>
            <w:r>
              <w:t>2.65</w:t>
            </w:r>
          </w:p>
        </w:tc>
      </w:tr>
      <w:tr>
        <w:trPr>
          <w:trHeight w:val="369" w:hRule="atLeast"/>
          <w:jc w:val="center"/>
        </w:trPr>
        <w:tc>
          <w:tcPr>
            <w:tcW w:w="850" w:type="dxa"/>
            <w:vAlign w:val="center"/>
          </w:tcPr>
          <w:p>
            <w:pPr>
              <w:pStyle w:val="15"/>
            </w:pPr>
            <w:r>
              <w:t>17</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10.35</w:t>
            </w:r>
          </w:p>
        </w:tc>
        <w:tc>
          <w:tcPr>
            <w:tcW w:w="2551" w:type="dxa"/>
            <w:vAlign w:val="center"/>
          </w:tcPr>
          <w:p>
            <w:pPr>
              <w:pStyle w:val="13"/>
            </w:pPr>
          </w:p>
        </w:tc>
        <w:tc>
          <w:tcPr>
            <w:tcW w:w="2552" w:type="dxa"/>
            <w:vAlign w:val="center"/>
          </w:tcPr>
          <w:p>
            <w:pPr>
              <w:pStyle w:val="13"/>
            </w:pPr>
            <w:r>
              <w:t>10.35</w:t>
            </w:r>
          </w:p>
        </w:tc>
      </w:tr>
      <w:tr>
        <w:trPr>
          <w:trHeight w:val="369" w:hRule="atLeast"/>
          <w:jc w:val="center"/>
        </w:trPr>
        <w:tc>
          <w:tcPr>
            <w:tcW w:w="850" w:type="dxa"/>
            <w:vAlign w:val="center"/>
          </w:tcPr>
          <w:p>
            <w:pPr>
              <w:pStyle w:val="15"/>
            </w:pPr>
            <w:r>
              <w:t>18</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23.45</w:t>
            </w:r>
          </w:p>
        </w:tc>
        <w:tc>
          <w:tcPr>
            <w:tcW w:w="2551" w:type="dxa"/>
            <w:vAlign w:val="center"/>
          </w:tcPr>
          <w:p>
            <w:pPr>
              <w:pStyle w:val="13"/>
            </w:pPr>
          </w:p>
        </w:tc>
        <w:tc>
          <w:tcPr>
            <w:tcW w:w="2552" w:type="dxa"/>
            <w:vAlign w:val="center"/>
          </w:tcPr>
          <w:p>
            <w:pPr>
              <w:pStyle w:val="13"/>
            </w:pPr>
            <w:r>
              <w:t>23.45</w:t>
            </w:r>
          </w:p>
        </w:tc>
      </w:tr>
      <w:tr>
        <w:trPr>
          <w:trHeight w:val="369" w:hRule="atLeast"/>
          <w:jc w:val="center"/>
        </w:trPr>
        <w:tc>
          <w:tcPr>
            <w:tcW w:w="850" w:type="dxa"/>
            <w:vAlign w:val="center"/>
          </w:tcPr>
          <w:p>
            <w:pPr>
              <w:pStyle w:val="15"/>
            </w:pPr>
            <w:r>
              <w:t>19</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2.69</w:t>
            </w:r>
          </w:p>
        </w:tc>
        <w:tc>
          <w:tcPr>
            <w:tcW w:w="2551" w:type="dxa"/>
            <w:vAlign w:val="center"/>
          </w:tcPr>
          <w:p>
            <w:pPr>
              <w:pStyle w:val="13"/>
            </w:pPr>
          </w:p>
        </w:tc>
        <w:tc>
          <w:tcPr>
            <w:tcW w:w="2552" w:type="dxa"/>
            <w:vAlign w:val="center"/>
          </w:tcPr>
          <w:p>
            <w:pPr>
              <w:pStyle w:val="13"/>
            </w:pPr>
            <w:r>
              <w:t>2.69</w:t>
            </w:r>
          </w:p>
        </w:tc>
      </w:tr>
      <w:tr>
        <w:trPr>
          <w:trHeight w:val="369" w:hRule="atLeast"/>
          <w:jc w:val="center"/>
        </w:trPr>
        <w:tc>
          <w:tcPr>
            <w:tcW w:w="850" w:type="dxa"/>
            <w:vAlign w:val="center"/>
          </w:tcPr>
          <w:p>
            <w:pPr>
              <w:pStyle w:val="15"/>
            </w:pPr>
            <w:r>
              <w:t>20</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3.52</w:t>
            </w:r>
          </w:p>
        </w:tc>
        <w:tc>
          <w:tcPr>
            <w:tcW w:w="2551" w:type="dxa"/>
            <w:vAlign w:val="center"/>
          </w:tcPr>
          <w:p>
            <w:pPr>
              <w:pStyle w:val="13"/>
            </w:pPr>
            <w:r>
              <w:t>3.52</w:t>
            </w:r>
          </w:p>
        </w:tc>
        <w:tc>
          <w:tcPr>
            <w:tcW w:w="2552" w:type="dxa"/>
            <w:vAlign w:val="center"/>
          </w:tcPr>
          <w:p>
            <w:pPr>
              <w:pStyle w:val="13"/>
            </w:pPr>
          </w:p>
        </w:tc>
      </w:tr>
      <w:tr>
        <w:trPr>
          <w:trHeight w:val="369" w:hRule="atLeast"/>
          <w:jc w:val="center"/>
        </w:trPr>
        <w:tc>
          <w:tcPr>
            <w:tcW w:w="850" w:type="dxa"/>
            <w:vAlign w:val="center"/>
          </w:tcPr>
          <w:p>
            <w:pPr>
              <w:pStyle w:val="15"/>
            </w:pPr>
            <w:r>
              <w:t>21</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1.92</w:t>
            </w:r>
          </w:p>
        </w:tc>
        <w:tc>
          <w:tcPr>
            <w:tcW w:w="2551" w:type="dxa"/>
            <w:vAlign w:val="center"/>
          </w:tcPr>
          <w:p>
            <w:pPr>
              <w:pStyle w:val="13"/>
            </w:pPr>
            <w:r>
              <w:t>1.92</w:t>
            </w:r>
          </w:p>
        </w:tc>
        <w:tc>
          <w:tcPr>
            <w:tcW w:w="2552" w:type="dxa"/>
            <w:vAlign w:val="center"/>
          </w:tcPr>
          <w:p>
            <w:pPr>
              <w:pStyle w:val="13"/>
            </w:pPr>
          </w:p>
        </w:tc>
      </w:tr>
      <w:tr>
        <w:trPr>
          <w:trHeight w:val="369" w:hRule="atLeast"/>
          <w:jc w:val="center"/>
        </w:trPr>
        <w:tc>
          <w:tcPr>
            <w:tcW w:w="850" w:type="dxa"/>
            <w:vAlign w:val="center"/>
          </w:tcPr>
          <w:p>
            <w:pPr>
              <w:pStyle w:val="15"/>
            </w:pPr>
            <w:r>
              <w:t>22</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1.60</w:t>
            </w:r>
          </w:p>
        </w:tc>
        <w:tc>
          <w:tcPr>
            <w:tcW w:w="2551" w:type="dxa"/>
            <w:vAlign w:val="center"/>
          </w:tcPr>
          <w:p>
            <w:pPr>
              <w:pStyle w:val="13"/>
            </w:pPr>
            <w:r>
              <w:t>1.60</w:t>
            </w:r>
          </w:p>
        </w:tc>
        <w:tc>
          <w:tcPr>
            <w:tcW w:w="2552"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预算政府基金预算财政拨款支出表</w:t>
      </w:r>
      <w:bookmarkEnd w:id="6"/>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lang w:eastAsia="zh-CN"/>
              </w:rPr>
            </w:pPr>
            <w:r>
              <w:t>131</w:t>
            </w:r>
            <w:r>
              <w:rPr>
                <w:rFonts w:hint="eastAsia"/>
                <w:lang w:eastAsia="zh-CN"/>
              </w:rPr>
              <w:t>001</w:t>
            </w:r>
            <w:r>
              <w:t>高阳县政协办公室</w:t>
            </w:r>
            <w:r>
              <w:rPr>
                <w:rFonts w:hint="eastAsia"/>
                <w:lang w:eastAsia="zh-CN"/>
              </w:rPr>
              <w:t>（机关）</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rPr>
          <w:trHeight w:val="369" w:hRule="atLeast"/>
          <w:tblHeader/>
          <w:jc w:val="center"/>
        </w:trPr>
        <w:tc>
          <w:tcPr>
            <w:tcW w:w="850" w:type="dxa"/>
            <w:vMerge w:val="continue"/>
            <w:vAlign w:val="top"/>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预算国有资本经营预算财政拨款支出表</w:t>
      </w:r>
      <w:bookmarkEnd w:id="7"/>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lang w:eastAsia="zh-CN"/>
              </w:rPr>
            </w:pPr>
            <w:r>
              <w:t>131</w:t>
            </w:r>
            <w:r>
              <w:rPr>
                <w:rFonts w:hint="eastAsia"/>
                <w:lang w:eastAsia="zh-CN"/>
              </w:rPr>
              <w:t>001</w:t>
            </w:r>
            <w:r>
              <w:t>高阳县政协办公室</w:t>
            </w:r>
            <w:r>
              <w:rPr>
                <w:rFonts w:hint="eastAsia"/>
                <w:lang w:eastAsia="zh-CN"/>
              </w:rPr>
              <w:t>（机关）</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rPr>
          <w:trHeight w:val="369" w:hRule="atLeast"/>
          <w:tblHeader/>
          <w:jc w:val="center"/>
        </w:trPr>
        <w:tc>
          <w:tcPr>
            <w:tcW w:w="850" w:type="dxa"/>
            <w:vMerge w:val="continue"/>
            <w:vAlign w:val="top"/>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预算财政拨款“三公”经费支出表</w:t>
      </w:r>
      <w:bookmarkEnd w:id="8"/>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rPr>
                <w:lang w:eastAsia="zh-CN"/>
              </w:rPr>
            </w:pPr>
            <w:r>
              <w:t>131</w:t>
            </w:r>
            <w:r>
              <w:rPr>
                <w:rFonts w:hint="eastAsia"/>
                <w:lang w:eastAsia="zh-CN"/>
              </w:rPr>
              <w:t>001</w:t>
            </w:r>
            <w:r>
              <w:t>高阳县政协办公室</w:t>
            </w:r>
            <w:r>
              <w:rPr>
                <w:rFonts w:hint="eastAsia"/>
                <w:lang w:eastAsia="zh-CN"/>
              </w:rPr>
              <w:t>（机关）</w:t>
            </w:r>
          </w:p>
        </w:tc>
        <w:tc>
          <w:tcPr>
            <w:tcW w:w="2381" w:type="dxa"/>
            <w:tcBorders>
              <w:top w:val="single" w:color="FFFFFF" w:sz="6" w:space="0"/>
              <w:left w:val="single" w:color="FFFFFF"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2" w:type="dxa"/>
            <w:vAlign w:val="center"/>
          </w:tcPr>
          <w:p>
            <w:pPr>
              <w:pStyle w:val="17"/>
            </w:pPr>
            <w:r>
              <w:t>19.35</w:t>
            </w:r>
          </w:p>
        </w:tc>
        <w:tc>
          <w:tcPr>
            <w:tcW w:w="2381" w:type="dxa"/>
            <w:vAlign w:val="center"/>
          </w:tcPr>
          <w:p>
            <w:pPr>
              <w:pStyle w:val="17"/>
            </w:pPr>
            <w:r>
              <w:t>19.35</w:t>
            </w:r>
          </w:p>
        </w:tc>
        <w:tc>
          <w:tcPr>
            <w:tcW w:w="2381" w:type="dxa"/>
            <w:vAlign w:val="center"/>
          </w:tcPr>
          <w:p>
            <w:pPr>
              <w:pStyle w:val="17"/>
            </w:pPr>
          </w:p>
        </w:tc>
        <w:tc>
          <w:tcPr>
            <w:tcW w:w="2381" w:type="dxa"/>
            <w:vAlign w:val="center"/>
          </w:tcPr>
          <w:p>
            <w:pPr>
              <w:pStyle w:val="17"/>
            </w:pPr>
          </w:p>
        </w:tc>
      </w:tr>
      <w:tr>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2" w:type="dxa"/>
            <w:vAlign w:val="center"/>
          </w:tcPr>
          <w:p>
            <w:pPr>
              <w:pStyle w:val="13"/>
            </w:pPr>
            <w:r>
              <w:t>19.35</w:t>
            </w:r>
          </w:p>
        </w:tc>
        <w:tc>
          <w:tcPr>
            <w:tcW w:w="2381" w:type="dxa"/>
            <w:vAlign w:val="center"/>
          </w:tcPr>
          <w:p>
            <w:pPr>
              <w:pStyle w:val="13"/>
            </w:pPr>
            <w:r>
              <w:t>19.35</w:t>
            </w: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2" w:type="dxa"/>
            <w:vAlign w:val="center"/>
          </w:tcPr>
          <w:p>
            <w:pPr>
              <w:pStyle w:val="13"/>
            </w:pPr>
            <w:r>
              <w:t>10.35</w:t>
            </w:r>
          </w:p>
        </w:tc>
        <w:tc>
          <w:tcPr>
            <w:tcW w:w="2381" w:type="dxa"/>
            <w:vAlign w:val="center"/>
          </w:tcPr>
          <w:p>
            <w:pPr>
              <w:pStyle w:val="13"/>
            </w:pPr>
            <w:r>
              <w:t>10.35</w:t>
            </w: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2" w:type="dxa"/>
            <w:vAlign w:val="center"/>
          </w:tcPr>
          <w:p>
            <w:pPr>
              <w:pStyle w:val="13"/>
            </w:pPr>
            <w:r>
              <w:t>10.35</w:t>
            </w:r>
          </w:p>
        </w:tc>
        <w:tc>
          <w:tcPr>
            <w:tcW w:w="2381" w:type="dxa"/>
            <w:vAlign w:val="center"/>
          </w:tcPr>
          <w:p>
            <w:pPr>
              <w:pStyle w:val="13"/>
            </w:pPr>
            <w:r>
              <w:t>10.35</w:t>
            </w: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2" w:type="dxa"/>
            <w:vAlign w:val="center"/>
          </w:tcPr>
          <w:p>
            <w:pPr>
              <w:pStyle w:val="13"/>
            </w:pPr>
            <w:r>
              <w:t>9.00</w:t>
            </w:r>
          </w:p>
        </w:tc>
        <w:tc>
          <w:tcPr>
            <w:tcW w:w="2381" w:type="dxa"/>
            <w:vAlign w:val="center"/>
          </w:tcPr>
          <w:p>
            <w:pPr>
              <w:pStyle w:val="13"/>
            </w:pPr>
            <w:r>
              <w:t>9.00</w:t>
            </w:r>
          </w:p>
        </w:tc>
        <w:tc>
          <w:tcPr>
            <w:tcW w:w="2381" w:type="dxa"/>
            <w:vAlign w:val="center"/>
          </w:tcPr>
          <w:p>
            <w:pPr>
              <w:pStyle w:val="13"/>
            </w:pPr>
          </w:p>
        </w:tc>
        <w:tc>
          <w:tcPr>
            <w:tcW w:w="2381" w:type="dxa"/>
            <w:vAlign w:val="center"/>
          </w:tcPr>
          <w:p>
            <w:pPr>
              <w:pStyle w:val="13"/>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高阳县政协办公室2022年部门预算信息公开情况说明</w:t>
      </w:r>
    </w:p>
    <w:p>
      <w:pPr>
        <w:jc w:val="center"/>
      </w:pPr>
      <w:r>
        <w:rPr>
          <w:rFonts w:ascii="方正小标宋_GBK" w:hAnsi="方正小标宋_GBK" w:eastAsia="方正小标宋_GBK" w:cs="方正小标宋_GBK"/>
          <w:color w:val="000000"/>
          <w:sz w:val="44"/>
        </w:rPr>
        <w:t>高阳县政协办公室</w:t>
      </w:r>
      <w:r>
        <w:rPr>
          <w:rFonts w:hint="eastAsia" w:ascii="方正小标宋_GBK" w:hAnsi="方正小标宋_GBK" w:eastAsia="方正小标宋_GBK" w:cs="方正小标宋_GBK"/>
          <w:color w:val="000000"/>
          <w:sz w:val="44"/>
          <w:lang w:eastAsia="zh-CN"/>
        </w:rPr>
        <w:t>（机关）</w:t>
      </w: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rPr>
        <w:t>单位</w:t>
      </w:r>
      <w:r>
        <w:rPr>
          <w:rFonts w:ascii="方正小标宋_GBK" w:hAnsi="方正小标宋_GBK" w:eastAsia="方正小标宋_GBK" w:cs="方正小标宋_GBK"/>
          <w:color w:val="000000"/>
          <w:sz w:val="44"/>
        </w:rPr>
        <w:t>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、《地方预决算公开操作规程》和《关于进一步推进预算公开工作的实施意见》规定，现将高阳县政协办公室</w:t>
      </w:r>
      <w:r>
        <w:rPr>
          <w:rFonts w:hint="eastAsia" w:eastAsia="方正仿宋_GBK"/>
          <w:color w:val="000000"/>
          <w:sz w:val="28"/>
          <w:lang w:eastAsia="zh-CN"/>
        </w:rPr>
        <w:t>（机关）</w:t>
      </w:r>
      <w:r>
        <w:rPr>
          <w:rFonts w:eastAsia="方正仿宋_GBK"/>
          <w:color w:val="000000"/>
          <w:sz w:val="28"/>
        </w:rPr>
        <w:t>2022年</w:t>
      </w:r>
      <w:r>
        <w:rPr>
          <w:rFonts w:hint="eastAsia" w:eastAsia="方正仿宋_GBK"/>
          <w:color w:val="000000"/>
          <w:sz w:val="28"/>
        </w:rPr>
        <w:t>单位</w:t>
      </w:r>
      <w:r>
        <w:rPr>
          <w:rFonts w:eastAsia="方正仿宋_GBK"/>
          <w:color w:val="000000"/>
          <w:sz w:val="28"/>
        </w:rPr>
        <w:t>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ind w:firstLine="640"/>
      </w:pPr>
      <w:r>
        <w:rPr>
          <w:rFonts w:hint="eastAsia" w:ascii="方正楷体_GBK" w:hAnsi="方正楷体_GBK" w:eastAsia="宋体" w:cs="方正楷体_GBK"/>
          <w:b/>
          <w:color w:val="000000"/>
          <w:sz w:val="32"/>
          <w:lang w:eastAsia="zh-CN"/>
        </w:rPr>
        <w:t>单位</w:t>
      </w:r>
      <w:r>
        <w:rPr>
          <w:rFonts w:ascii="方正楷体_GBK" w:hAnsi="方正楷体_GBK" w:eastAsia="方正楷体_GBK" w:cs="方正楷体_GBK"/>
          <w:b/>
          <w:color w:val="000000"/>
          <w:sz w:val="32"/>
        </w:rPr>
        <w:t>职责：</w:t>
      </w:r>
    </w:p>
    <w:p>
      <w:pPr>
        <w:pStyle w:val="19"/>
        <w:ind w:firstLine="561"/>
      </w:pPr>
      <w:r>
        <w:t>1.组织实施县政协全体会议、</w:t>
      </w:r>
      <w:r>
        <w:rPr>
          <w:rFonts w:hint="eastAsia"/>
          <w:lang w:eastAsia="zh-CN"/>
        </w:rPr>
        <w:t>常委会会议</w:t>
      </w:r>
      <w:r>
        <w:t>、主席会议的决议、决定；负责研究</w:t>
      </w:r>
      <w:r>
        <w:rPr>
          <w:rFonts w:hint="eastAsia"/>
          <w:lang w:eastAsia="zh-CN"/>
        </w:rPr>
        <w:t>新形势下</w:t>
      </w:r>
      <w:r>
        <w:t>政协工作的特点和规律，与有关</w:t>
      </w:r>
      <w:r>
        <w:rPr>
          <w:rFonts w:hint="eastAsia" w:eastAsia="宋体"/>
          <w:lang w:eastAsia="zh-CN"/>
        </w:rPr>
        <w:t>单位</w:t>
      </w:r>
      <w:r>
        <w:t>协作配合研究有关经济和社会发展的重要问题，为领导决策提供依据；负责政协全面情况的收集、综合工作。</w:t>
      </w:r>
    </w:p>
    <w:p>
      <w:pPr>
        <w:pStyle w:val="19"/>
        <w:ind w:firstLine="561"/>
      </w:pPr>
      <w:r>
        <w:t>2.负责县政协全体会议、</w:t>
      </w:r>
      <w:r>
        <w:rPr>
          <w:rFonts w:hint="eastAsia"/>
          <w:lang w:eastAsia="zh-CN"/>
        </w:rPr>
        <w:t>常委会会议</w:t>
      </w:r>
      <w:r>
        <w:t>、主席会议、常务委员专题座谈会的会务工作；负责各种文件资料、领导讲话的起草、收发和整理等工作。</w:t>
      </w:r>
    </w:p>
    <w:p>
      <w:pPr>
        <w:pStyle w:val="19"/>
        <w:ind w:firstLine="561"/>
        <w:rPr>
          <w:lang w:eastAsia="zh-CN"/>
        </w:rPr>
      </w:pPr>
      <w:r>
        <w:t>3.负责委员视察、参观、座谈、研讨等日常活动的服务和组织工作</w:t>
      </w:r>
      <w:r>
        <w:rPr>
          <w:rFonts w:hint="eastAsia"/>
          <w:lang w:eastAsia="zh-CN"/>
        </w:rPr>
        <w:t>。</w:t>
      </w:r>
    </w:p>
    <w:p>
      <w:pPr>
        <w:pStyle w:val="19"/>
        <w:ind w:firstLine="561"/>
        <w:rPr>
          <w:lang w:eastAsia="zh-CN"/>
        </w:rPr>
      </w:pPr>
      <w:r>
        <w:t>4.负责市、县政协委员的联络接待、来信来访工作。</w:t>
      </w:r>
    </w:p>
    <w:p>
      <w:pPr>
        <w:pStyle w:val="19"/>
        <w:ind w:firstLine="561"/>
        <w:rPr>
          <w:lang w:eastAsia="zh-CN"/>
        </w:rPr>
      </w:pPr>
      <w:r>
        <w:t>5.联系各界人士、乡镇联络组和有关部门、搞好工作的配合与协调</w:t>
      </w:r>
      <w:r>
        <w:rPr>
          <w:rFonts w:hint="eastAsia"/>
          <w:lang w:eastAsia="zh-CN"/>
        </w:rPr>
        <w:t>。</w:t>
      </w:r>
    </w:p>
    <w:p>
      <w:pPr>
        <w:pStyle w:val="19"/>
        <w:ind w:firstLine="561"/>
        <w:rPr>
          <w:lang w:eastAsia="zh-CN"/>
        </w:rPr>
      </w:pPr>
      <w:r>
        <w:t>6.负责委员的学习培训工作，组织座谈会、报告会等活动，为委员知情出力、参政议政创造条件。</w:t>
      </w:r>
    </w:p>
    <w:p>
      <w:pPr>
        <w:pStyle w:val="19"/>
        <w:ind w:firstLine="561"/>
        <w:rPr>
          <w:lang w:eastAsia="zh-CN"/>
        </w:rPr>
      </w:pPr>
      <w:r>
        <w:t>7.编辑《学习参考资料》，加强政协工作的宣传报道，宣传党的统战政协理论和知识，宣传委员的先进事迹。</w:t>
      </w:r>
    </w:p>
    <w:p>
      <w:pPr>
        <w:pStyle w:val="19"/>
        <w:ind w:firstLine="561"/>
      </w:pPr>
      <w:r>
        <w:t>8.承办县政协主席、副主席交办的其它事项。</w:t>
      </w:r>
    </w:p>
    <w:p>
      <w:pPr>
        <w:pStyle w:val="19"/>
      </w:pPr>
    </w:p>
    <w:p>
      <w:pPr>
        <w:ind w:firstLine="640"/>
        <w:rPr>
          <w:rFonts w:ascii="Calibri" w:hAnsi="Calibri" w:eastAsia="方正楷体_GBK" w:cs="方正楷体_GBK"/>
          <w:b/>
          <w:color w:val="000000"/>
          <w:sz w:val="32"/>
          <w:lang/>
        </w:rPr>
      </w:pPr>
    </w:p>
    <w:p>
      <w:pPr>
        <w:ind w:firstLine="640"/>
      </w:pPr>
      <w:r>
        <w:rPr>
          <w:rFonts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w:t>
      </w:r>
      <w:r>
        <w:rPr>
          <w:rFonts w:ascii="方正小标宋_GBK" w:hAnsi="方正小标宋_GBK" w:eastAsia="方正小标宋_GBK" w:cs="方正小标宋_GBK"/>
          <w:color w:val="000000"/>
          <w:sz w:val="32"/>
        </w:rPr>
        <w:t>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rPr>
          <w:trHeight w:val="369" w:hRule="atLeast"/>
          <w:jc w:val="center"/>
        </w:trPr>
        <w:tc>
          <w:tcPr>
            <w:tcW w:w="5669" w:type="dxa"/>
            <w:vAlign w:val="center"/>
          </w:tcPr>
          <w:p>
            <w:pPr>
              <w:pStyle w:val="14"/>
              <w:rPr>
                <w:rFonts w:ascii="黑体" w:hAnsi="黑体" w:eastAsia="黑体"/>
              </w:rPr>
            </w:pPr>
            <w:r>
              <w:rPr>
                <w:rFonts w:ascii="黑体" w:hAnsi="黑体" w:eastAsia="黑体"/>
              </w:rPr>
              <w:t>高阳县政协办公室（机关）</w:t>
            </w:r>
          </w:p>
        </w:tc>
        <w:tc>
          <w:tcPr>
            <w:tcW w:w="1843" w:type="dxa"/>
            <w:vAlign w:val="center"/>
          </w:tcPr>
          <w:p>
            <w:pPr>
              <w:pStyle w:val="15"/>
              <w:rPr>
                <w:rFonts w:ascii="黑体" w:hAnsi="黑体" w:eastAsia="黑体"/>
              </w:rPr>
            </w:pPr>
            <w:r>
              <w:rPr>
                <w:rFonts w:ascii="黑体" w:hAnsi="黑体" w:eastAsia="黑体"/>
              </w:rPr>
              <w:t>行政</w:t>
            </w:r>
          </w:p>
        </w:tc>
        <w:tc>
          <w:tcPr>
            <w:tcW w:w="2126" w:type="dxa"/>
            <w:vAlign w:val="center"/>
          </w:tcPr>
          <w:p>
            <w:pPr>
              <w:pStyle w:val="15"/>
              <w:rPr>
                <w:rFonts w:ascii="黑体" w:hAnsi="黑体" w:eastAsia="黑体"/>
              </w:rPr>
            </w:pPr>
            <w:r>
              <w:rPr>
                <w:rFonts w:ascii="黑体" w:hAnsi="黑体" w:eastAsia="黑体"/>
              </w:rPr>
              <w:t>正</w:t>
            </w:r>
            <w:r>
              <w:rPr>
                <w:rFonts w:hint="eastAsia" w:ascii="黑体" w:hAnsi="黑体" w:eastAsia="黑体"/>
                <w:lang w:eastAsia="zh-CN"/>
              </w:rPr>
              <w:t>科</w:t>
            </w:r>
            <w:r>
              <w:rPr>
                <w:rFonts w:ascii="黑体" w:hAnsi="黑体" w:eastAsia="黑体"/>
              </w:rPr>
              <w:t>级</w:t>
            </w:r>
          </w:p>
        </w:tc>
        <w:tc>
          <w:tcPr>
            <w:tcW w:w="3827" w:type="dxa"/>
            <w:vAlign w:val="center"/>
          </w:tcPr>
          <w:p>
            <w:pPr>
              <w:pStyle w:val="15"/>
              <w:rPr>
                <w:rFonts w:ascii="黑体" w:hAnsi="黑体" w:eastAsia="黑体"/>
              </w:rPr>
            </w:pPr>
            <w:r>
              <w:rPr>
                <w:rFonts w:ascii="黑体" w:hAnsi="黑体" w:eastAsia="黑体"/>
              </w:rP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spacing w:line="500" w:lineRule="exact"/>
        <w:ind w:firstLine="560"/>
        <w:rPr>
          <w:rFonts w:eastAsia="方正仿宋_GBK"/>
          <w:color w:val="000000"/>
          <w:sz w:val="28"/>
        </w:rPr>
      </w:pPr>
      <w:r>
        <w:rPr>
          <w:rFonts w:eastAsia="方正仿宋_GBK"/>
          <w:color w:val="000000"/>
          <w:sz w:val="28"/>
        </w:rPr>
        <w:t>按照预算管理有关规定，目前我</w:t>
      </w:r>
      <w:r>
        <w:rPr>
          <w:rFonts w:hint="eastAsia" w:eastAsia="方正仿宋_GBK"/>
          <w:color w:val="000000"/>
          <w:sz w:val="28"/>
        </w:rPr>
        <w:t>县单位</w:t>
      </w:r>
      <w:r>
        <w:rPr>
          <w:rFonts w:eastAsia="方正仿宋_GBK"/>
          <w:color w:val="000000"/>
          <w:sz w:val="28"/>
        </w:rPr>
        <w:t>预算的编制实行综合预算管理，即全部收入和支出都反映在预算中。</w:t>
      </w:r>
    </w:p>
    <w:p>
      <w:pPr>
        <w:pStyle w:val="20"/>
      </w:pPr>
      <w:r>
        <w:t>1、收入说明</w:t>
      </w:r>
    </w:p>
    <w:p>
      <w:pPr>
        <w:pStyle w:val="20"/>
        <w:ind w:firstLineChars="200"/>
        <w:rPr>
          <w:lang w:eastAsia="zh-CN"/>
        </w:rPr>
      </w:pPr>
      <w:r>
        <w:rPr>
          <w:rFonts w:hint="eastAsia"/>
        </w:rPr>
        <w:t>反映本</w:t>
      </w:r>
      <w:r>
        <w:rPr>
          <w:rFonts w:hint="eastAsia"/>
          <w:lang w:eastAsia="zh-CN"/>
        </w:rPr>
        <w:t>单位</w:t>
      </w:r>
      <w:r>
        <w:rPr>
          <w:rFonts w:hint="eastAsia"/>
        </w:rPr>
        <w:t>当年全部收入。</w:t>
      </w:r>
      <w:r>
        <w:t xml:space="preserve">2022 </w:t>
      </w:r>
      <w:r>
        <w:rPr>
          <w:rFonts w:hint="eastAsia"/>
        </w:rPr>
        <w:t>年预算收入</w:t>
      </w:r>
      <w:r>
        <w:rPr>
          <w:rFonts w:hint="eastAsia"/>
          <w:lang w:eastAsia="zh-CN"/>
        </w:rPr>
        <w:t>453.72</w:t>
      </w:r>
      <w:r>
        <w:t xml:space="preserve"> </w:t>
      </w:r>
      <w:r>
        <w:rPr>
          <w:rFonts w:hint="eastAsia"/>
        </w:rPr>
        <w:t>万元，其中：一般公共预算收入</w:t>
      </w:r>
      <w:r>
        <w:t xml:space="preserve"> </w:t>
      </w:r>
      <w:r>
        <w:rPr>
          <w:rFonts w:hint="eastAsia"/>
          <w:lang w:eastAsia="zh-CN"/>
        </w:rPr>
        <w:t>453.72</w:t>
      </w:r>
      <w:r>
        <w:rPr>
          <w:rFonts w:hint="eastAsia"/>
        </w:rPr>
        <w:t>万元，国有资本经营预算收入</w:t>
      </w:r>
      <w:r>
        <w:t xml:space="preserve"> 0 </w:t>
      </w:r>
      <w:r>
        <w:rPr>
          <w:rFonts w:hint="eastAsia"/>
        </w:rPr>
        <w:t>万元，基金预算收入</w:t>
      </w:r>
      <w:r>
        <w:rPr>
          <w:rFonts w:hint="eastAsia"/>
          <w:lang w:eastAsia="zh-CN"/>
        </w:rPr>
        <w:t>0万元，</w:t>
      </w:r>
      <w:r>
        <w:rPr>
          <w:rFonts w:hint="eastAsia"/>
        </w:rPr>
        <w:t>财政专户核拨收入</w:t>
      </w:r>
      <w:r>
        <w:t xml:space="preserve"> 0 </w:t>
      </w:r>
      <w:r>
        <w:rPr>
          <w:rFonts w:hint="eastAsia"/>
        </w:rPr>
        <w:t>万元，上年结转结余</w:t>
      </w:r>
      <w:r>
        <w:t xml:space="preserve"> </w:t>
      </w:r>
      <w:r>
        <w:rPr>
          <w:rFonts w:hint="eastAsia"/>
          <w:lang w:eastAsia="zh-CN"/>
        </w:rPr>
        <w:t>0</w:t>
      </w:r>
      <w:r>
        <w:rPr>
          <w:rFonts w:hint="eastAsia"/>
        </w:rPr>
        <w:t>万元。</w:t>
      </w:r>
    </w:p>
    <w:p>
      <w:pPr>
        <w:pStyle w:val="20"/>
        <w:ind w:firstLineChars="200"/>
        <w:rPr>
          <w:lang w:eastAsia="zh-CN"/>
        </w:rPr>
      </w:pPr>
      <w:r>
        <w:t>2、支出说明</w:t>
      </w:r>
    </w:p>
    <w:p>
      <w:pPr>
        <w:pStyle w:val="20"/>
      </w:pPr>
      <w:r>
        <w:rPr>
          <w:rFonts w:hint="eastAsia"/>
        </w:rPr>
        <w:t>收支预算总表支出栏、基本支出表、项目支出表按经济分类和支出功能分类科目编制，反映</w:t>
      </w:r>
      <w:r>
        <w:rPr>
          <w:rFonts w:hint="eastAsia"/>
          <w:lang w:eastAsia="zh-CN"/>
        </w:rPr>
        <w:t>高阳县政协办公室</w:t>
      </w:r>
      <w:r>
        <w:rPr>
          <w:rFonts w:hint="eastAsia"/>
        </w:rPr>
        <w:t>本级年度</w:t>
      </w:r>
      <w:r>
        <w:rPr>
          <w:rFonts w:hint="eastAsia"/>
          <w:lang w:eastAsia="zh-CN"/>
        </w:rPr>
        <w:t>单位</w:t>
      </w:r>
      <w:r>
        <w:rPr>
          <w:rFonts w:hint="eastAsia"/>
        </w:rPr>
        <w:t>预算中支出预算的总体情况。</w:t>
      </w:r>
      <w:r>
        <w:t xml:space="preserve">2022 </w:t>
      </w:r>
      <w:r>
        <w:rPr>
          <w:rFonts w:hint="eastAsia"/>
        </w:rPr>
        <w:t>年支出预算</w:t>
      </w:r>
      <w:r>
        <w:rPr>
          <w:rFonts w:hint="eastAsia"/>
          <w:lang w:eastAsia="zh-CN"/>
        </w:rPr>
        <w:t>453.72</w:t>
      </w:r>
      <w:r>
        <w:t xml:space="preserve"> </w:t>
      </w:r>
      <w:r>
        <w:rPr>
          <w:rFonts w:hint="eastAsia"/>
        </w:rPr>
        <w:t>万元，其中基本支出</w:t>
      </w:r>
      <w:r>
        <w:t xml:space="preserve"> </w:t>
      </w:r>
      <w:r>
        <w:rPr>
          <w:rFonts w:hint="eastAsia"/>
          <w:lang w:eastAsia="zh-CN"/>
        </w:rPr>
        <w:t>407.72</w:t>
      </w:r>
      <w:r>
        <w:rPr>
          <w:rFonts w:hint="eastAsia"/>
        </w:rPr>
        <w:t>万元，包括人员经费</w:t>
      </w:r>
      <w:r>
        <w:rPr>
          <w:rFonts w:hint="eastAsia"/>
          <w:lang w:eastAsia="zh-CN"/>
        </w:rPr>
        <w:t>311.07</w:t>
      </w:r>
      <w:r>
        <w:rPr>
          <w:rFonts w:hint="eastAsia"/>
        </w:rPr>
        <w:t>万元和日常公用经费</w:t>
      </w:r>
      <w:r>
        <w:t xml:space="preserve"> </w:t>
      </w:r>
      <w:r>
        <w:rPr>
          <w:rFonts w:hint="eastAsia"/>
          <w:lang w:eastAsia="zh-CN"/>
        </w:rPr>
        <w:t>96.65</w:t>
      </w:r>
      <w:r>
        <w:rPr>
          <w:rFonts w:hint="eastAsia"/>
        </w:rPr>
        <w:t>万元；项目支出</w:t>
      </w:r>
      <w:r>
        <w:t xml:space="preserve"> </w:t>
      </w:r>
      <w:r>
        <w:rPr>
          <w:rFonts w:hint="eastAsia"/>
          <w:lang w:eastAsia="zh-CN"/>
        </w:rPr>
        <w:t>46</w:t>
      </w:r>
      <w:r>
        <w:rPr>
          <w:rFonts w:hint="eastAsia"/>
        </w:rPr>
        <w:t>万元</w:t>
      </w:r>
      <w:r>
        <w:rPr>
          <w:rFonts w:hint="eastAsia"/>
          <w:lang w:eastAsia="zh-CN"/>
        </w:rPr>
        <w:t>，其中</w:t>
      </w:r>
      <w:r>
        <w:t>36.00万元用于2022年政协全会筹备和召开等相关工作;10.00万元用于各委员之家活动经费。</w:t>
      </w:r>
    </w:p>
    <w:p>
      <w:pPr>
        <w:pStyle w:val="20"/>
      </w:pPr>
      <w:r>
        <w:t>3、与上年增减情况</w:t>
      </w:r>
    </w:p>
    <w:p>
      <w:pPr>
        <w:pStyle w:val="20"/>
      </w:pPr>
      <w:r>
        <w:rPr>
          <w:rFonts w:hint="eastAsia"/>
          <w:lang w:eastAsia="zh-CN"/>
        </w:rPr>
        <w:t>2022年</w:t>
      </w:r>
      <w:r>
        <w:t>预算收支安排453.72万元，较</w:t>
      </w:r>
      <w:r>
        <w:rPr>
          <w:rFonts w:hint="eastAsia"/>
          <w:lang w:eastAsia="zh-CN"/>
        </w:rPr>
        <w:t>2021</w:t>
      </w:r>
      <w:r>
        <w:t>年</w:t>
      </w:r>
      <w:r>
        <w:rPr>
          <w:rFonts w:hint="eastAsia"/>
          <w:lang w:eastAsia="zh-CN"/>
        </w:rPr>
        <w:t>预算</w:t>
      </w:r>
      <w:r>
        <w:t>增加116.06万元，其中：基本支出增加106.06万元，主要</w:t>
      </w:r>
      <w:r>
        <w:rPr>
          <w:rFonts w:hint="eastAsia"/>
          <w:lang w:eastAsia="zh-CN"/>
        </w:rPr>
        <w:t>为</w:t>
      </w:r>
      <w:r>
        <w:t>增加</w:t>
      </w:r>
      <w:r>
        <w:rPr>
          <w:rFonts w:hint="eastAsia"/>
          <w:lang w:eastAsia="zh-CN"/>
        </w:rPr>
        <w:t>人员经费支出；</w:t>
      </w:r>
      <w:r>
        <w:t>项目支出增加10.00万元，主要</w:t>
      </w:r>
      <w:r>
        <w:rPr>
          <w:rFonts w:hint="eastAsia"/>
          <w:lang w:eastAsia="zh-CN"/>
        </w:rPr>
        <w:t>为增加2022年政协全会经费</w:t>
      </w:r>
      <w:r>
        <w:t>。</w:t>
      </w:r>
    </w:p>
    <w:p>
      <w:pPr>
        <w:pStyle w:val="20"/>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1"/>
        <w:rPr>
          <w:lang w:eastAsia="zh-CN"/>
        </w:rPr>
      </w:pPr>
      <w:r>
        <w:t>我</w:t>
      </w:r>
      <w:r>
        <w:rPr>
          <w:rFonts w:hint="eastAsia"/>
        </w:rPr>
        <w:t>单位</w:t>
      </w:r>
      <w:r>
        <w:t>2022年</w:t>
      </w:r>
      <w:r>
        <w:rPr>
          <w:rFonts w:hint="eastAsia"/>
          <w:lang w:eastAsia="zh-CN"/>
        </w:rPr>
        <w:t>机关</w:t>
      </w:r>
      <w:r>
        <w:rPr>
          <w:rFonts w:hint="eastAsia"/>
        </w:rPr>
        <w:t>运行经费共计安排</w:t>
      </w:r>
      <w:r>
        <w:rPr>
          <w:rFonts w:hint="eastAsia"/>
          <w:lang w:eastAsia="zh-CN"/>
        </w:rPr>
        <w:t>76.41</w:t>
      </w:r>
      <w:r>
        <w:rPr>
          <w:rFonts w:hint="eastAsia"/>
        </w:rPr>
        <w:t>万元，其中：办公费</w:t>
      </w:r>
      <w:r>
        <w:rPr>
          <w:rFonts w:hint="eastAsia"/>
          <w:lang w:eastAsia="zh-CN"/>
        </w:rPr>
        <w:t>22.89</w:t>
      </w:r>
      <w:r>
        <w:rPr>
          <w:rFonts w:hint="eastAsia"/>
        </w:rPr>
        <w:t>万元、邮电费</w:t>
      </w:r>
      <w:r>
        <w:rPr>
          <w:rFonts w:hint="eastAsia"/>
          <w:lang w:eastAsia="zh-CN"/>
        </w:rPr>
        <w:t>12.79</w:t>
      </w:r>
      <w:r>
        <w:rPr>
          <w:rFonts w:hint="eastAsia"/>
        </w:rPr>
        <w:t>万元、工会经费</w:t>
      </w:r>
      <w:r>
        <w:rPr>
          <w:rFonts w:hint="eastAsia"/>
          <w:lang w:eastAsia="zh-CN"/>
        </w:rPr>
        <w:t>4.28</w:t>
      </w:r>
      <w:r>
        <w:rPr>
          <w:rFonts w:hint="eastAsia"/>
        </w:rPr>
        <w:t>万元、福利费</w:t>
      </w:r>
      <w:r>
        <w:rPr>
          <w:rFonts w:hint="eastAsia"/>
          <w:lang w:eastAsia="zh-CN"/>
        </w:rPr>
        <w:t>2.65</w:t>
      </w:r>
      <w:r>
        <w:rPr>
          <w:rFonts w:hint="eastAsia"/>
        </w:rPr>
        <w:t>万元、公务用车运行维护费</w:t>
      </w:r>
      <w:r>
        <w:rPr>
          <w:rFonts w:hint="eastAsia"/>
          <w:lang w:eastAsia="zh-CN"/>
        </w:rPr>
        <w:t>10.35</w:t>
      </w:r>
      <w:r>
        <w:rPr>
          <w:rFonts w:hint="eastAsia"/>
        </w:rPr>
        <w:t>万元、其他交通费</w:t>
      </w:r>
      <w:r>
        <w:rPr>
          <w:rFonts w:hint="eastAsia"/>
          <w:lang w:eastAsia="zh-CN"/>
        </w:rPr>
        <w:t>23.45</w:t>
      </w:r>
      <w:r>
        <w:rPr>
          <w:rFonts w:hint="eastAsia"/>
        </w:rPr>
        <w:t>万元</w:t>
      </w:r>
      <w:r>
        <w:rPr>
          <w:rFonts w:hint="eastAsia"/>
          <w:lang w:eastAsia="zh-CN"/>
        </w:rPr>
        <w:t>。</w:t>
      </w:r>
    </w:p>
    <w:p>
      <w:pPr>
        <w:pStyle w:val="21"/>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我</w:t>
      </w:r>
      <w:r>
        <w:rPr>
          <w:rFonts w:hint="eastAsia"/>
        </w:rPr>
        <w:t>单位</w:t>
      </w:r>
      <w:r>
        <w:t>2022年</w:t>
      </w:r>
      <w:r>
        <w:rPr>
          <w:rFonts w:hint="eastAsia"/>
          <w:lang w:eastAsia="zh-CN"/>
        </w:rPr>
        <w:t>“三公”</w:t>
      </w:r>
      <w:r>
        <w:t>经费预算安排19.35万元。其中，因公出国</w:t>
      </w:r>
      <w:r>
        <w:rPr>
          <w:rFonts w:hint="eastAsia"/>
          <w:lang w:eastAsia="zh-CN"/>
        </w:rPr>
        <w:t>（境）</w:t>
      </w:r>
      <w:r>
        <w:t>0万元，</w:t>
      </w:r>
      <w:r>
        <w:rPr>
          <w:rFonts w:hint="eastAsia"/>
          <w:lang w:eastAsia="zh-CN"/>
        </w:rPr>
        <w:t>较去年0万元无变化，</w:t>
      </w:r>
      <w:r>
        <w:t>公务用车</w:t>
      </w:r>
      <w:r>
        <w:rPr>
          <w:rFonts w:hint="eastAsia"/>
          <w:lang w:eastAsia="zh-CN"/>
        </w:rPr>
        <w:t>购置及运维</w:t>
      </w:r>
      <w:r>
        <w:t>费10.35万元</w:t>
      </w:r>
      <w:r>
        <w:rPr>
          <w:rFonts w:hint="eastAsia"/>
          <w:lang w:eastAsia="zh-CN"/>
        </w:rPr>
        <w:t>（其中：公务用车购置费为0万元，</w:t>
      </w:r>
      <w:r>
        <w:rPr>
          <w:rFonts w:hint="eastAsia"/>
        </w:rPr>
        <w:t>公务用车运行维护费</w:t>
      </w:r>
      <w:r>
        <w:rPr>
          <w:rFonts w:hint="eastAsia"/>
          <w:lang w:eastAsia="zh-CN"/>
        </w:rPr>
        <w:t>10.35</w:t>
      </w:r>
      <w:r>
        <w:rPr>
          <w:rFonts w:hint="eastAsia"/>
        </w:rPr>
        <w:t>万元</w:t>
      </w:r>
      <w:r>
        <w:rPr>
          <w:rFonts w:hint="eastAsia"/>
          <w:lang w:eastAsia="zh-CN"/>
        </w:rPr>
        <w:t>）</w:t>
      </w:r>
      <w:r>
        <w:t>，较去年11.50万元减少1.15万元，公务招待费9.00万元，较去年10.00万元减少1.00万元。原因是厉行节约，逐年减少</w:t>
      </w:r>
      <w:r>
        <w:rPr>
          <w:rFonts w:hint="eastAsia"/>
          <w:lang w:eastAsia="zh-CN"/>
        </w:rPr>
        <w:t>“三公”</w:t>
      </w:r>
      <w:r>
        <w:t>经费支出。</w:t>
      </w:r>
    </w:p>
    <w:p>
      <w:pPr>
        <w:pStyle w:val="22"/>
      </w:pP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 xml:space="preserve">第一部分 </w:t>
      </w:r>
      <w:r>
        <w:rPr>
          <w:rFonts w:hint="eastAsia" w:ascii="方正楷体_GBK" w:hAnsi="方正楷体_GBK" w:eastAsia="宋体"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line="500" w:lineRule="exact"/>
        <w:ind w:firstLine="560"/>
        <w:rPr>
          <w:b/>
        </w:rPr>
      </w:pPr>
      <w:r>
        <w:rPr>
          <w:rFonts w:eastAsia="方正仿宋_GBK"/>
          <w:b/>
          <w:color w:val="000000"/>
          <w:sz w:val="28"/>
        </w:rPr>
        <w:t>（一）总体绩效目标</w:t>
      </w:r>
    </w:p>
    <w:p>
      <w:pPr>
        <w:pStyle w:val="23"/>
      </w:pPr>
      <w:r>
        <w:t>深入学习贯彻习近平总书记关于加强和改进人民政协工作的重要思想，引导广大政协委员有效开展政治协商、民主监督、参政议政，更好凝聚共识发挥积极作用。要加强委员学习，提高政治素质、业务素质，为推动高阳经济社会高质量发展贡献政协的智慧和力量。一是强化理论武装，把握正确政治方向。二是扎实履职尽责，提升工作标准和质量。三是紧扣民生热点，做好监督建言工作。四是当好桥梁和纽带，凝聚发展合力。五是加强队伍建设，不断提高凝聚力和战斗力。</w:t>
      </w:r>
    </w:p>
    <w:p>
      <w:pPr>
        <w:pStyle w:val="23"/>
      </w:pPr>
    </w:p>
    <w:p>
      <w:pPr>
        <w:spacing w:line="500" w:lineRule="exact"/>
        <w:ind w:firstLine="560"/>
        <w:rPr>
          <w:b/>
        </w:rPr>
      </w:pPr>
      <w:r>
        <w:rPr>
          <w:rFonts w:eastAsia="方正仿宋_GBK"/>
          <w:b/>
          <w:color w:val="000000"/>
          <w:sz w:val="28"/>
        </w:rPr>
        <w:t>（二）分项绩效目标</w:t>
      </w:r>
    </w:p>
    <w:p>
      <w:pPr>
        <w:pStyle w:val="24"/>
      </w:pPr>
      <w:r>
        <w:rPr>
          <w:b/>
        </w:rPr>
        <w:t>一</w:t>
      </w:r>
      <w:r>
        <w:rPr>
          <w:rFonts w:hint="eastAsia"/>
          <w:b/>
          <w:lang w:eastAsia="zh-CN"/>
        </w:rPr>
        <w:t>、</w:t>
      </w:r>
      <w:r>
        <w:t>政治协商：就我县经济、文化、社会中的重要问题在决策之前进行协商和就决策执行过程中的重要问题进行协商</w:t>
      </w:r>
    </w:p>
    <w:p>
      <w:pPr>
        <w:pStyle w:val="24"/>
      </w:pPr>
      <w:r>
        <w:t>绩效目标：完善各项会议制度，规范会议程序，提高会议质量，提高政治协商水平。</w:t>
      </w:r>
    </w:p>
    <w:p>
      <w:pPr>
        <w:pStyle w:val="24"/>
      </w:pPr>
      <w:r>
        <w:t>绩效指标：1.每年召开1次全会，会议筹备及会务工作的完成率100%。2.每年召开4次</w:t>
      </w:r>
      <w:r>
        <w:rPr>
          <w:rFonts w:hint="eastAsia"/>
          <w:lang w:eastAsia="zh-CN"/>
        </w:rPr>
        <w:t>常委会会议</w:t>
      </w:r>
      <w:r>
        <w:t>，会议筹备及会务工作的完成率100%。3.根据工作进展情况，每月党组会议至少召开1次。</w:t>
      </w:r>
    </w:p>
    <w:p>
      <w:pPr>
        <w:pStyle w:val="24"/>
      </w:pPr>
      <w:r>
        <w:rPr>
          <w:b/>
        </w:rPr>
        <w:t>二</w:t>
      </w:r>
      <w:r>
        <w:rPr>
          <w:rFonts w:hint="eastAsia"/>
          <w:b/>
          <w:lang w:eastAsia="zh-CN"/>
        </w:rPr>
        <w:t>、</w:t>
      </w:r>
      <w:r>
        <w:t>民主监督：有效履行民主监督职责，发挥好协调关系、汇聚力量、建言献策、服务大局的作用。</w:t>
      </w:r>
    </w:p>
    <w:p>
      <w:pPr>
        <w:pStyle w:val="24"/>
      </w:pPr>
      <w:r>
        <w:t>绩效目标：完善民主监督机制，将民主监督寓于委员提案、进行视察、参与工作检查等活动中，提高民主监督质量和成效。</w:t>
      </w:r>
    </w:p>
    <w:p>
      <w:pPr>
        <w:pStyle w:val="24"/>
      </w:pPr>
      <w:r>
        <w:t>绩效指标：1.围绕县委、</w:t>
      </w:r>
      <w:r>
        <w:rPr>
          <w:rFonts w:hint="eastAsia"/>
          <w:lang w:eastAsia="zh-CN"/>
        </w:rPr>
        <w:t>县</w:t>
      </w:r>
      <w:r>
        <w:t>政府中心工作，每年至少召开2次议政性常委会。2.提案工作每年办结率95%以上，满意率95%以上。3.围绕县委、</w:t>
      </w:r>
      <w:r>
        <w:rPr>
          <w:rFonts w:hint="eastAsia"/>
          <w:lang w:eastAsia="zh-CN"/>
        </w:rPr>
        <w:t>县</w:t>
      </w:r>
      <w:r>
        <w:t>政府中心工作，进行两次以上专题视察活动。</w:t>
      </w:r>
    </w:p>
    <w:p>
      <w:pPr>
        <w:pStyle w:val="24"/>
      </w:pPr>
      <w:r>
        <w:rPr>
          <w:b/>
        </w:rPr>
        <w:t>三</w:t>
      </w:r>
      <w:r>
        <w:rPr>
          <w:rFonts w:hint="eastAsia"/>
          <w:b/>
          <w:lang w:eastAsia="zh-CN"/>
        </w:rPr>
        <w:t>、</w:t>
      </w:r>
      <w:r>
        <w:t>参政议政：通过开展调查研究，进行协商讨论，以调研报告、建议案或其他形式，向县委、县政府提出意见和建议。</w:t>
      </w:r>
    </w:p>
    <w:p>
      <w:pPr>
        <w:pStyle w:val="24"/>
      </w:pPr>
      <w:r>
        <w:t>绩效目标：发挥政协作为扩大社会各界有序参与的重要渠道作用，委员参政议政积极，向县委、县政府提出高质量的建议案。</w:t>
      </w:r>
    </w:p>
    <w:p>
      <w:pPr>
        <w:pStyle w:val="24"/>
      </w:pPr>
      <w:r>
        <w:t>绩效指标：1.每年每个专委会专题调研不少于一项。2.及时反映民情民意，每个专委会不少于1条。3.每年向县委、</w:t>
      </w:r>
      <w:r>
        <w:rPr>
          <w:rFonts w:hint="eastAsia"/>
          <w:lang w:eastAsia="zh-CN"/>
        </w:rPr>
        <w:t>县</w:t>
      </w:r>
      <w:r>
        <w:t>政府提出建议案2件以上。</w:t>
      </w:r>
    </w:p>
    <w:p>
      <w:pPr>
        <w:pStyle w:val="24"/>
      </w:pPr>
      <w:r>
        <w:rPr>
          <w:b/>
        </w:rPr>
        <w:t>四</w:t>
      </w:r>
      <w:r>
        <w:rPr>
          <w:rFonts w:hint="eastAsia"/>
          <w:b/>
          <w:lang w:eastAsia="zh-CN"/>
        </w:rPr>
        <w:t>、</w:t>
      </w:r>
      <w:r>
        <w:t>政协事务管理：负责机关，机构编制、人事任免、人员培训、考核奖惩、工资福利，后勤保障、经费资产管理、接待、离退休人员服务，承办政协主席、副主席、秘书长交办的其他事项。</w:t>
      </w:r>
    </w:p>
    <w:p>
      <w:pPr>
        <w:pStyle w:val="24"/>
      </w:pPr>
      <w:r>
        <w:t>绩效目标：机关自身建设、服务保障能力进一步提升。</w:t>
      </w:r>
    </w:p>
    <w:p>
      <w:pPr>
        <w:pStyle w:val="24"/>
      </w:pPr>
      <w:r>
        <w:t>绩效指标：1.严格落实工作制度，机关综合保障率100%。2.强化人员管理，无违纪问题发生。3.强化宣传工作，年度编发信息20条以上。3.强化财经纪律，不发生任何财务违纪问题。</w:t>
      </w:r>
    </w:p>
    <w:p>
      <w:pPr>
        <w:pStyle w:val="24"/>
      </w:pPr>
    </w:p>
    <w:p>
      <w:pPr>
        <w:spacing w:line="500" w:lineRule="exact"/>
        <w:ind w:firstLine="560"/>
        <w:rPr>
          <w:b/>
        </w:rPr>
      </w:pPr>
      <w:r>
        <w:rPr>
          <w:rFonts w:eastAsia="方正仿宋_GBK"/>
          <w:b/>
          <w:color w:val="000000"/>
          <w:sz w:val="28"/>
        </w:rPr>
        <w:t>（三）工作保障措施</w:t>
      </w:r>
    </w:p>
    <w:p>
      <w:pPr>
        <w:pStyle w:val="25"/>
      </w:pPr>
      <w:r>
        <w:rPr>
          <w:b/>
        </w:rPr>
        <w:t>一</w:t>
      </w:r>
      <w:r>
        <w:rPr>
          <w:rFonts w:hint="eastAsia"/>
          <w:b/>
          <w:lang w:eastAsia="zh-CN"/>
        </w:rPr>
        <w:t>、</w:t>
      </w:r>
      <w:r>
        <w:t>完善制度建设。制定完善预算绩效管理制度、资金管理办法、工作保障制度等，为全年预算绩效目标的实现奠定制度基础。</w:t>
      </w:r>
    </w:p>
    <w:p>
      <w:pPr>
        <w:pStyle w:val="25"/>
      </w:pPr>
      <w:r>
        <w:rPr>
          <w:b/>
        </w:rPr>
        <w:t>二</w:t>
      </w:r>
      <w:r>
        <w:rPr>
          <w:rFonts w:hint="eastAsia"/>
          <w:b/>
          <w:lang w:eastAsia="zh-CN"/>
        </w:rPr>
        <w:t>、</w:t>
      </w:r>
      <w:r>
        <w:t>加强支出管理。通过优化支出结构、编细编实预算、尽快启动项目、及时支付资金、等多种措施，确保支出进度达标。</w:t>
      </w:r>
    </w:p>
    <w:p>
      <w:pPr>
        <w:pStyle w:val="25"/>
      </w:pPr>
      <w:r>
        <w:rPr>
          <w:b/>
        </w:rPr>
        <w:t>三</w:t>
      </w:r>
      <w:r>
        <w:rPr>
          <w:rFonts w:hint="eastAsia"/>
          <w:b/>
          <w:lang w:eastAsia="zh-CN"/>
        </w:rPr>
        <w:t>、</w:t>
      </w:r>
      <w:r>
        <w:t>加强绩效运行监控。按要求开展绩效运行监控，发现问题及时采取措施，确保绩效目标如期保质实现。</w:t>
      </w:r>
    </w:p>
    <w:p>
      <w:pPr>
        <w:pStyle w:val="25"/>
      </w:pPr>
      <w:r>
        <w:rPr>
          <w:b/>
        </w:rPr>
        <w:t>四</w:t>
      </w:r>
      <w:r>
        <w:rPr>
          <w:rFonts w:hint="eastAsia"/>
          <w:b/>
          <w:lang w:eastAsia="zh-CN"/>
        </w:rPr>
        <w:t>、</w:t>
      </w:r>
      <w:r>
        <w:t>做好绩效自评。按要求开展上年度</w:t>
      </w:r>
      <w:r>
        <w:rPr>
          <w:rFonts w:hint="eastAsia"/>
        </w:rPr>
        <w:t>单位</w:t>
      </w:r>
      <w:r>
        <w:t>预算绩效自评和重点评价工作，对评价中发现的问题及时整改，调整优化支出结构，提高财政资金使用效益。</w:t>
      </w:r>
    </w:p>
    <w:p>
      <w:pPr>
        <w:pStyle w:val="25"/>
      </w:pPr>
      <w:r>
        <w:rPr>
          <w:b/>
        </w:rPr>
        <w:t>五</w:t>
      </w:r>
      <w:r>
        <w:rPr>
          <w:rFonts w:hint="eastAsia"/>
          <w:b/>
          <w:lang w:eastAsia="zh-CN"/>
        </w:rPr>
        <w:t>、</w:t>
      </w:r>
      <w:r>
        <w:t>规范财务资产管理。完善财务管理制度，严格审批程序，加强固定资产登记、使用和报废处置管理，做到支出合理，物尽其用。</w:t>
      </w:r>
    </w:p>
    <w:p>
      <w:pPr>
        <w:pStyle w:val="25"/>
      </w:pPr>
      <w:r>
        <w:rPr>
          <w:b/>
        </w:rPr>
        <w:t>六</w:t>
      </w:r>
      <w:r>
        <w:rPr>
          <w:rFonts w:hint="eastAsia"/>
          <w:b/>
          <w:lang w:eastAsia="zh-CN"/>
        </w:rPr>
        <w:t>、</w:t>
      </w:r>
      <w:r>
        <w:t>加强内部监督。加强内部监督制度建设，对绩效运行情况、资产处置及其他重要经济业务事项的决策和执行进行督导，对会计资料进行内部审计，并配合做好审计、财政监督等外部监督工作，确保财政资金安全有效。</w:t>
      </w:r>
    </w:p>
    <w:p>
      <w:pPr>
        <w:pStyle w:val="25"/>
      </w:pPr>
      <w:r>
        <w:rPr>
          <w:b/>
        </w:rPr>
        <w:t>七</w:t>
      </w:r>
      <w:r>
        <w:rPr>
          <w:rFonts w:hint="eastAsia"/>
          <w:b/>
          <w:lang w:eastAsia="zh-CN"/>
        </w:rPr>
        <w:t>、</w:t>
      </w:r>
      <w:r>
        <w:t>加强宣传培训调研等。加强人员培训，提高本</w:t>
      </w:r>
      <w:r>
        <w:rPr>
          <w:rFonts w:hint="eastAsia"/>
        </w:rPr>
        <w:t>单位</w:t>
      </w:r>
      <w:r>
        <w:t>职工业务素质；加强调研，提出优化财政资金配置、提高资金使用效益的</w:t>
      </w:r>
      <w:r>
        <w:rPr>
          <w:rFonts w:hint="eastAsia"/>
          <w:lang w:eastAsia="zh-CN"/>
        </w:rPr>
        <w:t>意见</w:t>
      </w:r>
      <w:r>
        <w:t>；加大宣传力度，强化预算绩效管理意识，促进预算绩效管理水平进一步提升。</w:t>
      </w:r>
    </w:p>
    <w:p>
      <w:pPr>
        <w:pStyle w:val="25"/>
      </w:pPr>
    </w:p>
    <w:p>
      <w:pPr>
        <w:ind w:firstLine="640"/>
        <w:rPr>
          <w:rFonts w:ascii="Calibri" w:hAnsi="Calibri" w:eastAsia="方正楷体_GBK" w:cs="方正楷体_GBK"/>
          <w:b/>
          <w:color w:val="000000"/>
          <w:sz w:val="32"/>
          <w:lang/>
        </w:rPr>
      </w:pPr>
      <w:r>
        <w:rPr>
          <w:rFonts w:ascii="方正楷体_GBK" w:hAnsi="方正楷体_GBK" w:eastAsia="方正楷体_GBK" w:cs="方正楷体_GBK"/>
          <w:b/>
          <w:color w:val="000000"/>
          <w:sz w:val="32"/>
        </w:rPr>
        <w:t>第二部分  专项资金绩效目标</w:t>
      </w:r>
    </w:p>
    <w:p>
      <w:pPr>
        <w:ind w:firstLine="640"/>
        <w:rPr>
          <w:rFonts w:ascii="Calibri" w:hAnsi="Calibri" w:eastAsia="方正楷体_GBK" w:cs="方正楷体_GBK"/>
          <w:b/>
          <w:color w:val="000000"/>
          <w:sz w:val="32"/>
          <w:lang/>
        </w:rPr>
      </w:pPr>
    </w:p>
    <w:p>
      <w:pPr>
        <w:ind w:firstLine="640"/>
        <w:rPr>
          <w:rFonts w:eastAsia="方正仿宋_GBK"/>
          <w:sz w:val="28"/>
          <w:lang w:eastAsia="zh-CN"/>
        </w:rPr>
        <w:sectPr>
          <w:pgSz w:w="16840" w:h="11900" w:orient="landscape"/>
          <w:pgMar w:top="1361" w:right="1020" w:bottom="1361" w:left="1020" w:header="720" w:footer="720" w:gutter="0"/>
          <w:cols w:space="720" w:num="1"/>
        </w:sectPr>
      </w:pPr>
      <w:r>
        <w:rPr>
          <w:rFonts w:eastAsia="方正仿宋_GBK"/>
          <w:sz w:val="28"/>
        </w:rPr>
        <w:t>我单位</w:t>
      </w:r>
      <w:r>
        <w:rPr>
          <w:rFonts w:hint="eastAsia" w:eastAsia="方正仿宋_GBK"/>
          <w:sz w:val="28"/>
        </w:rPr>
        <w:t>2022</w:t>
      </w:r>
      <w:r>
        <w:rPr>
          <w:rFonts w:eastAsia="方正仿宋_GBK"/>
          <w:sz w:val="28"/>
        </w:rPr>
        <w:t>年度无专项资金预算</w:t>
      </w:r>
      <w:r>
        <w:rPr>
          <w:rFonts w:hint="eastAsia" w:eastAsia="方正仿宋_GBK"/>
          <w:sz w:val="28"/>
          <w:lang w:eastAsia="zh-CN"/>
        </w:rPr>
        <w:t>。</w:t>
      </w:r>
    </w:p>
    <w:p>
      <w:pPr>
        <w:ind w:firstLine="640"/>
        <w:rPr>
          <w:rFonts w:ascii="Calibri" w:hAnsi="Calibri"/>
          <w:lang/>
        </w:r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1、高阳县2022年政协全会绩效目标表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1.2021年12月完成会前视察1次；</w:t>
            </w:r>
          </w:p>
          <w:p>
            <w:pPr>
              <w:pStyle w:val="14"/>
            </w:pPr>
            <w:r>
              <w:t>2.2022年初完成会议资料的起草、校对、印刷；</w:t>
            </w:r>
          </w:p>
          <w:p>
            <w:pPr>
              <w:pStyle w:val="14"/>
            </w:pPr>
            <w:r>
              <w:t>3.2022年1月下发通知，召开</w:t>
            </w:r>
            <w:r>
              <w:rPr>
                <w:rFonts w:hint="eastAsia"/>
                <w:lang w:eastAsia="zh-CN"/>
              </w:rPr>
              <w:t>常委会会议</w:t>
            </w:r>
            <w:r>
              <w:t>1次，布置会场，做好会前各项准备工作；</w:t>
            </w:r>
          </w:p>
          <w:p>
            <w:pPr>
              <w:pStyle w:val="14"/>
            </w:pPr>
            <w:r>
              <w:t>4.1月下旬召开会议，圆满完成会议各项议题。</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完成次数</w:t>
            </w:r>
          </w:p>
        </w:tc>
        <w:tc>
          <w:tcPr>
            <w:tcW w:w="2835" w:type="dxa"/>
            <w:vAlign w:val="center"/>
          </w:tcPr>
          <w:p>
            <w:pPr>
              <w:pStyle w:val="14"/>
            </w:pPr>
            <w:r>
              <w:t>完成会前视察次数、提出意见和建议</w:t>
            </w:r>
          </w:p>
        </w:tc>
        <w:tc>
          <w:tcPr>
            <w:tcW w:w="2551" w:type="dxa"/>
            <w:vAlign w:val="center"/>
          </w:tcPr>
          <w:p>
            <w:pPr>
              <w:pStyle w:val="14"/>
            </w:pPr>
            <w:r>
              <w:t>≥11次、条</w:t>
            </w:r>
          </w:p>
        </w:tc>
        <w:tc>
          <w:tcPr>
            <w:tcW w:w="2268" w:type="dxa"/>
            <w:vAlign w:val="center"/>
          </w:tcPr>
          <w:p>
            <w:pPr>
              <w:pStyle w:val="14"/>
            </w:pPr>
            <w:r>
              <w:t>《政协章程》相关规定</w:t>
            </w:r>
          </w:p>
        </w:tc>
      </w:tr>
      <w:tr>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参会率</w:t>
            </w:r>
          </w:p>
        </w:tc>
        <w:tc>
          <w:tcPr>
            <w:tcW w:w="2835" w:type="dxa"/>
            <w:vAlign w:val="center"/>
          </w:tcPr>
          <w:p>
            <w:pPr>
              <w:pStyle w:val="14"/>
            </w:pPr>
            <w:r>
              <w:t>实际参会所占委员人数的比例</w:t>
            </w:r>
          </w:p>
        </w:tc>
        <w:tc>
          <w:tcPr>
            <w:tcW w:w="2551" w:type="dxa"/>
            <w:vAlign w:val="center"/>
          </w:tcPr>
          <w:p>
            <w:pPr>
              <w:pStyle w:val="14"/>
            </w:pPr>
            <w:r>
              <w:t>≥95人</w:t>
            </w:r>
          </w:p>
        </w:tc>
        <w:tc>
          <w:tcPr>
            <w:tcW w:w="2268" w:type="dxa"/>
            <w:vAlign w:val="center"/>
          </w:tcPr>
          <w:p>
            <w:pPr>
              <w:pStyle w:val="14"/>
            </w:pPr>
            <w:r>
              <w:t>《政协章程》相关规定</w:t>
            </w:r>
          </w:p>
        </w:tc>
      </w:tr>
      <w:tr>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召开会议的及时性</w:t>
            </w:r>
          </w:p>
        </w:tc>
        <w:tc>
          <w:tcPr>
            <w:tcW w:w="2835" w:type="dxa"/>
            <w:vAlign w:val="center"/>
          </w:tcPr>
          <w:p>
            <w:pPr>
              <w:pStyle w:val="14"/>
            </w:pPr>
            <w:r>
              <w:t>按时召开会议</w:t>
            </w:r>
          </w:p>
        </w:tc>
        <w:tc>
          <w:tcPr>
            <w:tcW w:w="2551" w:type="dxa"/>
            <w:vAlign w:val="center"/>
          </w:tcPr>
          <w:p>
            <w:pPr>
              <w:pStyle w:val="14"/>
            </w:pPr>
            <w:r>
              <w:t>时</w:t>
            </w:r>
          </w:p>
        </w:tc>
        <w:tc>
          <w:tcPr>
            <w:tcW w:w="2268" w:type="dxa"/>
            <w:vAlign w:val="center"/>
          </w:tcPr>
          <w:p>
            <w:pPr>
              <w:pStyle w:val="14"/>
            </w:pPr>
            <w:r>
              <w:t>年度工作计划</w:t>
            </w:r>
          </w:p>
        </w:tc>
      </w:tr>
      <w:tr>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≤100百分比</w:t>
            </w:r>
          </w:p>
        </w:tc>
        <w:tc>
          <w:tcPr>
            <w:tcW w:w="2268" w:type="dxa"/>
            <w:vAlign w:val="center"/>
          </w:tcPr>
          <w:p>
            <w:pPr>
              <w:pStyle w:val="14"/>
            </w:pPr>
            <w:r>
              <w:t>《政协章程》相关规定，并参照2021年全会经费标准</w:t>
            </w:r>
          </w:p>
        </w:tc>
      </w:tr>
      <w:tr>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2835" w:type="dxa"/>
            <w:vAlign w:val="center"/>
          </w:tcPr>
          <w:p>
            <w:pPr>
              <w:pStyle w:val="14"/>
            </w:pPr>
            <w:r>
              <w:t>反应办公任务是否正常持续开展</w:t>
            </w:r>
          </w:p>
        </w:tc>
        <w:tc>
          <w:tcPr>
            <w:tcW w:w="2551" w:type="dxa"/>
            <w:vAlign w:val="center"/>
          </w:tcPr>
          <w:p>
            <w:pPr>
              <w:pStyle w:val="14"/>
            </w:pPr>
            <w:r>
              <w:t>100百分比</w:t>
            </w:r>
          </w:p>
        </w:tc>
        <w:tc>
          <w:tcPr>
            <w:tcW w:w="2268" w:type="dxa"/>
            <w:vAlign w:val="center"/>
          </w:tcPr>
          <w:p>
            <w:pPr>
              <w:pStyle w:val="14"/>
            </w:pPr>
            <w:r>
              <w:t>年度工作计划</w:t>
            </w:r>
          </w:p>
        </w:tc>
      </w:tr>
      <w:tr>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2835" w:type="dxa"/>
            <w:vAlign w:val="center"/>
          </w:tcPr>
          <w:p>
            <w:pPr>
              <w:pStyle w:val="14"/>
            </w:pPr>
            <w:r>
              <w:t>委员对会务工作及会议召开满意率</w:t>
            </w:r>
          </w:p>
        </w:tc>
        <w:tc>
          <w:tcPr>
            <w:tcW w:w="2551" w:type="dxa"/>
            <w:vAlign w:val="center"/>
          </w:tcPr>
          <w:p>
            <w:pPr>
              <w:pStyle w:val="14"/>
            </w:pPr>
            <w:r>
              <w:t>≥90百分比</w:t>
            </w:r>
          </w:p>
        </w:tc>
        <w:tc>
          <w:tcPr>
            <w:tcW w:w="2268"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2、高阳县政协委员之家活动经费绩效目标表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1.完善13个委员之家建设，达到硬件齐全，软件完备。</w:t>
            </w:r>
          </w:p>
          <w:p>
            <w:pPr>
              <w:pStyle w:val="14"/>
            </w:pPr>
            <w:r>
              <w:t>2.组织委员开展学习、调研、视察等活动，提出意见和建议，为高阳经济社会发展</w:t>
            </w:r>
            <w:r>
              <w:rPr>
                <w:rFonts w:hint="eastAsia"/>
                <w:lang w:eastAsia="zh-CN"/>
              </w:rPr>
              <w:t>作出贡献</w:t>
            </w:r>
            <w:r>
              <w:t>。</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完成次数</w:t>
            </w:r>
          </w:p>
        </w:tc>
        <w:tc>
          <w:tcPr>
            <w:tcW w:w="2835" w:type="dxa"/>
            <w:vAlign w:val="center"/>
          </w:tcPr>
          <w:p>
            <w:pPr>
              <w:pStyle w:val="14"/>
            </w:pPr>
            <w:r>
              <w:t>组织委员学习、培训，开展调研、视察等活动次数</w:t>
            </w:r>
          </w:p>
        </w:tc>
        <w:tc>
          <w:tcPr>
            <w:tcW w:w="2551" w:type="dxa"/>
            <w:vAlign w:val="center"/>
          </w:tcPr>
          <w:p>
            <w:pPr>
              <w:pStyle w:val="14"/>
            </w:pPr>
            <w:r>
              <w:t>≥16委员活动次数</w:t>
            </w:r>
          </w:p>
        </w:tc>
        <w:tc>
          <w:tcPr>
            <w:tcW w:w="2268" w:type="dxa"/>
            <w:vAlign w:val="center"/>
          </w:tcPr>
          <w:p>
            <w:pPr>
              <w:pStyle w:val="14"/>
            </w:pPr>
            <w:r>
              <w:t>《政协章程》相关规定</w:t>
            </w:r>
          </w:p>
        </w:tc>
      </w:tr>
      <w:tr>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出勤率</w:t>
            </w:r>
          </w:p>
        </w:tc>
        <w:tc>
          <w:tcPr>
            <w:tcW w:w="2835" w:type="dxa"/>
            <w:vAlign w:val="center"/>
          </w:tcPr>
          <w:p>
            <w:pPr>
              <w:pStyle w:val="14"/>
            </w:pPr>
            <w:r>
              <w:t>各项活动实际参加人数占应参加人数的比例</w:t>
            </w:r>
          </w:p>
        </w:tc>
        <w:tc>
          <w:tcPr>
            <w:tcW w:w="2551" w:type="dxa"/>
            <w:vAlign w:val="center"/>
          </w:tcPr>
          <w:p>
            <w:pPr>
              <w:pStyle w:val="14"/>
            </w:pPr>
            <w:r>
              <w:t>≥90委员参加人数比例</w:t>
            </w:r>
          </w:p>
        </w:tc>
        <w:tc>
          <w:tcPr>
            <w:tcW w:w="2268" w:type="dxa"/>
            <w:vAlign w:val="center"/>
          </w:tcPr>
          <w:p>
            <w:pPr>
              <w:pStyle w:val="14"/>
            </w:pPr>
            <w:r>
              <w:t>《政协章程》相关规定及上级政协要求</w:t>
            </w:r>
          </w:p>
        </w:tc>
      </w:tr>
      <w:tr>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组织活动的及时性</w:t>
            </w:r>
          </w:p>
        </w:tc>
        <w:tc>
          <w:tcPr>
            <w:tcW w:w="2835" w:type="dxa"/>
            <w:vAlign w:val="center"/>
          </w:tcPr>
          <w:p>
            <w:pPr>
              <w:pStyle w:val="14"/>
            </w:pPr>
            <w:r>
              <w:t>组织委员参加活动的及时性</w:t>
            </w:r>
          </w:p>
        </w:tc>
        <w:tc>
          <w:tcPr>
            <w:tcW w:w="2551" w:type="dxa"/>
            <w:vAlign w:val="center"/>
          </w:tcPr>
          <w:p>
            <w:pPr>
              <w:pStyle w:val="14"/>
            </w:pPr>
            <w:r>
              <w:t>≥90组织活动的及时性</w:t>
            </w:r>
          </w:p>
        </w:tc>
        <w:tc>
          <w:tcPr>
            <w:tcW w:w="2268" w:type="dxa"/>
            <w:vAlign w:val="center"/>
          </w:tcPr>
          <w:p>
            <w:pPr>
              <w:pStyle w:val="14"/>
            </w:pPr>
            <w:r>
              <w:t>年度工作计划</w:t>
            </w:r>
          </w:p>
        </w:tc>
      </w:tr>
      <w:tr>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≤100实际支出金额</w:t>
            </w:r>
          </w:p>
        </w:tc>
        <w:tc>
          <w:tcPr>
            <w:tcW w:w="2268" w:type="dxa"/>
            <w:vAlign w:val="center"/>
          </w:tcPr>
          <w:p>
            <w:pPr>
              <w:pStyle w:val="14"/>
            </w:pPr>
            <w:r>
              <w:t>《政协章程》相关规定，参照项目经费标准</w:t>
            </w:r>
          </w:p>
        </w:tc>
      </w:tr>
      <w:tr>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2835" w:type="dxa"/>
            <w:vAlign w:val="center"/>
          </w:tcPr>
          <w:p>
            <w:pPr>
              <w:pStyle w:val="14"/>
            </w:pPr>
            <w:r>
              <w:t>反应办公任务是否正常持续开展</w:t>
            </w:r>
          </w:p>
        </w:tc>
        <w:tc>
          <w:tcPr>
            <w:tcW w:w="2551" w:type="dxa"/>
            <w:vAlign w:val="center"/>
          </w:tcPr>
          <w:p>
            <w:pPr>
              <w:pStyle w:val="14"/>
            </w:pPr>
            <w:r>
              <w:t>100活动持续开展</w:t>
            </w:r>
          </w:p>
        </w:tc>
        <w:tc>
          <w:tcPr>
            <w:tcW w:w="2268" w:type="dxa"/>
            <w:vAlign w:val="center"/>
          </w:tcPr>
          <w:p>
            <w:pPr>
              <w:pStyle w:val="14"/>
            </w:pPr>
            <w:r>
              <w:t>《政协章程》相关规定</w:t>
            </w:r>
          </w:p>
        </w:tc>
      </w:tr>
      <w:tr>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2835" w:type="dxa"/>
            <w:vAlign w:val="center"/>
          </w:tcPr>
          <w:p>
            <w:pPr>
              <w:pStyle w:val="14"/>
            </w:pPr>
            <w:r>
              <w:t>委员和人民群众对委员工作的满意率</w:t>
            </w:r>
          </w:p>
        </w:tc>
        <w:tc>
          <w:tcPr>
            <w:tcW w:w="2551" w:type="dxa"/>
            <w:vAlign w:val="center"/>
          </w:tcPr>
          <w:p>
            <w:pPr>
              <w:pStyle w:val="14"/>
            </w:pPr>
            <w:r>
              <w:t>≥90服务对象的满意率</w:t>
            </w:r>
          </w:p>
        </w:tc>
        <w:tc>
          <w:tcPr>
            <w:tcW w:w="2268" w:type="dxa"/>
            <w:vAlign w:val="center"/>
          </w:tcPr>
          <w:p>
            <w:pPr>
              <w:pStyle w:val="14"/>
            </w:pPr>
            <w:r>
              <w:t>政协常委会相关规定和社会各界测评</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2022年，高阳县政协办公室</w:t>
      </w:r>
      <w:r>
        <w:rPr>
          <w:rFonts w:hint="eastAsia" w:eastAsia="方正仿宋_GBK"/>
          <w:color w:val="000000"/>
          <w:sz w:val="28"/>
          <w:lang w:eastAsia="zh-CN"/>
        </w:rPr>
        <w:t>（机关）</w:t>
      </w:r>
      <w:r>
        <w:rPr>
          <w:rFonts w:eastAsia="方正仿宋_GBK"/>
          <w:color w:val="000000"/>
          <w:sz w:val="28"/>
        </w:rPr>
        <w:t>安排政府采购预算0.00万元。具体内容见下表。</w:t>
      </w:r>
    </w:p>
    <w:p>
      <w:pPr>
        <w:jc w:val="center"/>
      </w:pPr>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政府采购预算</w:t>
      </w:r>
    </w:p>
    <w:tbl>
      <w:tblPr>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rPr>
                <w:lang w:eastAsia="zh-CN"/>
              </w:rPr>
            </w:pPr>
            <w:r>
              <w:t>131</w:t>
            </w:r>
            <w:r>
              <w:rPr>
                <w:rFonts w:hint="eastAsia"/>
                <w:lang w:eastAsia="zh-CN"/>
              </w:rPr>
              <w:t>001</w:t>
            </w:r>
            <w:r>
              <w:t>高阳县政协办公室</w:t>
            </w:r>
            <w:r>
              <w:rPr>
                <w:rFonts w:hint="eastAsia"/>
                <w:lang w:eastAsia="zh-CN"/>
              </w:rPr>
              <w:t>（机关）</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w:t>
            </w:r>
            <w:r>
              <w:rPr>
                <w:rFonts w:hint="eastAsia" w:eastAsia="宋体"/>
                <w:lang w:eastAsia="zh-CN"/>
              </w:rPr>
              <w:t>单位</w:t>
            </w:r>
            <w:r>
              <w:t>预算安排资金）</w:t>
            </w:r>
          </w:p>
        </w:tc>
        <w:tc>
          <w:tcPr>
            <w:tcW w:w="964" w:type="dxa"/>
            <w:vMerge w:val="restart"/>
            <w:vAlign w:val="center"/>
          </w:tcPr>
          <w:p>
            <w:pPr>
              <w:pStyle w:val="12"/>
            </w:pPr>
            <w:r>
              <w:t>2022年  预留中  小微企  业份额</w:t>
            </w:r>
          </w:p>
        </w:tc>
      </w:tr>
      <w:tr>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vAlign w:val="top"/>
          </w:tcPr>
          <w:p/>
        </w:tc>
      </w:tr>
      <w:tr>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高阳县政协办公室（</w:t>
      </w:r>
      <w:r>
        <w:rPr>
          <w:rFonts w:hint="eastAsia" w:eastAsia="方正仿宋_GBK"/>
          <w:color w:val="000000"/>
          <w:sz w:val="28"/>
          <w:lang w:eastAsia="zh-CN"/>
        </w:rPr>
        <w:t>机关</w:t>
      </w:r>
      <w:r>
        <w:rPr>
          <w:rFonts w:eastAsia="方正仿宋_GBK"/>
          <w:color w:val="000000"/>
          <w:sz w:val="28"/>
        </w:rPr>
        <w:t>）上年末固定资产金额为</w:t>
      </w:r>
      <w:r>
        <w:rPr>
          <w:rFonts w:hint="eastAsia" w:eastAsia="宋体"/>
          <w:color w:val="000000"/>
          <w:sz w:val="28"/>
          <w:lang w:eastAsia="zh-CN"/>
        </w:rPr>
        <w:t>104.47</w:t>
      </w:r>
      <w:r>
        <w:rPr>
          <w:rFonts w:eastAsia="方正仿宋_GBK"/>
          <w:color w:val="000000"/>
          <w:sz w:val="28"/>
        </w:rPr>
        <w:t>万元（详见下表）。本年度拟购置固定资产总额为</w:t>
      </w:r>
      <w:r>
        <w:rPr>
          <w:rFonts w:hint="eastAsia" w:eastAsia="宋体"/>
          <w:color w:val="000000"/>
          <w:sz w:val="28"/>
          <w:lang w:eastAsia="zh-CN"/>
        </w:rPr>
        <w:t>0</w:t>
      </w:r>
      <w:r>
        <w:rPr>
          <w:rFonts w:eastAsia="方正仿宋_GBK"/>
          <w:color w:val="000000"/>
          <w:sz w:val="28"/>
        </w:rPr>
        <w:t>万元。</w:t>
      </w:r>
    </w:p>
    <w:p>
      <w:pPr>
        <w:jc w:val="center"/>
      </w:pPr>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固定资产占用情况表</w:t>
      </w:r>
    </w:p>
    <w:tbl>
      <w:tblPr>
        <w:tblW w:w="131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949"/>
      </w:tblGrid>
      <w:tr>
        <w:trPr>
          <w:cantSplit/>
          <w:tblHeader/>
          <w:jc w:val="center"/>
        </w:trPr>
        <w:tc>
          <w:tcPr>
            <w:tcW w:w="7370" w:type="dxa"/>
            <w:tcBorders>
              <w:top w:val="single" w:color="FFFFFF" w:sz="6" w:space="0"/>
              <w:left w:val="single" w:color="FFFFFF" w:sz="6" w:space="0"/>
              <w:right w:val="single" w:color="FFFFFF" w:sz="6" w:space="0"/>
            </w:tcBorders>
            <w:vAlign w:val="center"/>
          </w:tcPr>
          <w:p>
            <w:pPr>
              <w:spacing w:line="300" w:lineRule="exact"/>
              <w:rPr>
                <w:rFonts w:ascii="方正小标宋_GBK" w:eastAsia="方正小标宋_GBK"/>
                <w:lang w:eastAsia="zh-CN"/>
              </w:rPr>
            </w:pPr>
            <w:r>
              <w:rPr>
                <w:rFonts w:ascii="方正小标宋_GBK" w:eastAsia="方正小标宋_GBK"/>
              </w:rPr>
              <w:t>131</w:t>
            </w:r>
            <w:r>
              <w:rPr>
                <w:rFonts w:hint="eastAsia" w:ascii="方正小标宋_GBK" w:eastAsia="方正小标宋_GBK"/>
                <w:lang w:eastAsia="zh-CN"/>
              </w:rPr>
              <w:t>001</w:t>
            </w:r>
            <w:r>
              <w:rPr>
                <w:rFonts w:ascii="方正小标宋_GBK" w:eastAsia="方正小标宋_GBK"/>
              </w:rPr>
              <w:t>高阳县政协办公室</w:t>
            </w:r>
            <w:r>
              <w:rPr>
                <w:rFonts w:hint="eastAsia" w:ascii="方正小标宋_GBK" w:eastAsia="方正小标宋_GBK"/>
                <w:lang w:eastAsia="zh-CN"/>
              </w:rPr>
              <w:t>（机关）</w:t>
            </w:r>
          </w:p>
        </w:tc>
        <w:tc>
          <w:tcPr>
            <w:tcW w:w="5784" w:type="dxa"/>
            <w:gridSpan w:val="2"/>
            <w:tcBorders>
              <w:top w:val="single" w:color="FFFFFF" w:sz="6" w:space="0"/>
              <w:left w:val="single" w:color="FFFFFF" w:sz="6" w:space="0"/>
              <w:right w:val="single" w:color="FFFFFF" w:sz="6" w:space="0"/>
            </w:tcBorders>
            <w:vAlign w:val="center"/>
          </w:tcPr>
          <w:p>
            <w:pPr>
              <w:spacing w:line="300" w:lineRule="exact"/>
              <w:jc w:val="right"/>
              <w:rPr>
                <w:rFonts w:ascii="方正小标宋_GBK" w:eastAsia="方正小标宋_GBK"/>
              </w:rPr>
            </w:pPr>
            <w:r>
              <w:rPr>
                <w:rFonts w:ascii="方正小标宋_GBK" w:eastAsia="方正小标宋_GBK"/>
              </w:rPr>
              <w:t>截止时间：2021-12-31</w:t>
            </w:r>
          </w:p>
        </w:tc>
      </w:tr>
      <w:tr>
        <w:trPr>
          <w:cantSplit/>
          <w:tblHeader/>
          <w:jc w:val="center"/>
        </w:trPr>
        <w:tc>
          <w:tcPr>
            <w:tcW w:w="7370" w:type="dxa"/>
            <w:vAlign w:val="center"/>
          </w:tcPr>
          <w:p>
            <w:pPr>
              <w:spacing w:line="300" w:lineRule="exact"/>
              <w:jc w:val="center"/>
              <w:rPr>
                <w:rFonts w:ascii="方正书宋_GBK" w:eastAsia="方正书宋_GBK"/>
                <w:b/>
              </w:rPr>
            </w:pPr>
            <w:r>
              <w:rPr>
                <w:rFonts w:ascii="方正书宋_GBK" w:eastAsia="方正书宋_GBK"/>
                <w:b/>
              </w:rPr>
              <w:t>项   目</w:t>
            </w:r>
          </w:p>
        </w:tc>
        <w:tc>
          <w:tcPr>
            <w:tcW w:w="2835" w:type="dxa"/>
            <w:vAlign w:val="center"/>
          </w:tcPr>
          <w:p>
            <w:pPr>
              <w:spacing w:line="300" w:lineRule="exact"/>
              <w:jc w:val="center"/>
              <w:rPr>
                <w:rFonts w:ascii="方正书宋_GBK" w:eastAsia="方正书宋_GBK"/>
                <w:b/>
              </w:rPr>
            </w:pPr>
            <w:r>
              <w:rPr>
                <w:rFonts w:ascii="方正书宋_GBK" w:eastAsia="方正书宋_GBK"/>
                <w:b/>
              </w:rPr>
              <w:t>数量</w:t>
            </w:r>
          </w:p>
        </w:tc>
        <w:tc>
          <w:tcPr>
            <w:tcW w:w="2949" w:type="dxa"/>
            <w:vAlign w:val="center"/>
          </w:tcPr>
          <w:p>
            <w:pPr>
              <w:spacing w:line="300" w:lineRule="exact"/>
              <w:jc w:val="center"/>
              <w:rPr>
                <w:rFonts w:ascii="方正书宋_GBK" w:eastAsia="方正书宋_GBK"/>
                <w:b/>
              </w:rPr>
            </w:pPr>
            <w:r>
              <w:rPr>
                <w:rFonts w:ascii="方正书宋_GBK" w:eastAsia="方正书宋_GBK"/>
                <w:b/>
              </w:rPr>
              <w:t>价值（金额单位：</w:t>
            </w:r>
            <w:r>
              <w:rPr>
                <w:rFonts w:hint="eastAsia" w:ascii="方正书宋_GBK" w:eastAsia="宋体"/>
                <w:b/>
                <w:lang w:eastAsia="zh-CN"/>
              </w:rPr>
              <w:t>万</w:t>
            </w:r>
            <w:r>
              <w:rPr>
                <w:rFonts w:ascii="方正书宋_GBK" w:eastAsia="方正书宋_GBK"/>
                <w:b/>
              </w:rPr>
              <w:t>元）</w:t>
            </w: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　　　　　　　　资产总额</w:t>
            </w:r>
          </w:p>
        </w:tc>
        <w:tc>
          <w:tcPr>
            <w:tcW w:w="2835" w:type="dxa"/>
            <w:vAlign w:val="center"/>
          </w:tcPr>
          <w:p>
            <w:pPr>
              <w:spacing w:line="300" w:lineRule="exact"/>
              <w:jc w:val="center"/>
              <w:rPr>
                <w:rFonts w:ascii="方正书宋_GBK" w:eastAsia="方正书宋_GBK"/>
              </w:rPr>
            </w:pPr>
          </w:p>
        </w:tc>
        <w:tc>
          <w:tcPr>
            <w:tcW w:w="2949" w:type="dxa"/>
            <w:vAlign w:val="center"/>
          </w:tcPr>
          <w:p>
            <w:pPr>
              <w:spacing w:line="300" w:lineRule="exact"/>
              <w:jc w:val="right"/>
              <w:rPr>
                <w:rFonts w:ascii="方正书宋_GBK" w:eastAsia="宋体"/>
                <w:lang w:eastAsia="zh-CN"/>
              </w:rPr>
            </w:pPr>
            <w:r>
              <w:rPr>
                <w:rFonts w:hint="eastAsia" w:ascii="方正书宋_GBK" w:eastAsia="宋体"/>
                <w:lang w:eastAsia="zh-CN"/>
              </w:rPr>
              <w:t>104.47</w:t>
            </w: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1、房屋（平方米）</w:t>
            </w:r>
          </w:p>
        </w:tc>
        <w:tc>
          <w:tcPr>
            <w:tcW w:w="2835" w:type="dxa"/>
            <w:vAlign w:val="center"/>
          </w:tcPr>
          <w:p>
            <w:pPr>
              <w:spacing w:line="300" w:lineRule="exact"/>
              <w:jc w:val="center"/>
              <w:rPr>
                <w:rFonts w:ascii="方正书宋_GBK" w:eastAsia="方正书宋_GBK"/>
              </w:rPr>
            </w:pPr>
          </w:p>
        </w:tc>
        <w:tc>
          <w:tcPr>
            <w:tcW w:w="2949" w:type="dxa"/>
            <w:vAlign w:val="center"/>
          </w:tcPr>
          <w:p>
            <w:pPr>
              <w:spacing w:line="300" w:lineRule="exact"/>
              <w:jc w:val="right"/>
              <w:rPr>
                <w:rFonts w:ascii="方正书宋_GBK" w:eastAsia="方正书宋_GBK"/>
              </w:rPr>
            </w:pP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　　其中：办公用房（平方米）</w:t>
            </w:r>
          </w:p>
        </w:tc>
        <w:tc>
          <w:tcPr>
            <w:tcW w:w="2835" w:type="dxa"/>
            <w:vAlign w:val="center"/>
          </w:tcPr>
          <w:p>
            <w:pPr>
              <w:spacing w:line="300" w:lineRule="exact"/>
              <w:jc w:val="center"/>
              <w:rPr>
                <w:rFonts w:ascii="方正书宋_GBK" w:eastAsia="方正书宋_GBK"/>
              </w:rPr>
            </w:pPr>
          </w:p>
        </w:tc>
        <w:tc>
          <w:tcPr>
            <w:tcW w:w="2949" w:type="dxa"/>
            <w:vAlign w:val="center"/>
          </w:tcPr>
          <w:p>
            <w:pPr>
              <w:spacing w:line="300" w:lineRule="exact"/>
              <w:jc w:val="right"/>
              <w:rPr>
                <w:rFonts w:ascii="方正书宋_GBK" w:eastAsia="方正书宋_GBK"/>
              </w:rPr>
            </w:pP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2、车辆（台、辆）</w:t>
            </w:r>
          </w:p>
        </w:tc>
        <w:tc>
          <w:tcPr>
            <w:tcW w:w="2835" w:type="dxa"/>
            <w:vAlign w:val="center"/>
          </w:tcPr>
          <w:p>
            <w:pPr>
              <w:spacing w:line="300" w:lineRule="exact"/>
              <w:jc w:val="center"/>
              <w:rPr>
                <w:rFonts w:ascii="方正书宋_GBK" w:eastAsia="方正书宋_GBK"/>
              </w:rPr>
            </w:pPr>
            <w:r>
              <w:rPr>
                <w:rFonts w:ascii="方正书宋_GBK" w:eastAsia="方正书宋_GBK"/>
              </w:rPr>
              <w:t>4</w:t>
            </w:r>
          </w:p>
        </w:tc>
        <w:tc>
          <w:tcPr>
            <w:tcW w:w="2949" w:type="dxa"/>
            <w:vAlign w:val="center"/>
          </w:tcPr>
          <w:p>
            <w:pPr>
              <w:spacing w:line="300" w:lineRule="exact"/>
              <w:jc w:val="right"/>
              <w:rPr>
                <w:rFonts w:ascii="方正书宋_GBK" w:eastAsia="宋体"/>
                <w:lang w:eastAsia="zh-CN"/>
              </w:rPr>
            </w:pPr>
            <w:r>
              <w:rPr>
                <w:rFonts w:hint="eastAsia" w:ascii="方正书宋_GBK" w:eastAsia="宋体"/>
                <w:lang w:eastAsia="zh-CN"/>
              </w:rPr>
              <w:t>80.71</w:t>
            </w: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3、单价在20万元以上的设备</w:t>
            </w:r>
          </w:p>
        </w:tc>
        <w:tc>
          <w:tcPr>
            <w:tcW w:w="2835" w:type="dxa"/>
            <w:vAlign w:val="center"/>
          </w:tcPr>
          <w:p>
            <w:pPr>
              <w:spacing w:line="300" w:lineRule="exact"/>
              <w:jc w:val="center"/>
              <w:rPr>
                <w:rFonts w:ascii="方正书宋_GBK" w:eastAsia="方正书宋_GBK"/>
              </w:rPr>
            </w:pPr>
          </w:p>
        </w:tc>
        <w:tc>
          <w:tcPr>
            <w:tcW w:w="2949" w:type="dxa"/>
            <w:vAlign w:val="center"/>
          </w:tcPr>
          <w:p>
            <w:pPr>
              <w:spacing w:line="300" w:lineRule="exact"/>
              <w:jc w:val="right"/>
              <w:rPr>
                <w:rFonts w:ascii="方正书宋_GBK" w:eastAsia="方正书宋_GBK"/>
              </w:rPr>
            </w:pP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4、其他固定资产</w:t>
            </w:r>
          </w:p>
        </w:tc>
        <w:tc>
          <w:tcPr>
            <w:tcW w:w="2835" w:type="dxa"/>
            <w:vAlign w:val="center"/>
          </w:tcPr>
          <w:p>
            <w:pPr>
              <w:spacing w:line="300" w:lineRule="exact"/>
              <w:jc w:val="center"/>
              <w:rPr>
                <w:rFonts w:ascii="方正书宋_GBK" w:eastAsia="方正书宋_GBK"/>
              </w:rPr>
            </w:pPr>
            <w:r>
              <w:rPr>
                <w:rFonts w:ascii="方正书宋_GBK" w:eastAsia="方正书宋_GBK"/>
              </w:rPr>
              <w:t>94</w:t>
            </w:r>
          </w:p>
        </w:tc>
        <w:tc>
          <w:tcPr>
            <w:tcW w:w="2949" w:type="dxa"/>
            <w:vAlign w:val="center"/>
          </w:tcPr>
          <w:p>
            <w:pPr>
              <w:spacing w:line="300" w:lineRule="exact"/>
              <w:jc w:val="right"/>
              <w:rPr>
                <w:rFonts w:ascii="方正书宋_GBK" w:eastAsia="宋体"/>
                <w:lang w:eastAsia="zh-CN"/>
              </w:rPr>
            </w:pPr>
            <w:r>
              <w:rPr>
                <w:rFonts w:hint="eastAsia" w:ascii="方正书宋_GBK" w:eastAsia="宋体"/>
                <w:lang w:eastAsia="zh-CN"/>
              </w:rPr>
              <w:t>23.76</w:t>
            </w:r>
          </w:p>
        </w:tc>
      </w:tr>
    </w:tbl>
    <w:p>
      <w:pPr>
        <w:ind w:firstLine="640"/>
      </w:pP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县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420" w:firstLineChars="15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lang w:eastAsia="zh-CN"/>
        </w:rPr>
        <w:sectPr>
          <w:pgSz w:w="16840" w:h="11900" w:orient="landscape"/>
          <w:pgMar w:top="1361" w:right="1020" w:bottom="1134" w:left="1020" w:header="720" w:footer="720" w:gutter="0"/>
          <w:cols w:space="720" w:num="1"/>
        </w:sectPr>
      </w:pPr>
      <w:r>
        <w:rPr>
          <w:rFonts w:eastAsia="方正仿宋_GBK"/>
          <w:color w:val="000000"/>
          <w:sz w:val="28"/>
        </w:rPr>
        <w:t>我</w:t>
      </w:r>
      <w:r>
        <w:rPr>
          <w:rFonts w:hint="eastAsia" w:eastAsia="方正仿宋_GBK"/>
          <w:color w:val="000000"/>
          <w:sz w:val="28"/>
        </w:rPr>
        <w:t>单位</w:t>
      </w:r>
      <w:r>
        <w:rPr>
          <w:rFonts w:eastAsia="方正仿宋_GBK"/>
          <w:color w:val="000000"/>
          <w:sz w:val="28"/>
        </w:rPr>
        <w:t>无其他需要说明的事</w:t>
      </w:r>
      <w:r>
        <w:rPr>
          <w:rFonts w:hint="eastAsia" w:eastAsia="方正仿宋_GBK"/>
          <w:color w:val="000000"/>
          <w:sz w:val="28"/>
          <w:lang w:eastAsia="zh-CN"/>
        </w:rPr>
        <w:t>项。</w:t>
      </w:r>
    </w:p>
    <w:p>
      <w:pPr>
        <w:rPr>
          <w:rFonts w:eastAsia="宋体"/>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微软雅黑"/>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方正书宋_GBK">
    <w:altName w:val="宋体"/>
    <w:panose1 w:val="00000000000000000000"/>
    <w:charset w:val="86"/>
    <w:family w:val="auto"/>
    <w:pitch w:val="default"/>
    <w:sig w:usb0="00000000" w:usb1="00000000" w:usb2="00000000" w:usb3="00000000" w:csb0="00040001" w:csb1="00000000"/>
  </w:font>
  <w:font w:name="方正楷体_GBK">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bidi="ar-SA"/>
    </w:rPr>
  </w:style>
  <w:style w:type="character" w:default="1" w:styleId="8">
    <w:name w:val="Default Paragraph Font"/>
    <w:semiHidden/>
    <w:unhideWhenUsed/>
    <w:uiPriority w:val="1"/>
  </w:style>
  <w:style w:type="paragraph" w:styleId="2">
    <w:name w:val="toc 3"/>
    <w:basedOn w:val="1"/>
    <w:next w:val="1"/>
    <w:qFormat/>
    <w:uiPriority w:val="0"/>
    <w:pPr>
      <w:ind w:left="480"/>
    </w:pPr>
  </w:style>
  <w:style w:type="paragraph" w:styleId="3">
    <w:name w:val="footer"/>
    <w:basedOn w:val="1"/>
    <w:link w:val="32"/>
    <w:unhideWhenUsed/>
    <w:uiPriority w:val="99"/>
    <w:pPr>
      <w:tabs>
        <w:tab w:val="center" w:pos="4153"/>
        <w:tab w:val="right" w:pos="8306"/>
      </w:tabs>
      <w:snapToGrid w:val="0"/>
    </w:pPr>
    <w:rPr>
      <w:sz w:val="18"/>
      <w:szCs w:val="18"/>
    </w:rPr>
  </w:style>
  <w:style w:type="paragraph" w:styleId="4">
    <w:name w:val="header"/>
    <w:basedOn w:val="1"/>
    <w:link w:val="31"/>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1">
    <w:name w:val="页眉 Char Char"/>
    <w:basedOn w:val="8"/>
    <w:link w:val="4"/>
    <w:uiPriority w:val="99"/>
    <w:rPr>
      <w:rFonts w:eastAsia="Times New Roman"/>
      <w:sz w:val="18"/>
      <w:szCs w:val="18"/>
      <w:lang/>
    </w:rPr>
  </w:style>
  <w:style w:type="character" w:customStyle="1" w:styleId="32">
    <w:name w:val="页脚 Char Char"/>
    <w:basedOn w:val="8"/>
    <w:link w:val="3"/>
    <w:uiPriority w:val="99"/>
    <w:rPr>
      <w:rFonts w:eastAsia="Times New Roman"/>
      <w:sz w:val="18"/>
      <w:szCs w:val="18"/>
      <w:lang/>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1742</Words>
  <Characters>9931</Characters>
  <Lines>82</Lines>
  <Paragraphs>23</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2022-04-21T14:40:00Z</dcterms:created>
  <dc:creator>Administrator</dc:creator>
  <cp:lastModifiedBy>Lenovo</cp:lastModifiedBy>
  <dcterms:modified xsi:type="dcterms:W3CDTF">2024-05-31T09:03:24Z</dcterms:modified>
  <dc:title>2022年单位预算信息公开目录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1CD4E6C81562490893A817ABDC038B87_12</vt:lpwstr>
  </property>
</Properties>
</file>