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b/>
          <w:color w:val="000000"/>
          <w:sz w:val="44"/>
        </w:rPr>
      </w:pPr>
      <w:bookmarkStart w:id="1" w:name="_GoBack"/>
      <w:bookmarkEnd w:id="1"/>
      <w:r>
        <w:rPr>
          <w:rFonts w:ascii="黑体" w:hAnsi="黑体" w:eastAsia="黑体" w:cs="黑体"/>
          <w:b/>
          <w:color w:val="000000"/>
          <w:sz w:val="44"/>
        </w:rPr>
        <w:t>2022</w:t>
      </w:r>
      <w:r>
        <w:rPr>
          <w:rFonts w:hint="eastAsia" w:ascii="黑体" w:hAnsi="黑体" w:eastAsia="黑体" w:cs="黑体"/>
          <w:b/>
          <w:color w:val="000000"/>
          <w:sz w:val="44"/>
        </w:rPr>
        <w:t>年</w:t>
      </w:r>
      <w:r>
        <w:rPr>
          <w:rFonts w:hint="eastAsia" w:ascii="黑体" w:hAnsi="黑体" w:eastAsia="黑体" w:cs="黑体"/>
          <w:b/>
          <w:color w:val="000000"/>
          <w:sz w:val="44"/>
          <w:lang w:eastAsia="zh-CN"/>
        </w:rPr>
        <w:t>单位</w:t>
      </w:r>
      <w:r>
        <w:rPr>
          <w:rFonts w:hint="eastAsia"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一、中共高阳县委统战部（机关）收支预算</w:t>
      </w:r>
      <w:r>
        <w:tab/>
      </w:r>
      <w:r>
        <w:rPr>
          <w:rFonts w:hint="eastAsia"/>
          <w:lang w:eastAsia="zh-CN"/>
        </w:rPr>
        <w:t>2</w:t>
      </w:r>
      <w:r>
        <w:rPr>
          <w:rFonts w:hint="eastAsia"/>
          <w:lang w:eastAsia="zh-CN"/>
        </w:rP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both"/>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3"/>
      </w:pPr>
      <w:bookmarkStart w:id="0" w:name="_Toc_4_4_0000000019"/>
      <w:r>
        <w:rPr>
          <w:rFonts w:ascii="方正小标宋_GBK" w:hAnsi="方正小标宋_GBK" w:eastAsia="方正小标宋_GBK" w:cs="方正小标宋_GBK"/>
          <w:color w:val="000000"/>
          <w:sz w:val="44"/>
        </w:rPr>
        <w:t>一、中共高阳县委统战部（机关）收支预算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207001中共高阳县委统战部（机关）</w:t>
            </w:r>
          </w:p>
        </w:tc>
        <w:tc>
          <w:tcPr>
            <w:tcW w:w="2126" w:type="dxa"/>
            <w:tcBorders>
              <w:top w:val="single" w:color="FFFFFF" w:sz="6" w:space="0"/>
              <w:left w:val="single" w:color="FFFFFF" w:sz="6" w:space="0"/>
              <w:right w:val="single" w:color="FFFFFF" w:sz="6" w:space="0"/>
            </w:tcBorders>
            <w:vAlign w:val="center"/>
          </w:tcPr>
          <w:p>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175.55</w:t>
            </w:r>
          </w:p>
        </w:tc>
        <w:tc>
          <w:tcPr>
            <w:tcW w:w="4535" w:type="dxa"/>
            <w:vAlign w:val="center"/>
          </w:tcPr>
          <w:p>
            <w:pPr>
              <w:pStyle w:val="14"/>
            </w:pPr>
            <w:r>
              <w:t>一、一般公共服务支出</w:t>
            </w:r>
          </w:p>
        </w:tc>
        <w:tc>
          <w:tcPr>
            <w:tcW w:w="2126" w:type="dxa"/>
            <w:vAlign w:val="center"/>
          </w:tcPr>
          <w:p>
            <w:pPr>
              <w:pStyle w:val="13"/>
            </w:pPr>
            <w:r>
              <w:t>152.45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175.55</w:t>
            </w:r>
          </w:p>
        </w:tc>
        <w:tc>
          <w:tcPr>
            <w:tcW w:w="4535" w:type="dxa"/>
            <w:vAlign w:val="center"/>
          </w:tcPr>
          <w:p>
            <w:pPr>
              <w:pStyle w:val="16"/>
            </w:pPr>
            <w:r>
              <w:t>本年支出合计</w:t>
            </w:r>
          </w:p>
        </w:tc>
        <w:tc>
          <w:tcPr>
            <w:tcW w:w="2126" w:type="dxa"/>
            <w:vAlign w:val="center"/>
          </w:tcPr>
          <w:p>
            <w:pPr>
              <w:pStyle w:val="17"/>
            </w:pPr>
            <w:r>
              <w:t>175.55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175.55</w:t>
            </w:r>
          </w:p>
        </w:tc>
        <w:tc>
          <w:tcPr>
            <w:tcW w:w="4535" w:type="dxa"/>
            <w:vAlign w:val="center"/>
          </w:tcPr>
          <w:p>
            <w:pPr>
              <w:pStyle w:val="16"/>
            </w:pPr>
            <w:r>
              <w:t>支出总计</w:t>
            </w:r>
          </w:p>
        </w:tc>
        <w:tc>
          <w:tcPr>
            <w:tcW w:w="2126" w:type="dxa"/>
            <w:vAlign w:val="center"/>
          </w:tcPr>
          <w:p>
            <w:pPr>
              <w:pStyle w:val="17"/>
            </w:pPr>
            <w:r>
              <w:t>175.55</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207001中共高阳县委统战部（机关）</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175.55</w:t>
            </w:r>
          </w:p>
        </w:tc>
        <w:tc>
          <w:tcPr>
            <w:tcW w:w="1134" w:type="dxa"/>
            <w:vAlign w:val="center"/>
          </w:tcPr>
          <w:p>
            <w:pPr>
              <w:pStyle w:val="17"/>
            </w:pPr>
            <w:r>
              <w:t>175.55</w:t>
            </w:r>
          </w:p>
        </w:tc>
        <w:tc>
          <w:tcPr>
            <w:tcW w:w="1134" w:type="dxa"/>
            <w:vAlign w:val="center"/>
          </w:tcPr>
          <w:p>
            <w:pPr>
              <w:pStyle w:val="17"/>
            </w:pPr>
            <w:r>
              <w:t>175.55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152.45</w:t>
            </w:r>
          </w:p>
        </w:tc>
        <w:tc>
          <w:tcPr>
            <w:tcW w:w="1134" w:type="dxa"/>
            <w:vAlign w:val="center"/>
          </w:tcPr>
          <w:p>
            <w:pPr>
              <w:pStyle w:val="13"/>
            </w:pPr>
            <w:r>
              <w:t>152.45</w:t>
            </w:r>
          </w:p>
        </w:tc>
        <w:tc>
          <w:tcPr>
            <w:tcW w:w="1134" w:type="dxa"/>
            <w:vAlign w:val="center"/>
          </w:tcPr>
          <w:p>
            <w:pPr>
              <w:pStyle w:val="13"/>
            </w:pPr>
            <w:r>
              <w:t>152.45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20134</w:t>
            </w:r>
          </w:p>
        </w:tc>
        <w:tc>
          <w:tcPr>
            <w:tcW w:w="1559" w:type="dxa"/>
            <w:vAlign w:val="center"/>
          </w:tcPr>
          <w:p>
            <w:pPr>
              <w:pStyle w:val="14"/>
            </w:pPr>
            <w:r>
              <w:t>统战事务</w:t>
            </w:r>
          </w:p>
        </w:tc>
        <w:tc>
          <w:tcPr>
            <w:tcW w:w="1134" w:type="dxa"/>
            <w:vAlign w:val="center"/>
          </w:tcPr>
          <w:p>
            <w:pPr>
              <w:pStyle w:val="13"/>
            </w:pPr>
            <w:r>
              <w:t>152.45</w:t>
            </w:r>
          </w:p>
        </w:tc>
        <w:tc>
          <w:tcPr>
            <w:tcW w:w="1134" w:type="dxa"/>
            <w:vAlign w:val="center"/>
          </w:tcPr>
          <w:p>
            <w:pPr>
              <w:pStyle w:val="13"/>
            </w:pPr>
            <w:r>
              <w:t>152.45</w:t>
            </w:r>
          </w:p>
        </w:tc>
        <w:tc>
          <w:tcPr>
            <w:tcW w:w="1134" w:type="dxa"/>
            <w:vAlign w:val="center"/>
          </w:tcPr>
          <w:p>
            <w:pPr>
              <w:pStyle w:val="13"/>
            </w:pPr>
            <w:r>
              <w:t>152.45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2013401</w:t>
            </w:r>
          </w:p>
        </w:tc>
        <w:tc>
          <w:tcPr>
            <w:tcW w:w="1559" w:type="dxa"/>
            <w:vAlign w:val="center"/>
          </w:tcPr>
          <w:p>
            <w:pPr>
              <w:pStyle w:val="14"/>
            </w:pPr>
            <w:r>
              <w:t>行政运行</w:t>
            </w:r>
          </w:p>
        </w:tc>
        <w:tc>
          <w:tcPr>
            <w:tcW w:w="1134" w:type="dxa"/>
            <w:vAlign w:val="center"/>
          </w:tcPr>
          <w:p>
            <w:pPr>
              <w:pStyle w:val="13"/>
            </w:pPr>
            <w:r>
              <w:t>78.45</w:t>
            </w:r>
          </w:p>
        </w:tc>
        <w:tc>
          <w:tcPr>
            <w:tcW w:w="1134" w:type="dxa"/>
            <w:vAlign w:val="center"/>
          </w:tcPr>
          <w:p>
            <w:pPr>
              <w:pStyle w:val="13"/>
            </w:pPr>
            <w:r>
              <w:t>78.45</w:t>
            </w:r>
          </w:p>
        </w:tc>
        <w:tc>
          <w:tcPr>
            <w:tcW w:w="1134" w:type="dxa"/>
            <w:vAlign w:val="center"/>
          </w:tcPr>
          <w:p>
            <w:pPr>
              <w:pStyle w:val="13"/>
            </w:pPr>
            <w:r>
              <w:t>78.45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2013404</w:t>
            </w:r>
          </w:p>
        </w:tc>
        <w:tc>
          <w:tcPr>
            <w:tcW w:w="1559" w:type="dxa"/>
            <w:vAlign w:val="center"/>
          </w:tcPr>
          <w:p>
            <w:pPr>
              <w:pStyle w:val="14"/>
            </w:pPr>
            <w:r>
              <w:t>宗教事务</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2013499</w:t>
            </w:r>
          </w:p>
        </w:tc>
        <w:tc>
          <w:tcPr>
            <w:tcW w:w="1559" w:type="dxa"/>
            <w:vAlign w:val="center"/>
          </w:tcPr>
          <w:p>
            <w:pPr>
              <w:pStyle w:val="14"/>
            </w:pPr>
            <w:r>
              <w:t>其他统战事务支出</w:t>
            </w:r>
          </w:p>
        </w:tc>
        <w:tc>
          <w:tcPr>
            <w:tcW w:w="1134" w:type="dxa"/>
            <w:vAlign w:val="center"/>
          </w:tcPr>
          <w:p>
            <w:pPr>
              <w:pStyle w:val="13"/>
            </w:pPr>
            <w:r>
              <w:t>66.00</w:t>
            </w:r>
          </w:p>
        </w:tc>
        <w:tc>
          <w:tcPr>
            <w:tcW w:w="1134" w:type="dxa"/>
            <w:vAlign w:val="center"/>
          </w:tcPr>
          <w:p>
            <w:pPr>
              <w:pStyle w:val="13"/>
            </w:pPr>
            <w:r>
              <w:t>66.00</w:t>
            </w:r>
          </w:p>
        </w:tc>
        <w:tc>
          <w:tcPr>
            <w:tcW w:w="1134" w:type="dxa"/>
            <w:vAlign w:val="center"/>
          </w:tcPr>
          <w:p>
            <w:pPr>
              <w:pStyle w:val="13"/>
            </w:pPr>
            <w:r>
              <w:t>66.00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8.50</w:t>
            </w:r>
          </w:p>
        </w:tc>
        <w:tc>
          <w:tcPr>
            <w:tcW w:w="1134" w:type="dxa"/>
            <w:vAlign w:val="center"/>
          </w:tcPr>
          <w:p>
            <w:pPr>
              <w:pStyle w:val="13"/>
            </w:pPr>
            <w:r>
              <w:t>8.50</w:t>
            </w:r>
          </w:p>
        </w:tc>
        <w:tc>
          <w:tcPr>
            <w:tcW w:w="1134" w:type="dxa"/>
            <w:vAlign w:val="center"/>
          </w:tcPr>
          <w:p>
            <w:pPr>
              <w:pStyle w:val="13"/>
            </w:pPr>
            <w:r>
              <w:t>8.50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8.50</w:t>
            </w:r>
          </w:p>
        </w:tc>
        <w:tc>
          <w:tcPr>
            <w:tcW w:w="1134" w:type="dxa"/>
            <w:vAlign w:val="center"/>
          </w:tcPr>
          <w:p>
            <w:pPr>
              <w:pStyle w:val="13"/>
            </w:pPr>
            <w:r>
              <w:t>8.50</w:t>
            </w:r>
          </w:p>
        </w:tc>
        <w:tc>
          <w:tcPr>
            <w:tcW w:w="1134" w:type="dxa"/>
            <w:vAlign w:val="center"/>
          </w:tcPr>
          <w:p>
            <w:pPr>
              <w:pStyle w:val="13"/>
            </w:pPr>
            <w:r>
              <w:t>8.50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8.50</w:t>
            </w:r>
          </w:p>
        </w:tc>
        <w:tc>
          <w:tcPr>
            <w:tcW w:w="1134" w:type="dxa"/>
            <w:vAlign w:val="center"/>
          </w:tcPr>
          <w:p>
            <w:pPr>
              <w:pStyle w:val="13"/>
            </w:pPr>
            <w:r>
              <w:t>8.50</w:t>
            </w:r>
          </w:p>
        </w:tc>
        <w:tc>
          <w:tcPr>
            <w:tcW w:w="1134" w:type="dxa"/>
            <w:vAlign w:val="center"/>
          </w:tcPr>
          <w:p>
            <w:pPr>
              <w:pStyle w:val="13"/>
            </w:pPr>
            <w:r>
              <w:t>8.50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3.40</w:t>
            </w:r>
          </w:p>
        </w:tc>
        <w:tc>
          <w:tcPr>
            <w:tcW w:w="1134" w:type="dxa"/>
            <w:vAlign w:val="center"/>
          </w:tcPr>
          <w:p>
            <w:pPr>
              <w:pStyle w:val="13"/>
            </w:pPr>
            <w:r>
              <w:t>3.40</w:t>
            </w:r>
          </w:p>
        </w:tc>
        <w:tc>
          <w:tcPr>
            <w:tcW w:w="1134" w:type="dxa"/>
            <w:vAlign w:val="center"/>
          </w:tcPr>
          <w:p>
            <w:pPr>
              <w:pStyle w:val="13"/>
            </w:pPr>
            <w:r>
              <w:t>3.40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3.40</w:t>
            </w:r>
          </w:p>
        </w:tc>
        <w:tc>
          <w:tcPr>
            <w:tcW w:w="1134" w:type="dxa"/>
            <w:vAlign w:val="center"/>
          </w:tcPr>
          <w:p>
            <w:pPr>
              <w:pStyle w:val="13"/>
            </w:pPr>
            <w:r>
              <w:t>3.40</w:t>
            </w:r>
          </w:p>
        </w:tc>
        <w:tc>
          <w:tcPr>
            <w:tcW w:w="1134" w:type="dxa"/>
            <w:vAlign w:val="center"/>
          </w:tcPr>
          <w:p>
            <w:pPr>
              <w:pStyle w:val="13"/>
            </w:pPr>
            <w:r>
              <w:t>3.40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3.40</w:t>
            </w:r>
          </w:p>
        </w:tc>
        <w:tc>
          <w:tcPr>
            <w:tcW w:w="1134" w:type="dxa"/>
            <w:vAlign w:val="center"/>
          </w:tcPr>
          <w:p>
            <w:pPr>
              <w:pStyle w:val="13"/>
            </w:pPr>
            <w:r>
              <w:t>3.40</w:t>
            </w:r>
          </w:p>
        </w:tc>
        <w:tc>
          <w:tcPr>
            <w:tcW w:w="1134" w:type="dxa"/>
            <w:vAlign w:val="center"/>
          </w:tcPr>
          <w:p>
            <w:pPr>
              <w:pStyle w:val="13"/>
            </w:pPr>
            <w:r>
              <w:t>3.40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216</w:t>
            </w:r>
          </w:p>
        </w:tc>
        <w:tc>
          <w:tcPr>
            <w:tcW w:w="1559" w:type="dxa"/>
            <w:vAlign w:val="center"/>
          </w:tcPr>
          <w:p>
            <w:pPr>
              <w:pStyle w:val="14"/>
            </w:pPr>
            <w:r>
              <w:t>商业服务业等支出</w:t>
            </w:r>
          </w:p>
        </w:tc>
        <w:tc>
          <w:tcPr>
            <w:tcW w:w="1134" w:type="dxa"/>
            <w:vAlign w:val="center"/>
          </w:tcPr>
          <w:p>
            <w:pPr>
              <w:pStyle w:val="13"/>
            </w:pPr>
            <w:r>
              <w:t>6.00</w:t>
            </w:r>
          </w:p>
        </w:tc>
        <w:tc>
          <w:tcPr>
            <w:tcW w:w="1134" w:type="dxa"/>
            <w:vAlign w:val="center"/>
          </w:tcPr>
          <w:p>
            <w:pPr>
              <w:pStyle w:val="13"/>
            </w:pPr>
            <w:r>
              <w:t>6.00</w:t>
            </w:r>
          </w:p>
        </w:tc>
        <w:tc>
          <w:tcPr>
            <w:tcW w:w="1134" w:type="dxa"/>
            <w:vAlign w:val="center"/>
          </w:tcPr>
          <w:p>
            <w:pPr>
              <w:pStyle w:val="13"/>
            </w:pPr>
            <w:r>
              <w:t>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21602</w:t>
            </w:r>
          </w:p>
        </w:tc>
        <w:tc>
          <w:tcPr>
            <w:tcW w:w="1559" w:type="dxa"/>
            <w:vAlign w:val="center"/>
          </w:tcPr>
          <w:p>
            <w:pPr>
              <w:pStyle w:val="14"/>
            </w:pPr>
            <w:r>
              <w:t>商业流通事务</w:t>
            </w:r>
          </w:p>
        </w:tc>
        <w:tc>
          <w:tcPr>
            <w:tcW w:w="1134" w:type="dxa"/>
            <w:vAlign w:val="center"/>
          </w:tcPr>
          <w:p>
            <w:pPr>
              <w:pStyle w:val="13"/>
            </w:pPr>
            <w:r>
              <w:t>6.00</w:t>
            </w:r>
          </w:p>
        </w:tc>
        <w:tc>
          <w:tcPr>
            <w:tcW w:w="1134" w:type="dxa"/>
            <w:vAlign w:val="center"/>
          </w:tcPr>
          <w:p>
            <w:pPr>
              <w:pStyle w:val="13"/>
            </w:pPr>
            <w:r>
              <w:t>6.00</w:t>
            </w:r>
          </w:p>
        </w:tc>
        <w:tc>
          <w:tcPr>
            <w:tcW w:w="1134" w:type="dxa"/>
            <w:vAlign w:val="center"/>
          </w:tcPr>
          <w:p>
            <w:pPr>
              <w:pStyle w:val="13"/>
            </w:pPr>
            <w:r>
              <w:t>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2160219</w:t>
            </w:r>
          </w:p>
        </w:tc>
        <w:tc>
          <w:tcPr>
            <w:tcW w:w="1559" w:type="dxa"/>
            <w:vAlign w:val="center"/>
          </w:tcPr>
          <w:p>
            <w:pPr>
              <w:pStyle w:val="14"/>
            </w:pPr>
            <w:r>
              <w:t>民贸民品贷款贴息</w:t>
            </w:r>
          </w:p>
        </w:tc>
        <w:tc>
          <w:tcPr>
            <w:tcW w:w="1134" w:type="dxa"/>
            <w:vAlign w:val="center"/>
          </w:tcPr>
          <w:p>
            <w:pPr>
              <w:pStyle w:val="13"/>
            </w:pPr>
            <w:r>
              <w:t>6.00</w:t>
            </w:r>
          </w:p>
        </w:tc>
        <w:tc>
          <w:tcPr>
            <w:tcW w:w="1134" w:type="dxa"/>
            <w:vAlign w:val="center"/>
          </w:tcPr>
          <w:p>
            <w:pPr>
              <w:pStyle w:val="13"/>
            </w:pPr>
            <w:r>
              <w:t>6.00</w:t>
            </w:r>
          </w:p>
        </w:tc>
        <w:tc>
          <w:tcPr>
            <w:tcW w:w="1134" w:type="dxa"/>
            <w:vAlign w:val="center"/>
          </w:tcPr>
          <w:p>
            <w:pPr>
              <w:pStyle w:val="13"/>
            </w:pPr>
            <w:r>
              <w:t>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5.20</w:t>
            </w:r>
          </w:p>
        </w:tc>
        <w:tc>
          <w:tcPr>
            <w:tcW w:w="1134" w:type="dxa"/>
            <w:vAlign w:val="center"/>
          </w:tcPr>
          <w:p>
            <w:pPr>
              <w:pStyle w:val="13"/>
            </w:pPr>
            <w:r>
              <w:t>5.20</w:t>
            </w:r>
          </w:p>
        </w:tc>
        <w:tc>
          <w:tcPr>
            <w:tcW w:w="1134" w:type="dxa"/>
            <w:vAlign w:val="center"/>
          </w:tcPr>
          <w:p>
            <w:pPr>
              <w:pStyle w:val="13"/>
            </w:pPr>
            <w:r>
              <w:t>5.20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5.20</w:t>
            </w:r>
          </w:p>
        </w:tc>
        <w:tc>
          <w:tcPr>
            <w:tcW w:w="1134" w:type="dxa"/>
            <w:vAlign w:val="center"/>
          </w:tcPr>
          <w:p>
            <w:pPr>
              <w:pStyle w:val="13"/>
            </w:pPr>
            <w:r>
              <w:t>5.20</w:t>
            </w:r>
          </w:p>
        </w:tc>
        <w:tc>
          <w:tcPr>
            <w:tcW w:w="1134" w:type="dxa"/>
            <w:vAlign w:val="center"/>
          </w:tcPr>
          <w:p>
            <w:pPr>
              <w:pStyle w:val="13"/>
            </w:pPr>
            <w:r>
              <w:t>5.20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5.20</w:t>
            </w:r>
          </w:p>
        </w:tc>
        <w:tc>
          <w:tcPr>
            <w:tcW w:w="1134" w:type="dxa"/>
            <w:vAlign w:val="center"/>
          </w:tcPr>
          <w:p>
            <w:pPr>
              <w:pStyle w:val="13"/>
            </w:pPr>
            <w:r>
              <w:t>5.20</w:t>
            </w:r>
          </w:p>
        </w:tc>
        <w:tc>
          <w:tcPr>
            <w:tcW w:w="1134" w:type="dxa"/>
            <w:vAlign w:val="center"/>
          </w:tcPr>
          <w:p>
            <w:pPr>
              <w:pStyle w:val="13"/>
            </w:pPr>
            <w:r>
              <w:t>5.20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207001中共高阳县委统战部（机关）</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175.55</w:t>
            </w:r>
          </w:p>
        </w:tc>
        <w:tc>
          <w:tcPr>
            <w:tcW w:w="1361" w:type="dxa"/>
            <w:vAlign w:val="center"/>
          </w:tcPr>
          <w:p>
            <w:pPr>
              <w:pStyle w:val="17"/>
            </w:pPr>
            <w:r>
              <w:t>95.55</w:t>
            </w:r>
          </w:p>
        </w:tc>
        <w:tc>
          <w:tcPr>
            <w:tcW w:w="1361" w:type="dxa"/>
            <w:vAlign w:val="center"/>
          </w:tcPr>
          <w:p>
            <w:pPr>
              <w:pStyle w:val="17"/>
            </w:pPr>
            <w:r>
              <w:t>80.00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152.45</w:t>
            </w:r>
          </w:p>
        </w:tc>
        <w:tc>
          <w:tcPr>
            <w:tcW w:w="1361" w:type="dxa"/>
            <w:vAlign w:val="center"/>
          </w:tcPr>
          <w:p>
            <w:pPr>
              <w:pStyle w:val="13"/>
            </w:pPr>
            <w:r>
              <w:t>78.45</w:t>
            </w:r>
          </w:p>
        </w:tc>
        <w:tc>
          <w:tcPr>
            <w:tcW w:w="1361" w:type="dxa"/>
            <w:vAlign w:val="center"/>
          </w:tcPr>
          <w:p>
            <w:pPr>
              <w:pStyle w:val="13"/>
            </w:pPr>
            <w:r>
              <w:t>74.00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20134</w:t>
            </w:r>
          </w:p>
        </w:tc>
        <w:tc>
          <w:tcPr>
            <w:tcW w:w="4535" w:type="dxa"/>
            <w:vAlign w:val="center"/>
          </w:tcPr>
          <w:p>
            <w:pPr>
              <w:pStyle w:val="14"/>
            </w:pPr>
            <w:r>
              <w:t>统战事务</w:t>
            </w:r>
          </w:p>
        </w:tc>
        <w:tc>
          <w:tcPr>
            <w:tcW w:w="1361" w:type="dxa"/>
            <w:vAlign w:val="center"/>
          </w:tcPr>
          <w:p>
            <w:pPr>
              <w:pStyle w:val="13"/>
            </w:pPr>
            <w:r>
              <w:t>152.45</w:t>
            </w:r>
          </w:p>
        </w:tc>
        <w:tc>
          <w:tcPr>
            <w:tcW w:w="1361" w:type="dxa"/>
            <w:vAlign w:val="center"/>
          </w:tcPr>
          <w:p>
            <w:pPr>
              <w:pStyle w:val="13"/>
            </w:pPr>
            <w:r>
              <w:t>78.45</w:t>
            </w:r>
          </w:p>
        </w:tc>
        <w:tc>
          <w:tcPr>
            <w:tcW w:w="1361" w:type="dxa"/>
            <w:vAlign w:val="center"/>
          </w:tcPr>
          <w:p>
            <w:pPr>
              <w:pStyle w:val="13"/>
            </w:pPr>
            <w:r>
              <w:t>74.00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2013401</w:t>
            </w:r>
          </w:p>
        </w:tc>
        <w:tc>
          <w:tcPr>
            <w:tcW w:w="4535" w:type="dxa"/>
            <w:vAlign w:val="center"/>
          </w:tcPr>
          <w:p>
            <w:pPr>
              <w:pStyle w:val="14"/>
            </w:pPr>
            <w:r>
              <w:t>行政运行</w:t>
            </w:r>
          </w:p>
        </w:tc>
        <w:tc>
          <w:tcPr>
            <w:tcW w:w="1361" w:type="dxa"/>
            <w:vAlign w:val="center"/>
          </w:tcPr>
          <w:p>
            <w:pPr>
              <w:pStyle w:val="13"/>
            </w:pPr>
            <w:r>
              <w:t>78.45</w:t>
            </w:r>
          </w:p>
        </w:tc>
        <w:tc>
          <w:tcPr>
            <w:tcW w:w="1361" w:type="dxa"/>
            <w:vAlign w:val="center"/>
          </w:tcPr>
          <w:p>
            <w:pPr>
              <w:pStyle w:val="13"/>
            </w:pPr>
            <w:r>
              <w:t>78.45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2013404</w:t>
            </w:r>
          </w:p>
        </w:tc>
        <w:tc>
          <w:tcPr>
            <w:tcW w:w="4535" w:type="dxa"/>
            <w:vAlign w:val="center"/>
          </w:tcPr>
          <w:p>
            <w:pPr>
              <w:pStyle w:val="14"/>
            </w:pPr>
            <w:r>
              <w:t>宗教事务</w:t>
            </w: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2013499</w:t>
            </w:r>
          </w:p>
        </w:tc>
        <w:tc>
          <w:tcPr>
            <w:tcW w:w="4535" w:type="dxa"/>
            <w:vAlign w:val="center"/>
          </w:tcPr>
          <w:p>
            <w:pPr>
              <w:pStyle w:val="14"/>
            </w:pPr>
            <w:r>
              <w:t>其他统战事务支出</w:t>
            </w:r>
          </w:p>
        </w:tc>
        <w:tc>
          <w:tcPr>
            <w:tcW w:w="1361" w:type="dxa"/>
            <w:vAlign w:val="center"/>
          </w:tcPr>
          <w:p>
            <w:pPr>
              <w:pStyle w:val="13"/>
            </w:pPr>
            <w:r>
              <w:t>66.00</w:t>
            </w:r>
          </w:p>
        </w:tc>
        <w:tc>
          <w:tcPr>
            <w:tcW w:w="1361" w:type="dxa"/>
            <w:vAlign w:val="center"/>
          </w:tcPr>
          <w:p>
            <w:pPr>
              <w:pStyle w:val="13"/>
            </w:pPr>
          </w:p>
        </w:tc>
        <w:tc>
          <w:tcPr>
            <w:tcW w:w="1361" w:type="dxa"/>
            <w:vAlign w:val="center"/>
          </w:tcPr>
          <w:p>
            <w:pPr>
              <w:pStyle w:val="13"/>
            </w:pPr>
            <w:r>
              <w:t>66.00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8.50</w:t>
            </w:r>
          </w:p>
        </w:tc>
        <w:tc>
          <w:tcPr>
            <w:tcW w:w="1361" w:type="dxa"/>
            <w:vAlign w:val="center"/>
          </w:tcPr>
          <w:p>
            <w:pPr>
              <w:pStyle w:val="13"/>
            </w:pPr>
            <w:r>
              <w:t>8.50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8.50</w:t>
            </w:r>
          </w:p>
        </w:tc>
        <w:tc>
          <w:tcPr>
            <w:tcW w:w="1361" w:type="dxa"/>
            <w:vAlign w:val="center"/>
          </w:tcPr>
          <w:p>
            <w:pPr>
              <w:pStyle w:val="13"/>
            </w:pPr>
            <w:r>
              <w:t>8.50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8.50</w:t>
            </w:r>
          </w:p>
        </w:tc>
        <w:tc>
          <w:tcPr>
            <w:tcW w:w="1361" w:type="dxa"/>
            <w:vAlign w:val="center"/>
          </w:tcPr>
          <w:p>
            <w:pPr>
              <w:pStyle w:val="13"/>
            </w:pPr>
            <w:r>
              <w:t>8.50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3.40</w:t>
            </w:r>
          </w:p>
        </w:tc>
        <w:tc>
          <w:tcPr>
            <w:tcW w:w="1361" w:type="dxa"/>
            <w:vAlign w:val="center"/>
          </w:tcPr>
          <w:p>
            <w:pPr>
              <w:pStyle w:val="13"/>
            </w:pPr>
            <w:r>
              <w:t>3.40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3.40</w:t>
            </w:r>
          </w:p>
        </w:tc>
        <w:tc>
          <w:tcPr>
            <w:tcW w:w="1361" w:type="dxa"/>
            <w:vAlign w:val="center"/>
          </w:tcPr>
          <w:p>
            <w:pPr>
              <w:pStyle w:val="13"/>
            </w:pPr>
            <w:r>
              <w:t>3.40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3.40</w:t>
            </w:r>
          </w:p>
        </w:tc>
        <w:tc>
          <w:tcPr>
            <w:tcW w:w="1361" w:type="dxa"/>
            <w:vAlign w:val="center"/>
          </w:tcPr>
          <w:p>
            <w:pPr>
              <w:pStyle w:val="13"/>
            </w:pPr>
            <w:r>
              <w:t>3.40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216</w:t>
            </w:r>
          </w:p>
        </w:tc>
        <w:tc>
          <w:tcPr>
            <w:tcW w:w="4535" w:type="dxa"/>
            <w:vAlign w:val="center"/>
          </w:tcPr>
          <w:p>
            <w:pPr>
              <w:pStyle w:val="14"/>
            </w:pPr>
            <w:r>
              <w:t>商业服务业等支出</w:t>
            </w: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21602</w:t>
            </w:r>
          </w:p>
        </w:tc>
        <w:tc>
          <w:tcPr>
            <w:tcW w:w="4535" w:type="dxa"/>
            <w:vAlign w:val="center"/>
          </w:tcPr>
          <w:p>
            <w:pPr>
              <w:pStyle w:val="14"/>
            </w:pPr>
            <w:r>
              <w:t>商业流通事务</w:t>
            </w: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2160219</w:t>
            </w:r>
          </w:p>
        </w:tc>
        <w:tc>
          <w:tcPr>
            <w:tcW w:w="4535" w:type="dxa"/>
            <w:vAlign w:val="center"/>
          </w:tcPr>
          <w:p>
            <w:pPr>
              <w:pStyle w:val="14"/>
            </w:pPr>
            <w:r>
              <w:t>民贸民品贷款贴息</w:t>
            </w: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5.20</w:t>
            </w:r>
          </w:p>
        </w:tc>
        <w:tc>
          <w:tcPr>
            <w:tcW w:w="1361" w:type="dxa"/>
            <w:vAlign w:val="center"/>
          </w:tcPr>
          <w:p>
            <w:pPr>
              <w:pStyle w:val="13"/>
            </w:pPr>
            <w:r>
              <w:t>5.20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5.20</w:t>
            </w:r>
          </w:p>
        </w:tc>
        <w:tc>
          <w:tcPr>
            <w:tcW w:w="1361" w:type="dxa"/>
            <w:vAlign w:val="center"/>
          </w:tcPr>
          <w:p>
            <w:pPr>
              <w:pStyle w:val="13"/>
            </w:pPr>
            <w:r>
              <w:t>5.20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5.20</w:t>
            </w:r>
          </w:p>
        </w:tc>
        <w:tc>
          <w:tcPr>
            <w:tcW w:w="1361" w:type="dxa"/>
            <w:vAlign w:val="center"/>
          </w:tcPr>
          <w:p>
            <w:pPr>
              <w:pStyle w:val="13"/>
            </w:pPr>
            <w:r>
              <w:t>5.20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207001中共高阳县委统战部（机关）</w:t>
            </w:r>
          </w:p>
        </w:tc>
        <w:tc>
          <w:tcPr>
            <w:tcW w:w="3402" w:type="dxa"/>
            <w:tcBorders>
              <w:top w:val="single" w:color="FFFFFF" w:sz="6" w:space="0"/>
              <w:left w:val="single" w:color="FFFFFF" w:sz="6" w:space="0"/>
              <w:right w:val="single" w:color="FFFFFF" w:sz="6" w:space="0"/>
            </w:tcBorders>
            <w:vAlign w:val="center"/>
          </w:tcPr>
          <w:p>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175.55</w:t>
            </w:r>
          </w:p>
        </w:tc>
        <w:tc>
          <w:tcPr>
            <w:tcW w:w="3402" w:type="dxa"/>
            <w:vAlign w:val="center"/>
          </w:tcPr>
          <w:p>
            <w:pPr>
              <w:pStyle w:val="14"/>
            </w:pPr>
            <w:r>
              <w:t>一、一般公共服务支出</w:t>
            </w:r>
          </w:p>
        </w:tc>
        <w:tc>
          <w:tcPr>
            <w:tcW w:w="1474" w:type="dxa"/>
            <w:vAlign w:val="center"/>
          </w:tcPr>
          <w:p>
            <w:pPr>
              <w:pStyle w:val="13"/>
            </w:pPr>
            <w:r>
              <w:t>152.45</w:t>
            </w:r>
          </w:p>
        </w:tc>
        <w:tc>
          <w:tcPr>
            <w:tcW w:w="1474" w:type="dxa"/>
            <w:vAlign w:val="center"/>
          </w:tcPr>
          <w:p>
            <w:pPr>
              <w:pStyle w:val="13"/>
            </w:pPr>
            <w:r>
              <w:t>152.45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8.50</w:t>
            </w:r>
          </w:p>
        </w:tc>
        <w:tc>
          <w:tcPr>
            <w:tcW w:w="1474" w:type="dxa"/>
            <w:vAlign w:val="center"/>
          </w:tcPr>
          <w:p>
            <w:pPr>
              <w:pStyle w:val="13"/>
            </w:pPr>
            <w:r>
              <w:t>8.50</w:t>
            </w: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3.40</w:t>
            </w:r>
          </w:p>
        </w:tc>
        <w:tc>
          <w:tcPr>
            <w:tcW w:w="1474" w:type="dxa"/>
            <w:vAlign w:val="center"/>
          </w:tcPr>
          <w:p>
            <w:pPr>
              <w:pStyle w:val="13"/>
            </w:pPr>
            <w:r>
              <w:t>3.40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r>
              <w:t>6.00</w:t>
            </w:r>
          </w:p>
        </w:tc>
        <w:tc>
          <w:tcPr>
            <w:tcW w:w="1474" w:type="dxa"/>
            <w:vAlign w:val="center"/>
          </w:tcPr>
          <w:p>
            <w:pPr>
              <w:pStyle w:val="13"/>
            </w:pPr>
            <w:r>
              <w:t>6.00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5.20</w:t>
            </w:r>
          </w:p>
        </w:tc>
        <w:tc>
          <w:tcPr>
            <w:tcW w:w="1474" w:type="dxa"/>
            <w:vAlign w:val="center"/>
          </w:tcPr>
          <w:p>
            <w:pPr>
              <w:pStyle w:val="13"/>
            </w:pPr>
            <w:r>
              <w:t>5.20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6"/>
            </w:pPr>
            <w:r>
              <w:t>本年收入合计</w:t>
            </w:r>
          </w:p>
        </w:tc>
        <w:tc>
          <w:tcPr>
            <w:tcW w:w="1474" w:type="dxa"/>
            <w:vAlign w:val="center"/>
          </w:tcPr>
          <w:p>
            <w:pPr>
              <w:pStyle w:val="17"/>
            </w:pPr>
            <w:r>
              <w:t>175.55</w:t>
            </w:r>
          </w:p>
        </w:tc>
        <w:tc>
          <w:tcPr>
            <w:tcW w:w="3402" w:type="dxa"/>
            <w:vAlign w:val="center"/>
          </w:tcPr>
          <w:p>
            <w:pPr>
              <w:pStyle w:val="16"/>
            </w:pPr>
            <w:r>
              <w:t>本年支出合计</w:t>
            </w:r>
          </w:p>
        </w:tc>
        <w:tc>
          <w:tcPr>
            <w:tcW w:w="1474" w:type="dxa"/>
            <w:vAlign w:val="center"/>
          </w:tcPr>
          <w:p>
            <w:pPr>
              <w:pStyle w:val="17"/>
            </w:pPr>
            <w:r>
              <w:t>175.55</w:t>
            </w:r>
          </w:p>
        </w:tc>
        <w:tc>
          <w:tcPr>
            <w:tcW w:w="1474" w:type="dxa"/>
            <w:vAlign w:val="center"/>
          </w:tcPr>
          <w:p>
            <w:pPr>
              <w:pStyle w:val="17"/>
            </w:pPr>
            <w:r>
              <w:t>175.55</w:t>
            </w:r>
          </w:p>
        </w:tc>
        <w:tc>
          <w:tcPr>
            <w:tcW w:w="1474" w:type="dxa"/>
            <w:vAlign w:val="center"/>
          </w:tcPr>
          <w:p>
            <w:pPr>
              <w:pStyle w:val="17"/>
            </w:pPr>
          </w:p>
        </w:tc>
        <w:tc>
          <w:tcPr>
            <w:tcW w:w="1474" w:type="dxa"/>
            <w:vAlign w:val="center"/>
          </w:tcPr>
          <w:p>
            <w:pPr>
              <w:pStyle w:val="17"/>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6"/>
            </w:pPr>
            <w:r>
              <w:t>收入总计</w:t>
            </w:r>
          </w:p>
        </w:tc>
        <w:tc>
          <w:tcPr>
            <w:tcW w:w="1474" w:type="dxa"/>
            <w:vAlign w:val="center"/>
          </w:tcPr>
          <w:p>
            <w:pPr>
              <w:pStyle w:val="17"/>
            </w:pPr>
            <w:r>
              <w:t>175.55</w:t>
            </w:r>
          </w:p>
        </w:tc>
        <w:tc>
          <w:tcPr>
            <w:tcW w:w="3402" w:type="dxa"/>
            <w:vAlign w:val="center"/>
          </w:tcPr>
          <w:p>
            <w:pPr>
              <w:pStyle w:val="16"/>
            </w:pPr>
            <w:r>
              <w:t>支出总计</w:t>
            </w:r>
          </w:p>
        </w:tc>
        <w:tc>
          <w:tcPr>
            <w:tcW w:w="1474" w:type="dxa"/>
            <w:vAlign w:val="center"/>
          </w:tcPr>
          <w:p>
            <w:pPr>
              <w:pStyle w:val="17"/>
            </w:pPr>
            <w:r>
              <w:t>175.55</w:t>
            </w:r>
          </w:p>
        </w:tc>
        <w:tc>
          <w:tcPr>
            <w:tcW w:w="1474" w:type="dxa"/>
            <w:vAlign w:val="center"/>
          </w:tcPr>
          <w:p>
            <w:pPr>
              <w:pStyle w:val="17"/>
            </w:pPr>
            <w:r>
              <w:t>175.55</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207001中共高阳县委统战部（机关）</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175.55</w:t>
            </w:r>
          </w:p>
        </w:tc>
        <w:tc>
          <w:tcPr>
            <w:tcW w:w="2551" w:type="dxa"/>
            <w:vAlign w:val="center"/>
          </w:tcPr>
          <w:p>
            <w:pPr>
              <w:pStyle w:val="17"/>
            </w:pPr>
            <w:r>
              <w:t>95.55</w:t>
            </w:r>
          </w:p>
        </w:tc>
        <w:tc>
          <w:tcPr>
            <w:tcW w:w="2551" w:type="dxa"/>
            <w:vAlign w:val="center"/>
          </w:tcPr>
          <w:p>
            <w:pPr>
              <w:pStyle w:val="17"/>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152.45</w:t>
            </w:r>
          </w:p>
        </w:tc>
        <w:tc>
          <w:tcPr>
            <w:tcW w:w="2551" w:type="dxa"/>
            <w:vAlign w:val="center"/>
          </w:tcPr>
          <w:p>
            <w:pPr>
              <w:pStyle w:val="13"/>
            </w:pPr>
            <w:r>
              <w:t>78.45</w:t>
            </w:r>
          </w:p>
        </w:tc>
        <w:tc>
          <w:tcPr>
            <w:tcW w:w="2551" w:type="dxa"/>
            <w:vAlign w:val="center"/>
          </w:tcPr>
          <w:p>
            <w:pPr>
              <w:pStyle w:val="13"/>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20134</w:t>
            </w:r>
          </w:p>
        </w:tc>
        <w:tc>
          <w:tcPr>
            <w:tcW w:w="4535" w:type="dxa"/>
            <w:vAlign w:val="center"/>
          </w:tcPr>
          <w:p>
            <w:pPr>
              <w:pStyle w:val="14"/>
            </w:pPr>
            <w:r>
              <w:t>统战事务</w:t>
            </w:r>
          </w:p>
        </w:tc>
        <w:tc>
          <w:tcPr>
            <w:tcW w:w="2551" w:type="dxa"/>
            <w:vAlign w:val="center"/>
          </w:tcPr>
          <w:p>
            <w:pPr>
              <w:pStyle w:val="13"/>
            </w:pPr>
            <w:r>
              <w:t>152.45</w:t>
            </w:r>
          </w:p>
        </w:tc>
        <w:tc>
          <w:tcPr>
            <w:tcW w:w="2551" w:type="dxa"/>
            <w:vAlign w:val="center"/>
          </w:tcPr>
          <w:p>
            <w:pPr>
              <w:pStyle w:val="13"/>
            </w:pPr>
            <w:r>
              <w:t>78.45</w:t>
            </w:r>
          </w:p>
        </w:tc>
        <w:tc>
          <w:tcPr>
            <w:tcW w:w="2551" w:type="dxa"/>
            <w:vAlign w:val="center"/>
          </w:tcPr>
          <w:p>
            <w:pPr>
              <w:pStyle w:val="13"/>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2013401</w:t>
            </w:r>
          </w:p>
        </w:tc>
        <w:tc>
          <w:tcPr>
            <w:tcW w:w="4535" w:type="dxa"/>
            <w:vAlign w:val="center"/>
          </w:tcPr>
          <w:p>
            <w:pPr>
              <w:pStyle w:val="14"/>
            </w:pPr>
            <w:r>
              <w:t>行政运行</w:t>
            </w:r>
          </w:p>
        </w:tc>
        <w:tc>
          <w:tcPr>
            <w:tcW w:w="2551" w:type="dxa"/>
            <w:vAlign w:val="center"/>
          </w:tcPr>
          <w:p>
            <w:pPr>
              <w:pStyle w:val="13"/>
            </w:pPr>
            <w:r>
              <w:t>78.45</w:t>
            </w:r>
          </w:p>
        </w:tc>
        <w:tc>
          <w:tcPr>
            <w:tcW w:w="2551" w:type="dxa"/>
            <w:vAlign w:val="center"/>
          </w:tcPr>
          <w:p>
            <w:pPr>
              <w:pStyle w:val="13"/>
            </w:pPr>
            <w:r>
              <w:t>78.45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2013404</w:t>
            </w:r>
          </w:p>
        </w:tc>
        <w:tc>
          <w:tcPr>
            <w:tcW w:w="4535" w:type="dxa"/>
            <w:vAlign w:val="center"/>
          </w:tcPr>
          <w:p>
            <w:pPr>
              <w:pStyle w:val="14"/>
            </w:pPr>
            <w:r>
              <w:t>宗教事务</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2013499</w:t>
            </w:r>
          </w:p>
        </w:tc>
        <w:tc>
          <w:tcPr>
            <w:tcW w:w="4535" w:type="dxa"/>
            <w:vAlign w:val="center"/>
          </w:tcPr>
          <w:p>
            <w:pPr>
              <w:pStyle w:val="14"/>
            </w:pPr>
            <w:r>
              <w:t>其他统战事务支出</w:t>
            </w:r>
          </w:p>
        </w:tc>
        <w:tc>
          <w:tcPr>
            <w:tcW w:w="2551" w:type="dxa"/>
            <w:vAlign w:val="center"/>
          </w:tcPr>
          <w:p>
            <w:pPr>
              <w:pStyle w:val="13"/>
            </w:pPr>
            <w:r>
              <w:t>66.00</w:t>
            </w:r>
          </w:p>
        </w:tc>
        <w:tc>
          <w:tcPr>
            <w:tcW w:w="2551" w:type="dxa"/>
            <w:vAlign w:val="center"/>
          </w:tcPr>
          <w:p>
            <w:pPr>
              <w:pStyle w:val="13"/>
            </w:pPr>
          </w:p>
        </w:tc>
        <w:tc>
          <w:tcPr>
            <w:tcW w:w="2551" w:type="dxa"/>
            <w:vAlign w:val="center"/>
          </w:tcPr>
          <w:p>
            <w:pPr>
              <w:pStyle w:val="13"/>
            </w:pPr>
            <w:r>
              <w:t>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8.50</w:t>
            </w:r>
          </w:p>
        </w:tc>
        <w:tc>
          <w:tcPr>
            <w:tcW w:w="2551" w:type="dxa"/>
            <w:vAlign w:val="center"/>
          </w:tcPr>
          <w:p>
            <w:pPr>
              <w:pStyle w:val="13"/>
            </w:pPr>
            <w:r>
              <w:t>8.50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8.50</w:t>
            </w:r>
          </w:p>
        </w:tc>
        <w:tc>
          <w:tcPr>
            <w:tcW w:w="2551" w:type="dxa"/>
            <w:vAlign w:val="center"/>
          </w:tcPr>
          <w:p>
            <w:pPr>
              <w:pStyle w:val="13"/>
            </w:pPr>
            <w:r>
              <w:t>8.50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8.50</w:t>
            </w:r>
          </w:p>
        </w:tc>
        <w:tc>
          <w:tcPr>
            <w:tcW w:w="2551" w:type="dxa"/>
            <w:vAlign w:val="center"/>
          </w:tcPr>
          <w:p>
            <w:pPr>
              <w:pStyle w:val="13"/>
            </w:pPr>
            <w:r>
              <w:t>8.50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3.40</w:t>
            </w:r>
          </w:p>
        </w:tc>
        <w:tc>
          <w:tcPr>
            <w:tcW w:w="2551" w:type="dxa"/>
            <w:vAlign w:val="center"/>
          </w:tcPr>
          <w:p>
            <w:pPr>
              <w:pStyle w:val="13"/>
            </w:pPr>
            <w:r>
              <w:t>3.40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3.40</w:t>
            </w:r>
          </w:p>
        </w:tc>
        <w:tc>
          <w:tcPr>
            <w:tcW w:w="2551" w:type="dxa"/>
            <w:vAlign w:val="center"/>
          </w:tcPr>
          <w:p>
            <w:pPr>
              <w:pStyle w:val="13"/>
            </w:pPr>
            <w:r>
              <w:t>3.40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3.40</w:t>
            </w:r>
          </w:p>
        </w:tc>
        <w:tc>
          <w:tcPr>
            <w:tcW w:w="2551" w:type="dxa"/>
            <w:vAlign w:val="center"/>
          </w:tcPr>
          <w:p>
            <w:pPr>
              <w:pStyle w:val="13"/>
            </w:pPr>
            <w:r>
              <w:t>3.40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216</w:t>
            </w:r>
          </w:p>
        </w:tc>
        <w:tc>
          <w:tcPr>
            <w:tcW w:w="4535" w:type="dxa"/>
            <w:vAlign w:val="center"/>
          </w:tcPr>
          <w:p>
            <w:pPr>
              <w:pStyle w:val="14"/>
            </w:pPr>
            <w:r>
              <w:t>商业服务业等支出</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21602</w:t>
            </w:r>
          </w:p>
        </w:tc>
        <w:tc>
          <w:tcPr>
            <w:tcW w:w="4535" w:type="dxa"/>
            <w:vAlign w:val="center"/>
          </w:tcPr>
          <w:p>
            <w:pPr>
              <w:pStyle w:val="14"/>
            </w:pPr>
            <w:r>
              <w:t>商业流通事务</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2160219</w:t>
            </w:r>
          </w:p>
        </w:tc>
        <w:tc>
          <w:tcPr>
            <w:tcW w:w="4535" w:type="dxa"/>
            <w:vAlign w:val="center"/>
          </w:tcPr>
          <w:p>
            <w:pPr>
              <w:pStyle w:val="14"/>
            </w:pPr>
            <w:r>
              <w:t>民贸民品贷款贴息</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5.20</w:t>
            </w:r>
          </w:p>
        </w:tc>
        <w:tc>
          <w:tcPr>
            <w:tcW w:w="2551" w:type="dxa"/>
            <w:vAlign w:val="center"/>
          </w:tcPr>
          <w:p>
            <w:pPr>
              <w:pStyle w:val="13"/>
            </w:pPr>
            <w:r>
              <w:t>5.20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5.20</w:t>
            </w:r>
          </w:p>
        </w:tc>
        <w:tc>
          <w:tcPr>
            <w:tcW w:w="2551" w:type="dxa"/>
            <w:vAlign w:val="center"/>
          </w:tcPr>
          <w:p>
            <w:pPr>
              <w:pStyle w:val="13"/>
            </w:pPr>
            <w:r>
              <w:t>5.20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5.20</w:t>
            </w:r>
          </w:p>
        </w:tc>
        <w:tc>
          <w:tcPr>
            <w:tcW w:w="2551" w:type="dxa"/>
            <w:vAlign w:val="center"/>
          </w:tcPr>
          <w:p>
            <w:pPr>
              <w:pStyle w:val="13"/>
            </w:pPr>
            <w:r>
              <w:t>5.20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207001中共高阳县委统战部（机关）</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95.55</w:t>
            </w:r>
          </w:p>
        </w:tc>
        <w:tc>
          <w:tcPr>
            <w:tcW w:w="2551" w:type="dxa"/>
            <w:vAlign w:val="center"/>
          </w:tcPr>
          <w:p>
            <w:pPr>
              <w:pStyle w:val="17"/>
            </w:pPr>
            <w:r>
              <w:t>76.64</w:t>
            </w:r>
          </w:p>
        </w:tc>
        <w:tc>
          <w:tcPr>
            <w:tcW w:w="2551" w:type="dxa"/>
            <w:vAlign w:val="center"/>
          </w:tcPr>
          <w:p>
            <w:pPr>
              <w:pStyle w:val="17"/>
            </w:pPr>
            <w:r>
              <w:t>18.91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76.11</w:t>
            </w:r>
          </w:p>
        </w:tc>
        <w:tc>
          <w:tcPr>
            <w:tcW w:w="2551" w:type="dxa"/>
            <w:vAlign w:val="center"/>
          </w:tcPr>
          <w:p>
            <w:pPr>
              <w:pStyle w:val="13"/>
            </w:pPr>
            <w:r>
              <w:t>76.11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34.00</w:t>
            </w:r>
          </w:p>
        </w:tc>
        <w:tc>
          <w:tcPr>
            <w:tcW w:w="2551" w:type="dxa"/>
            <w:vAlign w:val="center"/>
          </w:tcPr>
          <w:p>
            <w:pPr>
              <w:pStyle w:val="13"/>
            </w:pPr>
            <w:r>
              <w:t>34.00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21.44</w:t>
            </w:r>
          </w:p>
        </w:tc>
        <w:tc>
          <w:tcPr>
            <w:tcW w:w="2551" w:type="dxa"/>
            <w:vAlign w:val="center"/>
          </w:tcPr>
          <w:p>
            <w:pPr>
              <w:pStyle w:val="13"/>
            </w:pPr>
            <w:r>
              <w:t>21.44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3.20</w:t>
            </w:r>
          </w:p>
        </w:tc>
        <w:tc>
          <w:tcPr>
            <w:tcW w:w="2551" w:type="dxa"/>
            <w:vAlign w:val="center"/>
          </w:tcPr>
          <w:p>
            <w:pPr>
              <w:pStyle w:val="13"/>
            </w:pPr>
            <w:r>
              <w:t>3.20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8.50</w:t>
            </w:r>
          </w:p>
        </w:tc>
        <w:tc>
          <w:tcPr>
            <w:tcW w:w="2551" w:type="dxa"/>
            <w:vAlign w:val="center"/>
          </w:tcPr>
          <w:p>
            <w:pPr>
              <w:pStyle w:val="13"/>
            </w:pPr>
            <w:r>
              <w:t>8.50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城镇职工基本医疗保险缴费</w:t>
            </w:r>
          </w:p>
        </w:tc>
        <w:tc>
          <w:tcPr>
            <w:tcW w:w="2551" w:type="dxa"/>
            <w:vAlign w:val="center"/>
          </w:tcPr>
          <w:p>
            <w:pPr>
              <w:pStyle w:val="13"/>
            </w:pPr>
            <w:r>
              <w:t>3.40</w:t>
            </w:r>
          </w:p>
        </w:tc>
        <w:tc>
          <w:tcPr>
            <w:tcW w:w="2551" w:type="dxa"/>
            <w:vAlign w:val="center"/>
          </w:tcPr>
          <w:p>
            <w:pPr>
              <w:pStyle w:val="13"/>
            </w:pPr>
            <w:r>
              <w:t>3.40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0.37</w:t>
            </w:r>
          </w:p>
        </w:tc>
        <w:tc>
          <w:tcPr>
            <w:tcW w:w="2551" w:type="dxa"/>
            <w:vAlign w:val="center"/>
          </w:tcPr>
          <w:p>
            <w:pPr>
              <w:pStyle w:val="13"/>
            </w:pPr>
            <w:r>
              <w:t>0.37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5.20</w:t>
            </w:r>
          </w:p>
        </w:tc>
        <w:tc>
          <w:tcPr>
            <w:tcW w:w="2551" w:type="dxa"/>
            <w:vAlign w:val="center"/>
          </w:tcPr>
          <w:p>
            <w:pPr>
              <w:pStyle w:val="13"/>
            </w:pPr>
            <w:r>
              <w:t>5.20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18.91</w:t>
            </w:r>
          </w:p>
        </w:tc>
        <w:tc>
          <w:tcPr>
            <w:tcW w:w="2551" w:type="dxa"/>
            <w:vAlign w:val="center"/>
          </w:tcPr>
          <w:p>
            <w:pPr>
              <w:pStyle w:val="13"/>
            </w:pPr>
          </w:p>
        </w:tc>
        <w:tc>
          <w:tcPr>
            <w:tcW w:w="2551" w:type="dxa"/>
            <w:vAlign w:val="center"/>
          </w:tcPr>
          <w:p>
            <w:pPr>
              <w:pStyle w:val="13"/>
            </w:pPr>
            <w:r>
              <w:t>18.91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3.60</w:t>
            </w:r>
          </w:p>
        </w:tc>
        <w:tc>
          <w:tcPr>
            <w:tcW w:w="2551" w:type="dxa"/>
            <w:vAlign w:val="center"/>
          </w:tcPr>
          <w:p>
            <w:pPr>
              <w:pStyle w:val="13"/>
            </w:pPr>
          </w:p>
        </w:tc>
        <w:tc>
          <w:tcPr>
            <w:tcW w:w="2551" w:type="dxa"/>
            <w:vAlign w:val="center"/>
          </w:tcPr>
          <w:p>
            <w:pPr>
              <w:pStyle w:val="13"/>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3.54</w:t>
            </w:r>
          </w:p>
        </w:tc>
        <w:tc>
          <w:tcPr>
            <w:tcW w:w="2551" w:type="dxa"/>
            <w:vAlign w:val="center"/>
          </w:tcPr>
          <w:p>
            <w:pPr>
              <w:pStyle w:val="13"/>
            </w:pPr>
          </w:p>
        </w:tc>
        <w:tc>
          <w:tcPr>
            <w:tcW w:w="2551" w:type="dxa"/>
            <w:vAlign w:val="center"/>
          </w:tcPr>
          <w:p>
            <w:pPr>
              <w:pStyle w:val="13"/>
            </w:pPr>
            <w:r>
              <w:t>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0.34</w:t>
            </w:r>
          </w:p>
        </w:tc>
        <w:tc>
          <w:tcPr>
            <w:tcW w:w="2551" w:type="dxa"/>
            <w:vAlign w:val="center"/>
          </w:tcPr>
          <w:p>
            <w:pPr>
              <w:pStyle w:val="13"/>
            </w:pPr>
          </w:p>
        </w:tc>
        <w:tc>
          <w:tcPr>
            <w:tcW w:w="2551" w:type="dxa"/>
            <w:vAlign w:val="center"/>
          </w:tcPr>
          <w:p>
            <w:pPr>
              <w:pStyle w:val="13"/>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1.06</w:t>
            </w:r>
          </w:p>
        </w:tc>
        <w:tc>
          <w:tcPr>
            <w:tcW w:w="2551" w:type="dxa"/>
            <w:vAlign w:val="center"/>
          </w:tcPr>
          <w:p>
            <w:pPr>
              <w:pStyle w:val="13"/>
            </w:pPr>
          </w:p>
        </w:tc>
        <w:tc>
          <w:tcPr>
            <w:tcW w:w="2551" w:type="dxa"/>
            <w:vAlign w:val="center"/>
          </w:tcPr>
          <w:p>
            <w:pPr>
              <w:pStyle w:val="13"/>
            </w:pPr>
            <w:r>
              <w:t>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0.80</w:t>
            </w:r>
          </w:p>
        </w:tc>
        <w:tc>
          <w:tcPr>
            <w:tcW w:w="2551" w:type="dxa"/>
            <w:vAlign w:val="center"/>
          </w:tcPr>
          <w:p>
            <w:pPr>
              <w:pStyle w:val="13"/>
            </w:pPr>
          </w:p>
        </w:tc>
        <w:tc>
          <w:tcPr>
            <w:tcW w:w="2551" w:type="dxa"/>
            <w:vAlign w:val="center"/>
          </w:tcPr>
          <w:p>
            <w:pPr>
              <w:pStyle w:val="13"/>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5.64</w:t>
            </w:r>
          </w:p>
        </w:tc>
        <w:tc>
          <w:tcPr>
            <w:tcW w:w="2551" w:type="dxa"/>
            <w:vAlign w:val="center"/>
          </w:tcPr>
          <w:p>
            <w:pPr>
              <w:pStyle w:val="13"/>
            </w:pPr>
          </w:p>
        </w:tc>
        <w:tc>
          <w:tcPr>
            <w:tcW w:w="2551" w:type="dxa"/>
            <w:vAlign w:val="center"/>
          </w:tcPr>
          <w:p>
            <w:pPr>
              <w:pStyle w:val="13"/>
            </w:pPr>
            <w:r>
              <w:t>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0.93</w:t>
            </w:r>
          </w:p>
        </w:tc>
        <w:tc>
          <w:tcPr>
            <w:tcW w:w="2551" w:type="dxa"/>
            <w:vAlign w:val="center"/>
          </w:tcPr>
          <w:p>
            <w:pPr>
              <w:pStyle w:val="13"/>
            </w:pPr>
          </w:p>
        </w:tc>
        <w:tc>
          <w:tcPr>
            <w:tcW w:w="2551" w:type="dxa"/>
            <w:vAlign w:val="center"/>
          </w:tcPr>
          <w:p>
            <w:pPr>
              <w:pStyle w:val="13"/>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0.53</w:t>
            </w:r>
          </w:p>
        </w:tc>
        <w:tc>
          <w:tcPr>
            <w:tcW w:w="2551" w:type="dxa"/>
            <w:vAlign w:val="center"/>
          </w:tcPr>
          <w:p>
            <w:pPr>
              <w:pStyle w:val="13"/>
            </w:pPr>
            <w:r>
              <w:t>0.53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0.53</w:t>
            </w:r>
          </w:p>
        </w:tc>
        <w:tc>
          <w:tcPr>
            <w:tcW w:w="2551" w:type="dxa"/>
            <w:vAlign w:val="center"/>
          </w:tcPr>
          <w:p>
            <w:pPr>
              <w:pStyle w:val="13"/>
            </w:pPr>
            <w:r>
              <w:t>0.53</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207001中共高阳县委统战部（机关）</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207001中共高阳县委统战部（机关）</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207001中共高阳县委统战部（机关）</w:t>
            </w:r>
          </w:p>
        </w:tc>
        <w:tc>
          <w:tcPr>
            <w:tcW w:w="2381" w:type="dxa"/>
            <w:tcBorders>
              <w:top w:val="single" w:color="FFFFFF" w:sz="6" w:space="0"/>
              <w:left w:val="single" w:color="FFFFFF"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3.34</w:t>
            </w:r>
          </w:p>
        </w:tc>
        <w:tc>
          <w:tcPr>
            <w:tcW w:w="2381" w:type="dxa"/>
            <w:vAlign w:val="center"/>
          </w:tcPr>
          <w:p>
            <w:pPr>
              <w:pStyle w:val="17"/>
            </w:pPr>
            <w:r>
              <w:t>3.34</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3.34</w:t>
            </w:r>
          </w:p>
        </w:tc>
        <w:tc>
          <w:tcPr>
            <w:tcW w:w="2381" w:type="dxa"/>
            <w:vAlign w:val="center"/>
          </w:tcPr>
          <w:p>
            <w:pPr>
              <w:pStyle w:val="13"/>
            </w:pPr>
            <w:r>
              <w:t>3.34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3.00</w:t>
            </w:r>
          </w:p>
        </w:tc>
        <w:tc>
          <w:tcPr>
            <w:tcW w:w="2381" w:type="dxa"/>
            <w:vAlign w:val="center"/>
          </w:tcPr>
          <w:p>
            <w:pPr>
              <w:pStyle w:val="13"/>
            </w:pPr>
            <w:r>
              <w:t>3.00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3.00</w:t>
            </w:r>
          </w:p>
        </w:tc>
        <w:tc>
          <w:tcPr>
            <w:tcW w:w="2381" w:type="dxa"/>
            <w:vAlign w:val="center"/>
          </w:tcPr>
          <w:p>
            <w:pPr>
              <w:pStyle w:val="13"/>
            </w:pPr>
            <w:r>
              <w:t>3.00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0.34</w:t>
            </w:r>
          </w:p>
        </w:tc>
        <w:tc>
          <w:tcPr>
            <w:tcW w:w="2381" w:type="dxa"/>
            <w:vAlign w:val="center"/>
          </w:tcPr>
          <w:p>
            <w:pPr>
              <w:pStyle w:val="13"/>
            </w:pPr>
            <w:r>
              <w:t>0.34</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中共高阳县委统战部（机关）2022年单位预算信息公开情况说明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、《地方预决算公开操作规程》和《关于进一步推进预算公开工作的实施意见》规定，现将中共高阳县委统战部（机关）2022年单位预算公开如下：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7"/>
      </w:pPr>
      <w:r>
        <w:t>（一）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中央、省委、市委、县委关于统一战线工作重大决策部署，巩固壮大最广泛的爱国统一战线。</w:t>
      </w:r>
    </w:p>
    <w:p>
      <w:pPr>
        <w:pStyle w:val="27"/>
      </w:pPr>
      <w:r>
        <w:t>（二）开展统一战线理论研究，研究拟订统一战线工作</w:t>
      </w:r>
    </w:p>
    <w:p>
      <w:pPr>
        <w:pStyle w:val="27"/>
      </w:pPr>
      <w:r>
        <w:t>的政策草案，协调相关部门研究起草有关宗教、对台工作的地方性法规，并推动落实，深入调查研究，及时向县委报告统一战线工作情况并提出建议，统筹协调和指导各部门各单位统一战线工作。</w:t>
      </w:r>
    </w:p>
    <w:p>
      <w:pPr>
        <w:pStyle w:val="27"/>
      </w:pPr>
      <w:r>
        <w:t>（三）负责发现、培养党外代表人士，负责党外人士的政治安排，会同有关部门做好安排党外人士担任政府和司法机关等领导职务的工作，协助民主党派、县工商联做好干部管理工作，反映和协调解决党外代表人士工作生活中的实际困难。</w:t>
      </w:r>
    </w:p>
    <w:p>
      <w:pPr>
        <w:pStyle w:val="27"/>
      </w:pPr>
      <w:r>
        <w:t>(四）贯彻落实党的宣传工作方针政策，统筹推进全县统一战线宣传工作，加强统一战线意识形态领域建设，拟订全县统一战线宣传工作规划并组织实施，研判涉及统一战线的舆情并协调有关部门应对处置。</w:t>
      </w:r>
    </w:p>
    <w:p>
      <w:pPr>
        <w:pStyle w:val="27"/>
      </w:pPr>
      <w:r>
        <w:t>（五）负责联系各民主党派代表人士，通报情况、反映意见，贯彻落实中国共产党领导的多党合作和政治协商制度以及对民主党派的方针政策，支持、帮助民主党派代表人士加强自身建设，做好支持民主党派代表人士履行职责、发挥作用的工作。</w:t>
      </w:r>
    </w:p>
    <w:p>
      <w:pPr>
        <w:pStyle w:val="27"/>
      </w:pPr>
      <w:r>
        <w:t>（六）统一领导民族工作，贯彻落实党的民族工作方针，协调落实民族工作政策和重大措施，协调处理民族工作中的重大问题，根据分工做好少数民族干部和少数民族代表人士工作，依法管理民族事务，全面促进民族事业发展。 （七）贯彻落实党中央治疆、治藏工作方略，研究分析全县涉疆涉藏服务管理工作形势并提出政策建议，协调有关部门（单位）和各乡镇（街道）做好在高阳新疆、西藏籍少数民族群众及在校学生的服务管理工作，协助有关部门做好重点人员稳控、预防处置暴力恐怖活动等工作，推动党中央和省委、市委、县委涉疆涉藏有关决策部署贯彻落实。</w:t>
      </w:r>
    </w:p>
    <w:p>
      <w:pPr>
        <w:pStyle w:val="27"/>
      </w:pPr>
      <w:r>
        <w:t>（八）统一领导宗教工作，贯彻落实党和国家的宗教工作基本方针政策和法律法规，对重要宗教问题进行调查研究，研究拟订宗教工作的政策措施并督促落实。协调各乡镇（街道）及有关部门、单位依法管理宗教事务，妥善处理重大突发问题，保护公民宗教信仰自由和正常的宗教活动，维护宗教界合法权益，抵御境外利用宗教进行渗透。联系、培养宗教界代表人士，指导帮助宗教团体加强自身建设，引导各宗教坚持中国化方向，巩固和发展同宗教界的爱国统一战线。</w:t>
      </w:r>
    </w:p>
    <w:p>
      <w:pPr>
        <w:pStyle w:val="27"/>
      </w:pPr>
      <w:r>
        <w:t>（九）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国有企业等有关单位和社会组织开展党外知识分子和新的社会阶层人士统战工作。</w:t>
      </w:r>
    </w:p>
    <w:p>
      <w:pPr>
        <w:pStyle w:val="27"/>
      </w:pPr>
      <w:r>
        <w:t>（十）参与制定、推动落实鼓励支持引导非公有制经济发展的政策措施，调查研究非公有制经济人士情况并提出政策建议了解和反映非公有制经济人士的意见，团结、服务、引导、教育非公有制经济人士，构建“亲”“清”新型政商关系，促进非公有制经济健康发展和非公有制经济人士健康成长。</w:t>
      </w:r>
    </w:p>
    <w:p>
      <w:pPr>
        <w:pStyle w:val="27"/>
      </w:pPr>
      <w:r>
        <w:t>（十一）统一领导全县海外统战工作，牵头开展港澳统战工作，开展对台统战工作。贯彻落实党的海外统战工作方针政策并组织协调、督促检查落实，会同有关部门对香港、澳门地区统一战线工作进行调查研究并提出政策建议，联系香港、澳门、台湾有关党派、团体及代表人士，联系海外有关社团及代表人士，做好台胞、台属有关工作。做好统一战线外事管理工作。</w:t>
      </w:r>
    </w:p>
    <w:p>
      <w:pPr>
        <w:pStyle w:val="27"/>
      </w:pPr>
      <w:r>
        <w:t>（十二）统一领导全县涉台工作。贯彻执行党中央、国务院对台工作的方针政策，开展对台工作调查研究，掌握高台经贸之间交流交往动向，并结合我县实际提出对策和建议。组织、指导、管理、协调县委、县政府各部门和各乡镇（街道）的对台工作。检查了解各乡镇（街道）、各部门对党中央、国务院对台方针政策和省委、省政府、市委、市政府、县委、县政府有关对台工作指示贯彻落实情况。会同有关部门统筹协调和指导对台经贸工作。组织重要台商的投资活动，参与县政府对台大型招商活动。协调、指导全县涉台金融、文化、学术、教育、科技、体育、卫生等领域的交流与合作及高台人员往来工作。根据国台办、省台办、市台办授权，负责我县赴台交流事项的报批、审核和赴台交流人员的行前指导及归后总结工作。开展对台宣传和涉台教育工作，负责全县有关涉台事务的新闻发布。协调、处理县内涉台重大事件和法律事务。指导县各民主党派代表人士、工商联和其他群众团体有关重点人士、重大活动方面的涉台工作。</w:t>
      </w:r>
    </w:p>
    <w:p>
      <w:pPr>
        <w:pStyle w:val="27"/>
      </w:pPr>
      <w:r>
        <w:t>（十三）统一管理全县侨务工作，贯彻落实党的侨务工作方针政策并组织协调、督促检查落实，调查研究侨情和侨务工作情况，管理侨务行政事务，统筹协调有关部门和社会团体涉侨工作，联系海外有关侨团和代表人士，指导推动涉侨宣传、文化交流、华文教育工作等，保护华侨和归侨侨眷在我县的合法权利和利益。</w:t>
      </w:r>
    </w:p>
    <w:p>
      <w:pPr>
        <w:pStyle w:val="27"/>
      </w:pPr>
      <w:r>
        <w:t>（十四）受县委委托，领导县工商联党组，指导工商联工作。代管县侨联、县海外联谊会。做好统一战线有关单位和团体的管理工作。负责县委统一战线工作领导小组、县宗教工作领导小组、县对台工作领导小组的日常工作。</w:t>
      </w:r>
    </w:p>
    <w:p>
      <w:pPr>
        <w:pStyle w:val="27"/>
      </w:pPr>
      <w:r>
        <w:t>（十五）完成县委交办的其他任务。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中共高阳县委统战部（机关）</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s="Times New Roman"/>
          <w:color w:val="000000"/>
          <w:sz w:val="28"/>
        </w:rPr>
        <w:t>按照预算管理有关规定，目前我</w:t>
      </w:r>
      <w:r>
        <w:rPr>
          <w:rFonts w:hint="eastAsia" w:cs="Times New Roman" w:eastAsiaTheme="minorEastAsia"/>
          <w:color w:val="000000"/>
          <w:sz w:val="28"/>
          <w:lang w:eastAsia="zh-CN"/>
        </w:rPr>
        <w:t>县</w:t>
      </w:r>
      <w:r>
        <w:rPr>
          <w:rFonts w:eastAsia="方正仿宋_GBK" w:cs="Times New Roman"/>
          <w:color w:val="000000"/>
          <w:sz w:val="28"/>
        </w:rPr>
        <w:t>单位预算的编制实行综合预算管理，即全部收入和支出都反映在预算中。</w:t>
      </w:r>
    </w:p>
    <w:p>
      <w:pPr>
        <w:pStyle w:val="28"/>
      </w:pPr>
      <w:r>
        <w:t>1、收入说明</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zh-CN" w:bidi="ar-SA"/>
        </w:rPr>
        <w:t>反映本</w:t>
      </w:r>
      <w:r>
        <w:rPr>
          <w:rFonts w:hint="eastAsia" w:eastAsia="方正仿宋_GBK" w:cs="Times New Roman"/>
          <w:sz w:val="28"/>
          <w:szCs w:val="24"/>
          <w:lang w:val="en-US" w:eastAsia="zh-CN" w:bidi="ar-SA"/>
        </w:rPr>
        <w:t>单位</w:t>
      </w:r>
      <w:r>
        <w:rPr>
          <w:rFonts w:ascii="Times New Roman" w:hAnsi="Times New Roman" w:eastAsia="方正仿宋_GBK" w:cs="Times New Roman"/>
          <w:sz w:val="28"/>
          <w:szCs w:val="24"/>
          <w:lang w:val="en-US" w:eastAsia="zh-CN" w:bidi="ar-SA"/>
        </w:rPr>
        <w:t>当年全部收入。</w:t>
      </w:r>
      <w:r>
        <w:rPr>
          <w:rFonts w:ascii="Times New Roman" w:hAnsi="Times New Roman" w:eastAsia="方正仿宋_GBK" w:cs="Times New Roman"/>
          <w:sz w:val="28"/>
          <w:szCs w:val="24"/>
          <w:lang w:val="en-US" w:eastAsia="uk-UA" w:bidi="ar-SA"/>
        </w:rPr>
        <w:t>2022年预算收入总额为175.55万元。</w:t>
      </w:r>
      <w:r>
        <w:rPr>
          <w:rFonts w:hint="eastAsia" w:eastAsia="方正仿宋_GBK" w:cs="Times New Roman"/>
          <w:sz w:val="28"/>
          <w:szCs w:val="24"/>
          <w:lang w:val="en-US" w:eastAsia="zh-CN" w:bidi="ar-SA"/>
        </w:rPr>
        <w:t>其中</w:t>
      </w:r>
      <w:r>
        <w:rPr>
          <w:rFonts w:ascii="Times New Roman" w:hAnsi="Times New Roman" w:eastAsia="方正仿宋_GBK" w:cs="Times New Roman"/>
          <w:sz w:val="28"/>
          <w:szCs w:val="24"/>
          <w:lang w:val="en-US" w:eastAsia="uk-UA" w:bidi="ar-SA"/>
        </w:rPr>
        <w:t>，一般</w:t>
      </w:r>
      <w:r>
        <w:rPr>
          <w:rFonts w:hint="eastAsia" w:eastAsia="方正仿宋_GBK" w:cs="Times New Roman"/>
          <w:sz w:val="28"/>
          <w:szCs w:val="24"/>
          <w:lang w:val="en-US" w:eastAsia="zh-CN" w:bidi="ar-SA"/>
        </w:rPr>
        <w:t>公共</w:t>
      </w:r>
      <w:r>
        <w:rPr>
          <w:rFonts w:ascii="Times New Roman" w:hAnsi="Times New Roman" w:eastAsia="方正仿宋_GBK" w:cs="Times New Roman"/>
          <w:sz w:val="28"/>
          <w:szCs w:val="24"/>
          <w:lang w:val="en-US" w:eastAsia="uk-UA" w:bidi="ar-SA"/>
        </w:rPr>
        <w:t>预算收入175.55万元，</w:t>
      </w:r>
      <w:r>
        <w:rPr>
          <w:rFonts w:ascii="Times New Roman" w:hAnsi="Times New Roman" w:eastAsia="方正仿宋_GBK" w:cs="Times New Roman"/>
          <w:sz w:val="28"/>
          <w:szCs w:val="24"/>
          <w:lang w:val="en-US" w:eastAsia="zh-CN" w:bidi="ar-SA"/>
        </w:rPr>
        <w:t xml:space="preserve">基金预算收入 </w:t>
      </w:r>
      <w:r>
        <w:rPr>
          <w:rFonts w:hint="default" w:ascii="Times New Roman" w:hAnsi="Times New Roman" w:eastAsia="方正仿宋_GBK" w:cs="Times New Roman"/>
          <w:sz w:val="28"/>
          <w:szCs w:val="24"/>
          <w:lang w:val="en-US" w:eastAsia="zh-CN" w:bidi="ar-SA"/>
        </w:rPr>
        <w:t xml:space="preserve">0 万元，国有资本经营预算收入 0 万元，财政专户核拨收入 0 万元，单位资金收入 </w:t>
      </w:r>
      <w:r>
        <w:rPr>
          <w:rFonts w:hint="eastAsia" w:eastAsia="方正仿宋_GBK" w:cs="Times New Roman"/>
          <w:sz w:val="28"/>
          <w:szCs w:val="24"/>
          <w:lang w:val="en-US" w:eastAsia="zh-CN" w:bidi="ar-SA"/>
        </w:rPr>
        <w:t>0</w:t>
      </w:r>
      <w:r>
        <w:rPr>
          <w:rFonts w:hint="default" w:ascii="Times New Roman" w:hAnsi="Times New Roman" w:eastAsia="方正仿宋_GBK" w:cs="Times New Roman"/>
          <w:sz w:val="28"/>
          <w:szCs w:val="24"/>
          <w:lang w:val="en-US" w:eastAsia="zh-CN" w:bidi="ar-SA"/>
        </w:rPr>
        <w:t xml:space="preserve">万元，上年结转结余 </w:t>
      </w:r>
      <w:r>
        <w:rPr>
          <w:rFonts w:hint="eastAsia" w:eastAsia="方正仿宋_GBK" w:cs="Times New Roman"/>
          <w:sz w:val="28"/>
          <w:szCs w:val="24"/>
          <w:lang w:val="en-US" w:eastAsia="zh-CN" w:bidi="ar-SA"/>
        </w:rPr>
        <w:t>0</w:t>
      </w:r>
      <w:r>
        <w:rPr>
          <w:rFonts w:hint="default" w:ascii="Times New Roman" w:hAnsi="Times New Roman" w:eastAsia="方正仿宋_GBK" w:cs="Times New Roman"/>
          <w:sz w:val="28"/>
          <w:szCs w:val="24"/>
          <w:lang w:val="en-US" w:eastAsia="zh-CN" w:bidi="ar-SA"/>
        </w:rPr>
        <w:t xml:space="preserve"> 万元。</w:t>
      </w:r>
    </w:p>
    <w:p>
      <w:pPr>
        <w:pStyle w:val="28"/>
      </w:pPr>
      <w:r>
        <w:t>2、支出说明</w:t>
      </w:r>
    </w:p>
    <w:p>
      <w:pPr>
        <w:pStyle w:val="28"/>
      </w:pPr>
      <w:r>
        <w:t>2022年支出安排预算152.45万元。基本支出95.55万元</w:t>
      </w:r>
      <w:r>
        <w:rPr>
          <w:rFonts w:hint="eastAsia"/>
          <w:lang w:eastAsia="zh-CN"/>
        </w:rPr>
        <w:t>，</w:t>
      </w:r>
      <w:r>
        <w:t>其中：人员经费76.64万元</w:t>
      </w:r>
      <w:r>
        <w:rPr>
          <w:rFonts w:hint="eastAsia"/>
          <w:lang w:eastAsia="zh-CN"/>
        </w:rPr>
        <w:t>，</w:t>
      </w:r>
      <w:r>
        <w:t>日常公用经费18.91万元</w:t>
      </w:r>
      <w:r>
        <w:rPr>
          <w:rFonts w:hint="eastAsia"/>
          <w:lang w:eastAsia="zh-CN"/>
        </w:rPr>
        <w:t>，</w:t>
      </w:r>
      <w:r>
        <w:t>项目支出80万元</w:t>
      </w:r>
      <w:r>
        <w:rPr>
          <w:rFonts w:hint="eastAsia"/>
          <w:lang w:eastAsia="zh-CN"/>
        </w:rPr>
        <w:t>，</w:t>
      </w:r>
      <w:r>
        <w:t>其中：本级支出80万元，主要用于宣传党的宗教政策、维护宗教领域安全稳定、统战工作宣传、开展无党派人士、港澳台海外统战、非公经济统战、党外知识分子统战、综合事务管理及少数民族村发展资金。</w:t>
      </w:r>
    </w:p>
    <w:p>
      <w:pPr>
        <w:pStyle w:val="28"/>
      </w:pPr>
      <w:r>
        <w:t>3、比上年增减情况</w:t>
      </w:r>
    </w:p>
    <w:p>
      <w:pPr>
        <w:pStyle w:val="28"/>
      </w:pPr>
      <w:r>
        <w:t>2022年预算收支安排175.55万元，较上年增加10.68万元。其中：基本支出减少0.82万元，原因是缩减支出；项目支出增加11.5万元，主要为增加了基层治理工作队专项经费。</w:t>
      </w:r>
    </w:p>
    <w:p>
      <w:pPr>
        <w:spacing w:before="10" w:after="10"/>
        <w:ind w:firstLine="640"/>
        <w:outlineLvl w:val="5"/>
      </w:pPr>
      <w:r>
        <w:rPr>
          <w:rFonts w:ascii="黑体" w:hAnsi="黑体" w:eastAsia="黑体" w:cs="黑体"/>
          <w:color w:val="000000"/>
          <w:sz w:val="32"/>
        </w:rPr>
        <w:t>三、机关运行经费安排情况</w:t>
      </w:r>
    </w:p>
    <w:p>
      <w:pPr>
        <w:pStyle w:val="29"/>
        <w:rPr>
          <w:rFonts w:hint="eastAsia" w:eastAsia="方正仿宋_GBK"/>
          <w:lang w:val="en-US" w:eastAsia="zh-CN"/>
        </w:rPr>
      </w:pPr>
      <w:r>
        <w:t>2022年我</w:t>
      </w:r>
      <w:r>
        <w:rPr>
          <w:rFonts w:hint="eastAsia"/>
          <w:lang w:eastAsia="zh-CN"/>
        </w:rPr>
        <w:t>单位</w:t>
      </w:r>
      <w:r>
        <w:t>机关运行经费共计安排18.</w:t>
      </w:r>
      <w:r>
        <w:rPr>
          <w:rFonts w:hint="eastAsia"/>
          <w:lang w:val="en-US" w:eastAsia="zh-CN"/>
        </w:rPr>
        <w:t>57</w:t>
      </w:r>
      <w:r>
        <w:t>万元，主要用于我单位日常运行支出，其中：办公费3.60万元；邮电费3.54万元；公务用车运行维护费3.00万元；离退休干部经费0.63万元；公务交通补贴5.64万元；福利费0.80万元，其他商品和服务支出0.30万元；工会经费1.06万元</w:t>
      </w:r>
      <w:r>
        <w:rPr>
          <w:rFonts w:hint="eastAsia"/>
          <w:lang w:val="en-US" w:eastAsia="zh-CN"/>
        </w:rPr>
        <w:t>.</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0"/>
      </w:pPr>
      <w:r>
        <w:t>2022年，我</w:t>
      </w:r>
      <w:r>
        <w:rPr>
          <w:rFonts w:hint="eastAsia"/>
          <w:lang w:eastAsia="zh-CN"/>
        </w:rPr>
        <w:t>单位</w:t>
      </w:r>
      <w:r>
        <w:t>财政拨款“三公”经费预算安排3.34万元，其中因公出国（境）费0万元；（12）公务用车运行维护费3.00万元（其中：公务用车购置费为0万元，与2021年相比持平；公务用车运行费3.00万元，与202</w:t>
      </w:r>
      <w:r>
        <w:rPr>
          <w:rFonts w:hint="eastAsia"/>
          <w:lang w:val="en-US" w:eastAsia="zh-CN"/>
        </w:rPr>
        <w:t>1</w:t>
      </w:r>
      <w:r>
        <w:t>年相比减少0.33万元，原因为严格按规定逐年缩减）；公务接待费0.34万元，与2021年相比减少0.04万元，原因为严格按规定逐年缩减。</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1、基层治理工作队专项经费绩效目标表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1.协助党组织深化基层治理工作，排查和打击非法宗教活动活动，整顿规范天主教和基督教秩序，治理天主教和基督教的各种非法活动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驻村工作队人数</w:t>
            </w:r>
          </w:p>
        </w:tc>
        <w:tc>
          <w:tcPr>
            <w:tcW w:w="2835" w:type="dxa"/>
            <w:vAlign w:val="center"/>
          </w:tcPr>
          <w:p>
            <w:pPr>
              <w:pStyle w:val="14"/>
            </w:pPr>
            <w:r>
              <w:t>驻村工作队人数</w:t>
            </w:r>
          </w:p>
        </w:tc>
        <w:tc>
          <w:tcPr>
            <w:tcW w:w="2551" w:type="dxa"/>
            <w:vAlign w:val="center"/>
          </w:tcPr>
          <w:p>
            <w:pPr>
              <w:pStyle w:val="14"/>
            </w:pPr>
            <w:r>
              <w:t>6人</w:t>
            </w:r>
          </w:p>
        </w:tc>
        <w:tc>
          <w:tcPr>
            <w:tcW w:w="2268" w:type="dxa"/>
            <w:vAlign w:val="center"/>
          </w:tcPr>
          <w:p>
            <w:pPr>
              <w:pStyle w:val="14"/>
            </w:pPr>
            <w:r>
              <w:t>驻村工作队人数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工作完成率</w:t>
            </w:r>
          </w:p>
        </w:tc>
        <w:tc>
          <w:tcPr>
            <w:tcW w:w="2835" w:type="dxa"/>
            <w:vAlign w:val="center"/>
          </w:tcPr>
          <w:p>
            <w:pPr>
              <w:pStyle w:val="14"/>
            </w:pPr>
            <w:r>
              <w:t>工作完成率</w:t>
            </w:r>
          </w:p>
          <w:p>
            <w:pPr>
              <w:pStyle w:val="14"/>
            </w:pPr>
          </w:p>
        </w:tc>
        <w:tc>
          <w:tcPr>
            <w:tcW w:w="2551" w:type="dxa"/>
            <w:vAlign w:val="center"/>
          </w:tcPr>
          <w:p>
            <w:pPr>
              <w:pStyle w:val="14"/>
            </w:pPr>
            <w:r>
              <w:t>≥95%</w:t>
            </w:r>
          </w:p>
        </w:tc>
        <w:tc>
          <w:tcPr>
            <w:tcW w:w="2268" w:type="dxa"/>
            <w:vAlign w:val="center"/>
          </w:tcPr>
          <w:p>
            <w:pPr>
              <w:pStyle w:val="14"/>
            </w:pPr>
            <w:r>
              <w:t>工作完成度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经费金额</w:t>
            </w:r>
          </w:p>
        </w:tc>
        <w:tc>
          <w:tcPr>
            <w:tcW w:w="2835" w:type="dxa"/>
            <w:vAlign w:val="center"/>
          </w:tcPr>
          <w:p>
            <w:pPr>
              <w:pStyle w:val="14"/>
            </w:pPr>
            <w:r>
              <w:t>经费金额</w:t>
            </w:r>
          </w:p>
          <w:p>
            <w:pPr>
              <w:pStyle w:val="14"/>
            </w:pPr>
          </w:p>
          <w:p>
            <w:pPr>
              <w:pStyle w:val="14"/>
            </w:pPr>
          </w:p>
        </w:tc>
        <w:tc>
          <w:tcPr>
            <w:tcW w:w="2551" w:type="dxa"/>
            <w:vAlign w:val="center"/>
          </w:tcPr>
          <w:p>
            <w:pPr>
              <w:pStyle w:val="14"/>
            </w:pPr>
            <w:r>
              <w:t>16万元</w:t>
            </w:r>
          </w:p>
        </w:tc>
        <w:tc>
          <w:tcPr>
            <w:tcW w:w="2268" w:type="dxa"/>
            <w:vAlign w:val="center"/>
          </w:tcPr>
          <w:p>
            <w:pPr>
              <w:pStyle w:val="14"/>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按时完成工作程度</w:t>
            </w:r>
          </w:p>
        </w:tc>
        <w:tc>
          <w:tcPr>
            <w:tcW w:w="2835" w:type="dxa"/>
            <w:vAlign w:val="center"/>
          </w:tcPr>
          <w:p>
            <w:pPr>
              <w:pStyle w:val="14"/>
            </w:pPr>
            <w:r>
              <w:t>按时完成工作程度</w:t>
            </w:r>
          </w:p>
          <w:p>
            <w:pPr>
              <w:pStyle w:val="14"/>
            </w:pPr>
          </w:p>
        </w:tc>
        <w:tc>
          <w:tcPr>
            <w:tcW w:w="2551" w:type="dxa"/>
            <w:vAlign w:val="center"/>
          </w:tcPr>
          <w:p>
            <w:pPr>
              <w:pStyle w:val="14"/>
            </w:pPr>
            <w:r>
              <w:t>≥95%</w:t>
            </w:r>
          </w:p>
        </w:tc>
        <w:tc>
          <w:tcPr>
            <w:tcW w:w="2268" w:type="dxa"/>
            <w:vAlign w:val="center"/>
          </w:tcPr>
          <w:p>
            <w:pPr>
              <w:pStyle w:val="14"/>
            </w:pPr>
            <w:r>
              <w:t>年底工作完成程度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建立防范非法宗教活动的长效机制</w:t>
            </w:r>
          </w:p>
        </w:tc>
        <w:tc>
          <w:tcPr>
            <w:tcW w:w="2835" w:type="dxa"/>
            <w:vAlign w:val="center"/>
          </w:tcPr>
          <w:p>
            <w:pPr>
              <w:pStyle w:val="14"/>
            </w:pPr>
            <w:r>
              <w:t>建立防范非法宗教活动的长效机制</w:t>
            </w:r>
          </w:p>
        </w:tc>
        <w:tc>
          <w:tcPr>
            <w:tcW w:w="2551" w:type="dxa"/>
            <w:vAlign w:val="center"/>
          </w:tcPr>
          <w:p>
            <w:pPr>
              <w:pStyle w:val="14"/>
            </w:pPr>
            <w:r>
              <w:t>建立防范非法宗教活动的长效机制</w:t>
            </w:r>
          </w:p>
        </w:tc>
        <w:tc>
          <w:tcPr>
            <w:tcW w:w="2268" w:type="dxa"/>
            <w:vAlign w:val="center"/>
          </w:tcPr>
          <w:p>
            <w:pPr>
              <w:pStyle w:val="14"/>
            </w:pPr>
            <w:r>
              <w:t>建立防范非法宗教活动的长效机制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2、冀财金[2021]57号-提前下达2022年省级普惠金融发展专项资金（民贸民品企业贷款贴息）绩效目标表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1.扶持民族特需商品生产供应，满足少数民族群众的特殊消费需求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补贴金额</w:t>
            </w:r>
          </w:p>
        </w:tc>
        <w:tc>
          <w:tcPr>
            <w:tcW w:w="2835" w:type="dxa"/>
            <w:vAlign w:val="center"/>
          </w:tcPr>
          <w:p>
            <w:pPr>
              <w:pStyle w:val="14"/>
            </w:pPr>
            <w:r>
              <w:t>对企业补贴的金额</w:t>
            </w:r>
          </w:p>
        </w:tc>
        <w:tc>
          <w:tcPr>
            <w:tcW w:w="2551" w:type="dxa"/>
            <w:vAlign w:val="center"/>
          </w:tcPr>
          <w:p>
            <w:pPr>
              <w:pStyle w:val="14"/>
            </w:pPr>
            <w:r>
              <w:t>6万元</w:t>
            </w:r>
          </w:p>
        </w:tc>
        <w:tc>
          <w:tcPr>
            <w:tcW w:w="2268" w:type="dxa"/>
            <w:vAlign w:val="center"/>
          </w:tcPr>
          <w:p>
            <w:pPr>
              <w:pStyle w:val="14"/>
            </w:pPr>
            <w:r>
              <w:t>冀财金[2021]57号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补贴的企业数量</w:t>
            </w:r>
          </w:p>
        </w:tc>
        <w:tc>
          <w:tcPr>
            <w:tcW w:w="2835" w:type="dxa"/>
            <w:vAlign w:val="center"/>
          </w:tcPr>
          <w:p>
            <w:pPr>
              <w:pStyle w:val="14"/>
            </w:pPr>
            <w:r>
              <w:t>符合补贴政策,给予补贴的企业个数</w:t>
            </w:r>
          </w:p>
        </w:tc>
        <w:tc>
          <w:tcPr>
            <w:tcW w:w="2551" w:type="dxa"/>
            <w:vAlign w:val="center"/>
          </w:tcPr>
          <w:p>
            <w:pPr>
              <w:pStyle w:val="14"/>
            </w:pPr>
            <w:r>
              <w:t>1个</w:t>
            </w:r>
          </w:p>
        </w:tc>
        <w:tc>
          <w:tcPr>
            <w:tcW w:w="2268" w:type="dxa"/>
            <w:vAlign w:val="center"/>
          </w:tcPr>
          <w:p>
            <w:pPr>
              <w:pStyle w:val="14"/>
            </w:pPr>
            <w:r>
              <w:t>冀财金[2021]57号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2835" w:type="dxa"/>
            <w:vAlign w:val="center"/>
          </w:tcPr>
          <w:p>
            <w:pPr>
              <w:pStyle w:val="14"/>
            </w:pPr>
            <w:r>
              <w:t>及时支付资金</w:t>
            </w:r>
          </w:p>
        </w:tc>
        <w:tc>
          <w:tcPr>
            <w:tcW w:w="2551" w:type="dxa"/>
            <w:vAlign w:val="center"/>
          </w:tcPr>
          <w:p>
            <w:pPr>
              <w:pStyle w:val="14"/>
            </w:pPr>
            <w:r>
              <w:t>及时支付资金</w:t>
            </w:r>
          </w:p>
        </w:tc>
        <w:tc>
          <w:tcPr>
            <w:tcW w:w="2268" w:type="dxa"/>
            <w:vAlign w:val="center"/>
          </w:tcPr>
          <w:p>
            <w:pPr>
              <w:pStyle w:val="14"/>
            </w:pPr>
            <w:r>
              <w:t>冀财金[2021]57号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专款专用率</w:t>
            </w:r>
          </w:p>
        </w:tc>
        <w:tc>
          <w:tcPr>
            <w:tcW w:w="2835" w:type="dxa"/>
            <w:vAlign w:val="center"/>
          </w:tcPr>
          <w:p>
            <w:pPr>
              <w:pStyle w:val="14"/>
            </w:pPr>
            <w:r>
              <w:t>专款专用率</w:t>
            </w:r>
          </w:p>
        </w:tc>
        <w:tc>
          <w:tcPr>
            <w:tcW w:w="2551" w:type="dxa"/>
            <w:vAlign w:val="center"/>
          </w:tcPr>
          <w:p>
            <w:pPr>
              <w:pStyle w:val="14"/>
            </w:pPr>
            <w:r>
              <w:t>专款专用</w:t>
            </w:r>
          </w:p>
        </w:tc>
        <w:tc>
          <w:tcPr>
            <w:tcW w:w="2268" w:type="dxa"/>
            <w:vAlign w:val="center"/>
          </w:tcPr>
          <w:p>
            <w:pPr>
              <w:pStyle w:val="14"/>
            </w:pPr>
            <w:r>
              <w:t>冀财金[2021]57号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缓解企业贷款压力</w:t>
            </w:r>
          </w:p>
        </w:tc>
        <w:tc>
          <w:tcPr>
            <w:tcW w:w="2835" w:type="dxa"/>
            <w:vAlign w:val="center"/>
          </w:tcPr>
          <w:p>
            <w:pPr>
              <w:pStyle w:val="14"/>
            </w:pPr>
            <w:r>
              <w:t>扶持民族特需商品生产供应</w:t>
            </w:r>
          </w:p>
        </w:tc>
        <w:tc>
          <w:tcPr>
            <w:tcW w:w="2551" w:type="dxa"/>
            <w:vAlign w:val="center"/>
          </w:tcPr>
          <w:p>
            <w:pPr>
              <w:pStyle w:val="14"/>
            </w:pPr>
            <w:r>
              <w:t>缓解了企业贷款压力</w:t>
            </w:r>
          </w:p>
        </w:tc>
        <w:tc>
          <w:tcPr>
            <w:tcW w:w="2268" w:type="dxa"/>
            <w:vAlign w:val="center"/>
          </w:tcPr>
          <w:p>
            <w:pPr>
              <w:pStyle w:val="14"/>
            </w:pPr>
            <w:r>
              <w:t>冀财金[2021]57号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3、冀财行[2021]103号-提前下达2022年基层宗教事务管理补助经费绩效目标表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1.用于支持市县统战和宗教部门开展宗教管理有关工作的专项资金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下达专项资金数</w:t>
            </w:r>
          </w:p>
        </w:tc>
        <w:tc>
          <w:tcPr>
            <w:tcW w:w="2835" w:type="dxa"/>
            <w:vAlign w:val="center"/>
          </w:tcPr>
          <w:p>
            <w:pPr>
              <w:pStyle w:val="14"/>
            </w:pPr>
            <w:r>
              <w:t>下达专项资金数</w:t>
            </w:r>
          </w:p>
        </w:tc>
        <w:tc>
          <w:tcPr>
            <w:tcW w:w="2551" w:type="dxa"/>
            <w:vAlign w:val="center"/>
          </w:tcPr>
          <w:p>
            <w:pPr>
              <w:pStyle w:val="14"/>
            </w:pPr>
            <w:r>
              <w:t>3万元</w:t>
            </w:r>
          </w:p>
        </w:tc>
        <w:tc>
          <w:tcPr>
            <w:tcW w:w="2268" w:type="dxa"/>
            <w:vAlign w:val="center"/>
          </w:tcPr>
          <w:p>
            <w:pPr>
              <w:pStyle w:val="14"/>
            </w:pPr>
            <w:r>
              <w:t>冀财行[2021]103号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专款专用率</w:t>
            </w:r>
          </w:p>
        </w:tc>
        <w:tc>
          <w:tcPr>
            <w:tcW w:w="2835" w:type="dxa"/>
            <w:vAlign w:val="center"/>
          </w:tcPr>
          <w:p>
            <w:pPr>
              <w:pStyle w:val="14"/>
            </w:pPr>
            <w:r>
              <w:t>是否专款专用</w:t>
            </w:r>
          </w:p>
        </w:tc>
        <w:tc>
          <w:tcPr>
            <w:tcW w:w="2551" w:type="dxa"/>
            <w:vAlign w:val="center"/>
          </w:tcPr>
          <w:p>
            <w:pPr>
              <w:pStyle w:val="14"/>
            </w:pPr>
            <w:r>
              <w:t>专款专用</w:t>
            </w:r>
          </w:p>
        </w:tc>
        <w:tc>
          <w:tcPr>
            <w:tcW w:w="2268" w:type="dxa"/>
            <w:vAlign w:val="center"/>
          </w:tcPr>
          <w:p>
            <w:pPr>
              <w:pStyle w:val="14"/>
            </w:pPr>
            <w:r>
              <w:t>冀财规[2020]29号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资金到位率</w:t>
            </w:r>
          </w:p>
        </w:tc>
        <w:tc>
          <w:tcPr>
            <w:tcW w:w="2835" w:type="dxa"/>
            <w:vAlign w:val="center"/>
          </w:tcPr>
          <w:p>
            <w:pPr>
              <w:pStyle w:val="14"/>
            </w:pPr>
            <w:r>
              <w:t>资金到位率</w:t>
            </w:r>
          </w:p>
        </w:tc>
        <w:tc>
          <w:tcPr>
            <w:tcW w:w="2551" w:type="dxa"/>
            <w:vAlign w:val="center"/>
          </w:tcPr>
          <w:p>
            <w:pPr>
              <w:pStyle w:val="14"/>
            </w:pPr>
            <w:r>
              <w:t>100%</w:t>
            </w:r>
          </w:p>
        </w:tc>
        <w:tc>
          <w:tcPr>
            <w:tcW w:w="2268" w:type="dxa"/>
            <w:vAlign w:val="center"/>
          </w:tcPr>
          <w:p>
            <w:pPr>
              <w:pStyle w:val="14"/>
            </w:pPr>
            <w:r>
              <w:t>冀财行[2021]103号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保障业务工作情况</w:t>
            </w:r>
          </w:p>
        </w:tc>
        <w:tc>
          <w:tcPr>
            <w:tcW w:w="2835" w:type="dxa"/>
            <w:vAlign w:val="center"/>
          </w:tcPr>
          <w:p>
            <w:pPr>
              <w:pStyle w:val="14"/>
            </w:pPr>
            <w:r>
              <w:t>保障业务工作情况</w:t>
            </w:r>
          </w:p>
        </w:tc>
        <w:tc>
          <w:tcPr>
            <w:tcW w:w="2551" w:type="dxa"/>
            <w:vAlign w:val="center"/>
          </w:tcPr>
          <w:p>
            <w:pPr>
              <w:pStyle w:val="14"/>
            </w:pPr>
            <w:r>
              <w:t>≥95%</w:t>
            </w:r>
          </w:p>
        </w:tc>
        <w:tc>
          <w:tcPr>
            <w:tcW w:w="2268" w:type="dxa"/>
            <w:vAlign w:val="center"/>
          </w:tcPr>
          <w:p>
            <w:pPr>
              <w:pStyle w:val="14"/>
            </w:pPr>
            <w:r>
              <w:t>冀财规[2020]29号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4、统战部统战事务专项经费绩效目标表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1.进一步加强中国共产党领导的多党合作和政治协商制度建设，充分发挥民主党派职能作用，构建和谐政党关系;</w:t>
            </w:r>
          </w:p>
          <w:p>
            <w:pPr>
              <w:pStyle w:val="14"/>
            </w:pPr>
          </w:p>
          <w:p>
            <w:pPr>
              <w:pStyle w:val="14"/>
            </w:pPr>
            <w:r>
              <w:t>2.争取人心，凝聚、壮大爱国力量，为河北的对外开放和经济社会发展做贡献，为实现祖国统一大业服务;</w:t>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提交政协会议议案数量</w:t>
            </w:r>
          </w:p>
        </w:tc>
        <w:tc>
          <w:tcPr>
            <w:tcW w:w="2835" w:type="dxa"/>
            <w:vAlign w:val="center"/>
          </w:tcPr>
          <w:p>
            <w:pPr>
              <w:pStyle w:val="14"/>
            </w:pPr>
            <w:r>
              <w:t>支持民主党派无党派人士履行职责、发挥作用</w:t>
            </w:r>
          </w:p>
        </w:tc>
        <w:tc>
          <w:tcPr>
            <w:tcW w:w="2551" w:type="dxa"/>
            <w:vAlign w:val="center"/>
          </w:tcPr>
          <w:p>
            <w:pPr>
              <w:pStyle w:val="14"/>
            </w:pPr>
            <w:r>
              <w:t>≥3次</w:t>
            </w:r>
          </w:p>
        </w:tc>
        <w:tc>
          <w:tcPr>
            <w:tcW w:w="2268" w:type="dxa"/>
            <w:vAlign w:val="center"/>
          </w:tcPr>
          <w:p>
            <w:pPr>
              <w:pStyle w:val="14"/>
            </w:pPr>
            <w:r>
              <w:t>议案质量高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联系重点社团及代表人士工作完成率</w:t>
            </w:r>
          </w:p>
        </w:tc>
        <w:tc>
          <w:tcPr>
            <w:tcW w:w="2835" w:type="dxa"/>
            <w:vAlign w:val="center"/>
          </w:tcPr>
          <w:p>
            <w:pPr>
              <w:pStyle w:val="14"/>
            </w:pPr>
            <w:r>
              <w:t>开展港澳台海外统一战线工作，联系香港、澳门、台湾和海外有关党派、团体方针政策和法律法规进行调查研究</w:t>
            </w:r>
          </w:p>
        </w:tc>
        <w:tc>
          <w:tcPr>
            <w:tcW w:w="2551" w:type="dxa"/>
            <w:vAlign w:val="center"/>
          </w:tcPr>
          <w:p>
            <w:pPr>
              <w:pStyle w:val="14"/>
            </w:pPr>
            <w:r>
              <w:t>≥95%</w:t>
            </w:r>
          </w:p>
        </w:tc>
        <w:tc>
          <w:tcPr>
            <w:tcW w:w="2268" w:type="dxa"/>
            <w:vAlign w:val="center"/>
          </w:tcPr>
          <w:p>
            <w:pPr>
              <w:pStyle w:val="14"/>
            </w:pPr>
            <w:r>
              <w:t>联系更加密切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民主党派履行职能有关支持工作完成率</w:t>
            </w:r>
          </w:p>
        </w:tc>
        <w:tc>
          <w:tcPr>
            <w:tcW w:w="2835" w:type="dxa"/>
            <w:vAlign w:val="center"/>
          </w:tcPr>
          <w:p>
            <w:pPr>
              <w:pStyle w:val="14"/>
            </w:pPr>
            <w:r>
              <w:t>支持民主党派无党派人士履行职责、发挥作用。</w:t>
            </w:r>
          </w:p>
        </w:tc>
        <w:tc>
          <w:tcPr>
            <w:tcW w:w="2551" w:type="dxa"/>
            <w:vAlign w:val="center"/>
          </w:tcPr>
          <w:p>
            <w:pPr>
              <w:pStyle w:val="14"/>
            </w:pPr>
            <w:r>
              <w:t>≥95%</w:t>
            </w:r>
          </w:p>
        </w:tc>
        <w:tc>
          <w:tcPr>
            <w:tcW w:w="2268" w:type="dxa"/>
            <w:vAlign w:val="center"/>
          </w:tcPr>
          <w:p>
            <w:pPr>
              <w:pStyle w:val="14"/>
            </w:pPr>
            <w:r>
              <w:t>民主党派发挥作用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活动开展成本</w:t>
            </w:r>
          </w:p>
        </w:tc>
        <w:tc>
          <w:tcPr>
            <w:tcW w:w="2835" w:type="dxa"/>
            <w:vAlign w:val="center"/>
          </w:tcPr>
          <w:p>
            <w:pPr>
              <w:pStyle w:val="14"/>
            </w:pPr>
            <w:r>
              <w:t>调查研究非公有制经济人士的情况，协调关系，提出政策建议，团结、服务、引导、教育非公有制经济人士，开展思想政治工作。</w:t>
            </w:r>
          </w:p>
        </w:tc>
        <w:tc>
          <w:tcPr>
            <w:tcW w:w="2551" w:type="dxa"/>
            <w:vAlign w:val="center"/>
          </w:tcPr>
          <w:p>
            <w:pPr>
              <w:pStyle w:val="14"/>
            </w:pPr>
            <w:r>
              <w:t>≥42万元</w:t>
            </w:r>
          </w:p>
        </w:tc>
        <w:tc>
          <w:tcPr>
            <w:tcW w:w="2268" w:type="dxa"/>
            <w:vAlign w:val="center"/>
          </w:tcPr>
          <w:p>
            <w:pPr>
              <w:pStyle w:val="14"/>
            </w:pPr>
            <w:r>
              <w:t>活动效果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党外后备干部队伍建设工作完成率</w:t>
            </w:r>
          </w:p>
        </w:tc>
        <w:tc>
          <w:tcPr>
            <w:tcW w:w="2835" w:type="dxa"/>
            <w:vAlign w:val="center"/>
          </w:tcPr>
          <w:p>
            <w:pPr>
              <w:pStyle w:val="14"/>
            </w:pPr>
            <w:r>
              <w:t>负责党外代表人士在人大、政协安排的有关工作，做好党外代表人士和后备干部队伍建设工作。</w:t>
            </w:r>
          </w:p>
        </w:tc>
        <w:tc>
          <w:tcPr>
            <w:tcW w:w="2551" w:type="dxa"/>
            <w:vAlign w:val="center"/>
          </w:tcPr>
          <w:p>
            <w:pPr>
              <w:pStyle w:val="14"/>
            </w:pPr>
            <w:r>
              <w:t>≥50%</w:t>
            </w:r>
          </w:p>
        </w:tc>
        <w:tc>
          <w:tcPr>
            <w:tcW w:w="2268" w:type="dxa"/>
            <w:vAlign w:val="center"/>
          </w:tcPr>
          <w:p>
            <w:pPr>
              <w:pStyle w:val="14"/>
            </w:pPr>
            <w:r>
              <w:t>党外干部发挥作用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5、统战部统战事务专项经费（劳务派遣）绩效目标表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1.提高我单位工作效率，协助我单位做好本单位的本职工作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劳务派遣人数</w:t>
            </w:r>
          </w:p>
        </w:tc>
        <w:tc>
          <w:tcPr>
            <w:tcW w:w="2835" w:type="dxa"/>
            <w:vAlign w:val="center"/>
          </w:tcPr>
          <w:p>
            <w:pPr>
              <w:pStyle w:val="14"/>
            </w:pPr>
            <w:r>
              <w:t>劳务派遣人数</w:t>
            </w:r>
          </w:p>
          <w:p>
            <w:pPr>
              <w:pStyle w:val="14"/>
            </w:pPr>
          </w:p>
        </w:tc>
        <w:tc>
          <w:tcPr>
            <w:tcW w:w="2551" w:type="dxa"/>
            <w:vAlign w:val="center"/>
          </w:tcPr>
          <w:p>
            <w:pPr>
              <w:pStyle w:val="14"/>
            </w:pPr>
            <w:r>
              <w:t>≥2人</w:t>
            </w:r>
          </w:p>
        </w:tc>
        <w:tc>
          <w:tcPr>
            <w:tcW w:w="2268" w:type="dxa"/>
            <w:vAlign w:val="center"/>
          </w:tcPr>
          <w:p>
            <w:pPr>
              <w:pStyle w:val="14"/>
            </w:pPr>
            <w:r>
              <w:t>文件指标人数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工作完成率</w:t>
            </w:r>
          </w:p>
        </w:tc>
        <w:tc>
          <w:tcPr>
            <w:tcW w:w="2835" w:type="dxa"/>
            <w:vAlign w:val="center"/>
          </w:tcPr>
          <w:p>
            <w:pPr>
              <w:pStyle w:val="14"/>
            </w:pPr>
            <w:r>
              <w:t>工作完成率</w:t>
            </w:r>
          </w:p>
          <w:p>
            <w:pPr>
              <w:pStyle w:val="14"/>
            </w:pPr>
          </w:p>
        </w:tc>
        <w:tc>
          <w:tcPr>
            <w:tcW w:w="2551" w:type="dxa"/>
            <w:vAlign w:val="center"/>
          </w:tcPr>
          <w:p>
            <w:pPr>
              <w:pStyle w:val="14"/>
            </w:pPr>
            <w:r>
              <w:t>≥95%</w:t>
            </w:r>
          </w:p>
        </w:tc>
        <w:tc>
          <w:tcPr>
            <w:tcW w:w="2268" w:type="dxa"/>
            <w:vAlign w:val="center"/>
          </w:tcPr>
          <w:p>
            <w:pPr>
              <w:pStyle w:val="14"/>
            </w:pPr>
            <w:r>
              <w:t>工作完成度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经费金额</w:t>
            </w:r>
          </w:p>
        </w:tc>
        <w:tc>
          <w:tcPr>
            <w:tcW w:w="2835" w:type="dxa"/>
            <w:vAlign w:val="center"/>
          </w:tcPr>
          <w:p>
            <w:pPr>
              <w:pStyle w:val="14"/>
            </w:pPr>
            <w:r>
              <w:t>经费金额</w:t>
            </w:r>
          </w:p>
          <w:p>
            <w:pPr>
              <w:pStyle w:val="14"/>
            </w:pPr>
          </w:p>
          <w:p>
            <w:pPr>
              <w:pStyle w:val="14"/>
            </w:pPr>
          </w:p>
        </w:tc>
        <w:tc>
          <w:tcPr>
            <w:tcW w:w="2551" w:type="dxa"/>
            <w:vAlign w:val="center"/>
          </w:tcPr>
          <w:p>
            <w:pPr>
              <w:pStyle w:val="14"/>
            </w:pPr>
            <w:r>
              <w:t>8万元</w:t>
            </w:r>
          </w:p>
        </w:tc>
        <w:tc>
          <w:tcPr>
            <w:tcW w:w="2268" w:type="dxa"/>
            <w:vAlign w:val="center"/>
          </w:tcPr>
          <w:p>
            <w:pPr>
              <w:pStyle w:val="14"/>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按时完成工作程度</w:t>
            </w:r>
          </w:p>
        </w:tc>
        <w:tc>
          <w:tcPr>
            <w:tcW w:w="2835" w:type="dxa"/>
            <w:vAlign w:val="center"/>
          </w:tcPr>
          <w:p>
            <w:pPr>
              <w:pStyle w:val="14"/>
            </w:pPr>
            <w:r>
              <w:t>按时完成工作程度</w:t>
            </w:r>
          </w:p>
          <w:p>
            <w:pPr>
              <w:pStyle w:val="14"/>
            </w:pPr>
          </w:p>
        </w:tc>
        <w:tc>
          <w:tcPr>
            <w:tcW w:w="2551" w:type="dxa"/>
            <w:vAlign w:val="center"/>
          </w:tcPr>
          <w:p>
            <w:pPr>
              <w:pStyle w:val="14"/>
            </w:pPr>
            <w:r>
              <w:t>≥95%</w:t>
            </w:r>
          </w:p>
        </w:tc>
        <w:tc>
          <w:tcPr>
            <w:tcW w:w="2268" w:type="dxa"/>
            <w:vAlign w:val="center"/>
          </w:tcPr>
          <w:p>
            <w:pPr>
              <w:pStyle w:val="14"/>
            </w:pPr>
            <w:r>
              <w:t>年底工作完成程度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统战工作完成效率</w:t>
            </w:r>
          </w:p>
        </w:tc>
        <w:tc>
          <w:tcPr>
            <w:tcW w:w="2835" w:type="dxa"/>
            <w:vAlign w:val="center"/>
          </w:tcPr>
          <w:p>
            <w:pPr>
              <w:pStyle w:val="14"/>
            </w:pPr>
            <w:r>
              <w:t>统战工作完成效率</w:t>
            </w:r>
          </w:p>
        </w:tc>
        <w:tc>
          <w:tcPr>
            <w:tcW w:w="2551" w:type="dxa"/>
            <w:vAlign w:val="center"/>
          </w:tcPr>
          <w:p>
            <w:pPr>
              <w:pStyle w:val="14"/>
            </w:pPr>
            <w:r>
              <w:t>≥95%</w:t>
            </w:r>
          </w:p>
        </w:tc>
        <w:tc>
          <w:tcPr>
            <w:tcW w:w="2268" w:type="dxa"/>
            <w:vAlign w:val="center"/>
          </w:tcPr>
          <w:p>
            <w:pPr>
              <w:pStyle w:val="14"/>
            </w:pPr>
            <w:r>
              <w:t>各项统战工作完成程度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6、统战部宗教事务专项经费绩效目标表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1.采取多种形式进行党的宗教政策法律、法规宣传；举办宗教干部宗教政策知识培训班</w:t>
            </w:r>
          </w:p>
          <w:p>
            <w:pPr>
              <w:pStyle w:val="14"/>
            </w:pPr>
            <w:r>
              <w:t>2.对宗教教职人员进行规范化管理；宗教活动场所管理规范</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悬挂条幅、张贴标语数量</w:t>
            </w:r>
          </w:p>
        </w:tc>
        <w:tc>
          <w:tcPr>
            <w:tcW w:w="2835" w:type="dxa"/>
            <w:vAlign w:val="center"/>
          </w:tcPr>
          <w:p>
            <w:pPr>
              <w:pStyle w:val="14"/>
            </w:pPr>
            <w:r>
              <w:t>采取多种形式进行党的宗教政策法律、法规宣传</w:t>
            </w:r>
          </w:p>
        </w:tc>
        <w:tc>
          <w:tcPr>
            <w:tcW w:w="2551" w:type="dxa"/>
            <w:vAlign w:val="center"/>
          </w:tcPr>
          <w:p>
            <w:pPr>
              <w:pStyle w:val="14"/>
            </w:pPr>
            <w:r>
              <w:t>≥15个</w:t>
            </w:r>
          </w:p>
        </w:tc>
        <w:tc>
          <w:tcPr>
            <w:tcW w:w="2268" w:type="dxa"/>
            <w:vAlign w:val="center"/>
          </w:tcPr>
          <w:p>
            <w:pPr>
              <w:pStyle w:val="14"/>
            </w:pPr>
            <w:r>
              <w:t>群众受教育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干部管理宗教能力</w:t>
            </w:r>
          </w:p>
        </w:tc>
        <w:tc>
          <w:tcPr>
            <w:tcW w:w="2835" w:type="dxa"/>
            <w:vAlign w:val="center"/>
          </w:tcPr>
          <w:p>
            <w:pPr>
              <w:pStyle w:val="14"/>
            </w:pPr>
            <w:r>
              <w:t>举办培训宗教政策知识培训班</w:t>
            </w:r>
          </w:p>
        </w:tc>
        <w:tc>
          <w:tcPr>
            <w:tcW w:w="2551" w:type="dxa"/>
            <w:vAlign w:val="center"/>
          </w:tcPr>
          <w:p>
            <w:pPr>
              <w:pStyle w:val="14"/>
            </w:pPr>
            <w:r>
              <w:t>≥95%</w:t>
            </w:r>
          </w:p>
        </w:tc>
        <w:tc>
          <w:tcPr>
            <w:tcW w:w="2268" w:type="dxa"/>
            <w:vAlign w:val="center"/>
          </w:tcPr>
          <w:p>
            <w:pPr>
              <w:pStyle w:val="14"/>
            </w:pPr>
            <w:r>
              <w:t>管理能力提高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覆盖率</w:t>
            </w:r>
          </w:p>
        </w:tc>
        <w:tc>
          <w:tcPr>
            <w:tcW w:w="2835" w:type="dxa"/>
            <w:vAlign w:val="center"/>
          </w:tcPr>
          <w:p>
            <w:pPr>
              <w:pStyle w:val="14"/>
            </w:pPr>
            <w:r>
              <w:t>对宗教教职人员进行规范化管理</w:t>
            </w:r>
          </w:p>
        </w:tc>
        <w:tc>
          <w:tcPr>
            <w:tcW w:w="2551" w:type="dxa"/>
            <w:vAlign w:val="center"/>
          </w:tcPr>
          <w:p>
            <w:pPr>
              <w:pStyle w:val="14"/>
            </w:pPr>
            <w:r>
              <w:t>≥95%</w:t>
            </w:r>
          </w:p>
        </w:tc>
        <w:tc>
          <w:tcPr>
            <w:tcW w:w="2268" w:type="dxa"/>
            <w:vAlign w:val="center"/>
          </w:tcPr>
          <w:p>
            <w:pPr>
              <w:pStyle w:val="14"/>
            </w:pPr>
            <w:r>
              <w:t>教职人员素质得到提高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开展宣传方式的成本</w:t>
            </w:r>
          </w:p>
        </w:tc>
        <w:tc>
          <w:tcPr>
            <w:tcW w:w="2835" w:type="dxa"/>
            <w:vAlign w:val="center"/>
          </w:tcPr>
          <w:p>
            <w:pPr>
              <w:pStyle w:val="14"/>
            </w:pPr>
            <w:r>
              <w:t>举办培训宗教政策知识培训班</w:t>
            </w:r>
          </w:p>
        </w:tc>
        <w:tc>
          <w:tcPr>
            <w:tcW w:w="2551" w:type="dxa"/>
            <w:vAlign w:val="center"/>
          </w:tcPr>
          <w:p>
            <w:pPr>
              <w:pStyle w:val="14"/>
            </w:pPr>
            <w:r>
              <w:t>≥2次</w:t>
            </w:r>
          </w:p>
        </w:tc>
        <w:tc>
          <w:tcPr>
            <w:tcW w:w="2268" w:type="dxa"/>
            <w:vAlign w:val="center"/>
          </w:tcPr>
          <w:p>
            <w:pPr>
              <w:pStyle w:val="14"/>
            </w:pPr>
            <w:r>
              <w:t>干部掌握宗教知识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宗教活动场所管理规范，各项制度上墙率</w:t>
            </w:r>
          </w:p>
        </w:tc>
        <w:tc>
          <w:tcPr>
            <w:tcW w:w="2835" w:type="dxa"/>
            <w:vAlign w:val="center"/>
          </w:tcPr>
          <w:p>
            <w:pPr>
              <w:pStyle w:val="14"/>
            </w:pPr>
            <w:r>
              <w:t>宗教活动场所管理规范</w:t>
            </w:r>
          </w:p>
        </w:tc>
        <w:tc>
          <w:tcPr>
            <w:tcW w:w="2551" w:type="dxa"/>
            <w:vAlign w:val="center"/>
          </w:tcPr>
          <w:p>
            <w:pPr>
              <w:pStyle w:val="14"/>
            </w:pPr>
            <w:r>
              <w:t>≥95%</w:t>
            </w:r>
          </w:p>
        </w:tc>
        <w:tc>
          <w:tcPr>
            <w:tcW w:w="2268" w:type="dxa"/>
            <w:vAlign w:val="center"/>
          </w:tcPr>
          <w:p>
            <w:pPr>
              <w:pStyle w:val="14"/>
            </w:pPr>
            <w:r>
              <w:t>场所管理规范</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2022年，中共高阳县委统战部（机关）安排政府采购预算0.00万元。具体内容见下表。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207001中共高阳县委统战部（机关）</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中共高阳县委统战部（机关）上年末固定资产金额为</w:t>
      </w:r>
      <w:r>
        <w:rPr>
          <w:rFonts w:hint="eastAsia" w:eastAsia="方正仿宋_GBK" w:cs="Times New Roman"/>
          <w:color w:val="000000"/>
          <w:sz w:val="28"/>
          <w:lang w:val="en-US" w:eastAsia="zh-CN"/>
        </w:rPr>
        <w:t>29.80</w:t>
      </w:r>
      <w:r>
        <w:rPr>
          <w:rFonts w:eastAsia="方正仿宋_GBK" w:cs="Times New Roman"/>
          <w:color w:val="000000"/>
          <w:sz w:val="28"/>
        </w:rPr>
        <w:t>万元（详见下表）。本年度拟购置固定资产总额为0.00万元</w:t>
      </w:r>
      <w:r>
        <w:rPr>
          <w:rFonts w:hint="eastAsia" w:eastAsia="方正仿宋_GBK" w:cs="Times New Roman"/>
          <w:color w:val="000000"/>
          <w:sz w:val="28"/>
          <w:lang w:eastAsia="zh-CN"/>
        </w:rPr>
        <w:t>，未达到采购标准，不在政府采购预算体现。</w:t>
      </w:r>
    </w:p>
    <w:p>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207001中共高阳县委统战部（机关）</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rPr>
                <w:rFonts w:ascii="方正书宋_GBK" w:hAnsi="方正书宋_GBK" w:eastAsia="方正书宋_GBK" w:cs="方正书宋_GBK"/>
                <w:sz w:val="21"/>
                <w:szCs w:val="24"/>
                <w:lang w:val="en-US" w:eastAsia="uk-UA" w:bidi="ar-SA"/>
              </w:rPr>
            </w:pPr>
            <w:r>
              <w:rPr>
                <w:rFonts w:hint="eastAsia"/>
              </w:rPr>
              <w:t>资产总额</w:t>
            </w:r>
          </w:p>
        </w:tc>
        <w:tc>
          <w:tcPr>
            <w:tcW w:w="2835" w:type="dxa"/>
            <w:vAlign w:val="center"/>
          </w:tcPr>
          <w:p>
            <w:pPr>
              <w:pStyle w:val="15"/>
              <w:rPr>
                <w:rFonts w:ascii="方正书宋_GBK" w:hAnsi="方正书宋_GBK" w:eastAsia="方正书宋_GBK" w:cs="方正书宋_GBK"/>
                <w:sz w:val="21"/>
                <w:szCs w:val="24"/>
                <w:lang w:val="en-US" w:eastAsia="uk-UA" w:bidi="ar-SA"/>
              </w:rPr>
            </w:pPr>
          </w:p>
        </w:tc>
        <w:tc>
          <w:tcPr>
            <w:tcW w:w="2835"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rPr>
                <w:rFonts w:ascii="方正书宋_GBK" w:hAnsi="方正书宋_GBK" w:eastAsia="方正书宋_GBK" w:cs="方正书宋_GBK"/>
                <w:sz w:val="21"/>
                <w:szCs w:val="24"/>
                <w:lang w:val="en-US" w:eastAsia="uk-UA" w:bidi="ar-SA"/>
              </w:rPr>
            </w:pPr>
            <w:r>
              <w:t>1</w:t>
            </w:r>
            <w:r>
              <w:rPr>
                <w:rFonts w:hint="eastAsia"/>
              </w:rPr>
              <w:t>、房屋（平方米）</w:t>
            </w:r>
          </w:p>
        </w:tc>
        <w:tc>
          <w:tcPr>
            <w:tcW w:w="2835" w:type="dxa"/>
            <w:vAlign w:val="center"/>
          </w:tcPr>
          <w:p>
            <w:pPr>
              <w:pStyle w:val="15"/>
              <w:rPr>
                <w:rFonts w:ascii="方正书宋_GBK" w:hAnsi="方正书宋_GBK" w:eastAsia="方正书宋_GBK" w:cs="方正书宋_GBK"/>
                <w:sz w:val="21"/>
                <w:szCs w:val="24"/>
                <w:lang w:val="en-US" w:eastAsia="uk-UA" w:bidi="ar-SA"/>
              </w:rPr>
            </w:pPr>
          </w:p>
        </w:tc>
        <w:tc>
          <w:tcPr>
            <w:tcW w:w="2835" w:type="dxa"/>
            <w:vAlign w:val="center"/>
          </w:tcPr>
          <w:p>
            <w:pPr>
              <w:pStyle w:val="13"/>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rPr>
                <w:rFonts w:ascii="方正书宋_GBK" w:hAnsi="方正书宋_GBK" w:eastAsia="方正书宋_GBK" w:cs="方正书宋_GBK"/>
                <w:sz w:val="21"/>
                <w:szCs w:val="24"/>
                <w:lang w:val="en-US" w:eastAsia="uk-UA" w:bidi="ar-SA"/>
              </w:rPr>
            </w:pPr>
            <w:r>
              <w:rPr>
                <w:rFonts w:hint="eastAsia"/>
              </w:rPr>
              <w:t>　　其中：办公用房（平方米）</w:t>
            </w:r>
          </w:p>
        </w:tc>
        <w:tc>
          <w:tcPr>
            <w:tcW w:w="2835" w:type="dxa"/>
            <w:vAlign w:val="center"/>
          </w:tcPr>
          <w:p>
            <w:pPr>
              <w:pStyle w:val="15"/>
              <w:rPr>
                <w:rFonts w:ascii="方正书宋_GBK" w:hAnsi="方正书宋_GBK" w:eastAsia="方正书宋_GBK" w:cs="方正书宋_GBK"/>
                <w:sz w:val="21"/>
                <w:szCs w:val="24"/>
                <w:lang w:val="en-US" w:eastAsia="uk-UA" w:bidi="ar-SA"/>
              </w:rPr>
            </w:pPr>
          </w:p>
        </w:tc>
        <w:tc>
          <w:tcPr>
            <w:tcW w:w="2835" w:type="dxa"/>
            <w:vAlign w:val="center"/>
          </w:tcPr>
          <w:p>
            <w:pPr>
              <w:pStyle w:val="13"/>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rPr>
                <w:rFonts w:ascii="方正书宋_GBK" w:hAnsi="方正书宋_GBK" w:eastAsia="方正书宋_GBK" w:cs="方正书宋_GBK"/>
                <w:sz w:val="21"/>
                <w:szCs w:val="24"/>
                <w:lang w:val="en-US" w:eastAsia="uk-UA" w:bidi="ar-SA"/>
              </w:rPr>
            </w:pPr>
            <w:r>
              <w:t>2</w:t>
            </w:r>
            <w:r>
              <w:rPr>
                <w:rFonts w:hint="eastAsia"/>
              </w:rPr>
              <w:t>、车辆（台、辆）</w:t>
            </w:r>
          </w:p>
        </w:tc>
        <w:tc>
          <w:tcPr>
            <w:tcW w:w="2835" w:type="dxa"/>
            <w:vAlign w:val="center"/>
          </w:tcPr>
          <w:p>
            <w:pPr>
              <w:pStyle w:val="15"/>
              <w:rPr>
                <w:rFonts w:hint="eastAsia" w:ascii="方正书宋_GBK" w:hAnsi="方正书宋_GBK" w:eastAsia="方正书宋_GBK" w:cs="方正书宋_GBK"/>
                <w:sz w:val="21"/>
                <w:szCs w:val="24"/>
                <w:lang w:val="en-US" w:eastAsia="zh-CN" w:bidi="ar-SA"/>
              </w:rPr>
            </w:pPr>
            <w:r>
              <w:rPr>
                <w:rFonts w:hint="eastAsia"/>
                <w:lang w:val="en-US" w:eastAsia="zh-CN"/>
              </w:rPr>
              <w:t>1</w:t>
            </w:r>
          </w:p>
        </w:tc>
        <w:tc>
          <w:tcPr>
            <w:tcW w:w="2835"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21.48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rPr>
                <w:rFonts w:ascii="方正书宋_GBK" w:hAnsi="方正书宋_GBK" w:eastAsia="方正书宋_GBK" w:cs="方正书宋_GBK"/>
                <w:sz w:val="21"/>
                <w:szCs w:val="24"/>
                <w:lang w:val="en-US" w:eastAsia="uk-UA" w:bidi="ar-SA"/>
              </w:rPr>
            </w:pPr>
            <w:r>
              <w:t>3</w:t>
            </w:r>
            <w:r>
              <w:rPr>
                <w:rFonts w:hint="eastAsia"/>
              </w:rPr>
              <w:t>、单价在</w:t>
            </w:r>
            <w:r>
              <w:t>20</w:t>
            </w:r>
            <w:r>
              <w:rPr>
                <w:rFonts w:hint="eastAsia"/>
              </w:rPr>
              <w:t>万元以上的设备</w:t>
            </w:r>
          </w:p>
        </w:tc>
        <w:tc>
          <w:tcPr>
            <w:tcW w:w="2835" w:type="dxa"/>
            <w:vAlign w:val="top"/>
          </w:tcPr>
          <w:p>
            <w:pPr>
              <w:pStyle w:val="15"/>
              <w:rPr>
                <w:rFonts w:ascii="方正书宋_GBK" w:hAnsi="方正书宋_GBK" w:eastAsia="方正书宋_GBK" w:cs="方正书宋_GBK"/>
                <w:sz w:val="21"/>
                <w:szCs w:val="24"/>
                <w:lang w:val="en-US" w:eastAsia="uk-UA" w:bidi="ar-SA"/>
              </w:rPr>
            </w:pPr>
          </w:p>
        </w:tc>
        <w:tc>
          <w:tcPr>
            <w:tcW w:w="2835" w:type="dxa"/>
            <w:vAlign w:val="top"/>
          </w:tcPr>
          <w:p>
            <w:pPr>
              <w:pStyle w:val="13"/>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rPr>
                <w:rFonts w:ascii="方正书宋_GBK" w:hAnsi="方正书宋_GBK" w:eastAsia="方正书宋_GBK" w:cs="方正书宋_GBK"/>
                <w:sz w:val="21"/>
                <w:szCs w:val="24"/>
                <w:lang w:val="en-US" w:eastAsia="uk-UA" w:bidi="ar-SA"/>
              </w:rPr>
            </w:pPr>
            <w:r>
              <w:t>4</w:t>
            </w:r>
            <w:r>
              <w:rPr>
                <w:rFonts w:hint="eastAsia"/>
              </w:rPr>
              <w:t>、其他固定资产</w:t>
            </w:r>
          </w:p>
        </w:tc>
        <w:tc>
          <w:tcPr>
            <w:tcW w:w="2835" w:type="dxa"/>
            <w:vAlign w:val="top"/>
          </w:tcPr>
          <w:p>
            <w:pPr>
              <w:pStyle w:val="15"/>
              <w:rPr>
                <w:rFonts w:hint="default" w:ascii="方正书宋_GBK" w:hAnsi="方正书宋_GBK" w:eastAsia="方正书宋_GBK" w:cs="方正书宋_GBK"/>
                <w:sz w:val="21"/>
                <w:szCs w:val="24"/>
                <w:lang w:val="en-US" w:eastAsia="zh-CN" w:bidi="ar-SA"/>
              </w:rPr>
            </w:pPr>
            <w:r>
              <w:rPr>
                <w:rFonts w:hint="eastAsia"/>
                <w:lang w:val="en-US" w:eastAsia="zh-CN"/>
              </w:rPr>
              <w:t>124</w:t>
            </w:r>
          </w:p>
        </w:tc>
        <w:tc>
          <w:tcPr>
            <w:tcW w:w="2835" w:type="dxa"/>
            <w:vAlign w:val="top"/>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8.32</w:t>
            </w:r>
          </w:p>
        </w:tc>
      </w:tr>
    </w:tbl>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cs="Times New Roman" w:eastAsiaTheme="minorEastAsia"/>
          <w:color w:val="000000"/>
          <w:sz w:val="28"/>
          <w:lang w:eastAsia="zh-CN"/>
        </w:rPr>
        <w:t>县</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cs="Times New Roman" w:eastAsiaTheme="minorEastAsia"/>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s="Times New Roman"/>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GUwNjA0ZjM5MjZhNzExZjZjODI4ZTFiMjhjYWFlOGUifQ=="/>
  </w:docVars>
  <w:rsids>
    <w:rsidRoot w:val="00895403"/>
    <w:rsid w:val="001C3DA7"/>
    <w:rsid w:val="0040669E"/>
    <w:rsid w:val="006212E2"/>
    <w:rsid w:val="00895403"/>
    <w:rsid w:val="00A0262E"/>
    <w:rsid w:val="00C576DC"/>
    <w:rsid w:val="01482583"/>
    <w:rsid w:val="0DFB2E05"/>
    <w:rsid w:val="1BEA3F4A"/>
    <w:rsid w:val="28837593"/>
    <w:rsid w:val="29450457"/>
    <w:rsid w:val="2BE75390"/>
    <w:rsid w:val="47A87989"/>
    <w:rsid w:val="5A736605"/>
    <w:rsid w:val="5B954A0C"/>
    <w:rsid w:val="6A6A3224"/>
    <w:rsid w:val="7D1F4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2022-06-17T16:12:31Z</dcterms:created>
  <dcterms:modified xsi:type="dcterms:W3CDTF">2022-06-17T08:12:31Z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2022-06-17T16:12:30Z</dcterms:created>
  <dcterms:modified xsi:type="dcterms:W3CDTF">2022-06-17T08:12:30Z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2022-06-17T16:12:28Z</dcterms:created>
  <dcterms:modified xsi:type="dcterms:W3CDTF">2022-06-17T08:12:28Z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2022-06-17T16:12:27Z</dcterms:created>
  <dcterms:modified xsi:type="dcterms:W3CDTF">2022-06-17T08:12:27Z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2022-06-17T16:12:27Z</dcterms:created>
  <dcterms:modified xsi:type="dcterms:W3CDTF">2022-06-17T08:12:27Z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2022-06-17T16:12:30Z</dcterms:created>
  <dcterms:modified xsi:type="dcterms:W3CDTF">2022-06-17T08:12:30Z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2022-06-17T16:12:30Z</dcterms:created>
  <dcterms:modified xsi:type="dcterms:W3CDTF">2022-06-17T08:12:30Z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2022-06-17T16:12:30Z</dcterms:created>
  <dcterms:modified xsi:type="dcterms:W3CDTF">2022-06-17T08:12:30Z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2022-06-17T16:12:27Z</dcterms:created>
  <dcterms:modified xsi:type="dcterms:W3CDTF">2022-06-17T08:12:27Z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2022-06-17T16:12:30Z</dcterms:created>
  <dcterms:modified xsi:type="dcterms:W3CDTF">2022-06-17T08:12:30Z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2022-06-17T16:12:31Z</dcterms:created>
  <dcterms:modified xsi:type="dcterms:W3CDTF">2022-06-17T08:12:31Z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2022-06-17T16:12:27Z</dcterms:created>
  <dcterms:modified xsi:type="dcterms:W3CDTF">2022-06-17T08:12:27Z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2022-06-17T16:12:28Z</dcterms:created>
  <dcterms:modified xsi:type="dcterms:W3CDTF">2022-06-17T08:12:28Z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2022-06-17T16:12:27Z</dcterms:created>
  <dcterms:modified xsi:type="dcterms:W3CDTF">2022-06-17T08:12:27Z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2022-06-17T16:12:27Z</dcterms:created>
  <dcterms:modified xsi:type="dcterms:W3CDTF">2022-06-17T08:12:27Z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2022-06-17T16:12:27Z</dcterms:created>
  <dcterms:modified xsi:type="dcterms:W3CDTF">2022-06-17T08:12:27Z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2022-06-17T16:12:30Z</dcterms:created>
  <dcterms:modified xsi:type="dcterms:W3CDTF">2022-06-17T08:12:30Z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8D81C4E-C429-4076-97A2-281EE808D2A1}">
  <ds:schemaRefs/>
</ds:datastoreItem>
</file>

<file path=customXml/itemProps11.xml><?xml version="1.0" encoding="utf-8"?>
<ds:datastoreItem xmlns:ds="http://schemas.openxmlformats.org/officeDocument/2006/customXml" ds:itemID="{FAF47CAD-8D76-4B06-9661-CDC6467D135B}">
  <ds:schemaRefs/>
</ds:datastoreItem>
</file>

<file path=customXml/itemProps12.xml><?xml version="1.0" encoding="utf-8"?>
<ds:datastoreItem xmlns:ds="http://schemas.openxmlformats.org/officeDocument/2006/customXml" ds:itemID="{990BDF9C-B0E6-4FCD-BBFA-C2F5B5D95021}">
  <ds:schemaRefs/>
</ds:datastoreItem>
</file>

<file path=customXml/itemProps13.xml><?xml version="1.0" encoding="utf-8"?>
<ds:datastoreItem xmlns:ds="http://schemas.openxmlformats.org/officeDocument/2006/customXml" ds:itemID="{357EE141-5CA0-41FA-937B-07EC8C5189F4}">
  <ds:schemaRefs/>
</ds:datastoreItem>
</file>

<file path=customXml/itemProps14.xml><?xml version="1.0" encoding="utf-8"?>
<ds:datastoreItem xmlns:ds="http://schemas.openxmlformats.org/officeDocument/2006/customXml" ds:itemID="{92189AF6-42BA-459F-89AF-F3469E28981E}">
  <ds:schemaRefs/>
</ds:datastoreItem>
</file>

<file path=customXml/itemProps15.xml><?xml version="1.0" encoding="utf-8"?>
<ds:datastoreItem xmlns:ds="http://schemas.openxmlformats.org/officeDocument/2006/customXml" ds:itemID="{657973CD-EA02-470E-A32D-D75C1AD4BD40}">
  <ds:schemaRefs/>
</ds:datastoreItem>
</file>

<file path=customXml/itemProps16.xml><?xml version="1.0" encoding="utf-8"?>
<ds:datastoreItem xmlns:ds="http://schemas.openxmlformats.org/officeDocument/2006/customXml" ds:itemID="{F68639D2-1FEF-4306-8653-FC87A398A690}">
  <ds:schemaRefs/>
</ds:datastoreItem>
</file>

<file path=customXml/itemProps17.xml><?xml version="1.0" encoding="utf-8"?>
<ds:datastoreItem xmlns:ds="http://schemas.openxmlformats.org/officeDocument/2006/customXml" ds:itemID="{5C820C9C-796F-4E90-A224-4609C7D7D268}">
  <ds:schemaRefs/>
</ds:datastoreItem>
</file>

<file path=customXml/itemProps18.xml><?xml version="1.0" encoding="utf-8"?>
<ds:datastoreItem xmlns:ds="http://schemas.openxmlformats.org/officeDocument/2006/customXml" ds:itemID="{61A5B3ED-3520-4A93-AA5B-E9477D0DC665}">
  <ds:schemaRefs/>
</ds:datastoreItem>
</file>

<file path=customXml/itemProps19.xml><?xml version="1.0" encoding="utf-8"?>
<ds:datastoreItem xmlns:ds="http://schemas.openxmlformats.org/officeDocument/2006/customXml" ds:itemID="{127348B7-2BB7-423D-B5F6-D8DFC0BB6ADA}">
  <ds:schemaRefs/>
</ds:datastoreItem>
</file>

<file path=customXml/itemProps2.xml><?xml version="1.0" encoding="utf-8"?>
<ds:datastoreItem xmlns:ds="http://schemas.openxmlformats.org/officeDocument/2006/customXml" ds:itemID="{1CD2D660-9003-4664-BA51-E3EE4CE295E2}">
  <ds:schemaRefs/>
</ds:datastoreItem>
</file>

<file path=customXml/itemProps20.xml><?xml version="1.0" encoding="utf-8"?>
<ds:datastoreItem xmlns:ds="http://schemas.openxmlformats.org/officeDocument/2006/customXml" ds:itemID="{31CB0DFE-C7B1-46AF-8A80-9B90DB317377}">
  <ds:schemaRefs/>
</ds:datastoreItem>
</file>

<file path=customXml/itemProps21.xml><?xml version="1.0" encoding="utf-8"?>
<ds:datastoreItem xmlns:ds="http://schemas.openxmlformats.org/officeDocument/2006/customXml" ds:itemID="{EE582A54-A52E-4028-A8D3-C467A86E2DE9}">
  <ds:schemaRefs/>
</ds:datastoreItem>
</file>

<file path=customXml/itemProps22.xml><?xml version="1.0" encoding="utf-8"?>
<ds:datastoreItem xmlns:ds="http://schemas.openxmlformats.org/officeDocument/2006/customXml" ds:itemID="{FC74769F-6DEB-491A-9852-5287EA4EA56C}">
  <ds:schemaRefs/>
</ds:datastoreItem>
</file>

<file path=customXml/itemProps23.xml><?xml version="1.0" encoding="utf-8"?>
<ds:datastoreItem xmlns:ds="http://schemas.openxmlformats.org/officeDocument/2006/customXml" ds:itemID="{7E233822-BF34-4DA4-9BF6-43CEDB949C40}">
  <ds:schemaRefs/>
</ds:datastoreItem>
</file>

<file path=customXml/itemProps24.xml><?xml version="1.0" encoding="utf-8"?>
<ds:datastoreItem xmlns:ds="http://schemas.openxmlformats.org/officeDocument/2006/customXml" ds:itemID="{55A7964B-EEFB-479E-920B-81863B9062F4}">
  <ds:schemaRefs/>
</ds:datastoreItem>
</file>

<file path=customXml/itemProps25.xml><?xml version="1.0" encoding="utf-8"?>
<ds:datastoreItem xmlns:ds="http://schemas.openxmlformats.org/officeDocument/2006/customXml" ds:itemID="{7384DD13-3864-4AFB-B556-1793A7E30A4A}">
  <ds:schemaRefs/>
</ds:datastoreItem>
</file>

<file path=customXml/itemProps26.xml><?xml version="1.0" encoding="utf-8"?>
<ds:datastoreItem xmlns:ds="http://schemas.openxmlformats.org/officeDocument/2006/customXml" ds:itemID="{186B83E5-2E71-43C0-AFC9-ECACF9A0AF34}">
  <ds:schemaRefs/>
</ds:datastoreItem>
</file>

<file path=customXml/itemProps27.xml><?xml version="1.0" encoding="utf-8"?>
<ds:datastoreItem xmlns:ds="http://schemas.openxmlformats.org/officeDocument/2006/customXml" ds:itemID="{99B6E2BB-4D12-4042-9513-77A0FE34148B}">
  <ds:schemaRefs/>
</ds:datastoreItem>
</file>

<file path=customXml/itemProps28.xml><?xml version="1.0" encoding="utf-8"?>
<ds:datastoreItem xmlns:ds="http://schemas.openxmlformats.org/officeDocument/2006/customXml" ds:itemID="{35EF81B7-DD0D-4811-ACC2-F23DDBF5C9B8}">
  <ds:schemaRefs/>
</ds:datastoreItem>
</file>

<file path=customXml/itemProps29.xml><?xml version="1.0" encoding="utf-8"?>
<ds:datastoreItem xmlns:ds="http://schemas.openxmlformats.org/officeDocument/2006/customXml" ds:itemID="{267BDF57-3C3F-478A-8727-67559A72B261}">
  <ds:schemaRefs/>
</ds:datastoreItem>
</file>

<file path=customXml/itemProps3.xml><?xml version="1.0" encoding="utf-8"?>
<ds:datastoreItem xmlns:ds="http://schemas.openxmlformats.org/officeDocument/2006/customXml" ds:itemID="{A5FF8913-6E45-4F34-8A19-E96116257E5E}">
  <ds:schemaRefs/>
</ds:datastoreItem>
</file>

<file path=customXml/itemProps30.xml><?xml version="1.0" encoding="utf-8"?>
<ds:datastoreItem xmlns:ds="http://schemas.openxmlformats.org/officeDocument/2006/customXml" ds:itemID="{4882B7CC-6E66-4459-A810-E4D788223002}">
  <ds:schemaRefs/>
</ds:datastoreItem>
</file>

<file path=customXml/itemProps31.xml><?xml version="1.0" encoding="utf-8"?>
<ds:datastoreItem xmlns:ds="http://schemas.openxmlformats.org/officeDocument/2006/customXml" ds:itemID="{9FAB4713-6BBF-4048-88A7-ED3C84E441D4}">
  <ds:schemaRefs/>
</ds:datastoreItem>
</file>

<file path=customXml/itemProps32.xml><?xml version="1.0" encoding="utf-8"?>
<ds:datastoreItem xmlns:ds="http://schemas.openxmlformats.org/officeDocument/2006/customXml" ds:itemID="{1E78EF8E-6D3C-4430-A721-70A1C0AFCBF2}">
  <ds:schemaRefs/>
</ds:datastoreItem>
</file>

<file path=customXml/itemProps33.xml><?xml version="1.0" encoding="utf-8"?>
<ds:datastoreItem xmlns:ds="http://schemas.openxmlformats.org/officeDocument/2006/customXml" ds:itemID="{289FDBC6-A684-41DB-8A1F-317775296810}">
  <ds:schemaRefs/>
</ds:datastoreItem>
</file>

<file path=customXml/itemProps34.xml><?xml version="1.0" encoding="utf-8"?>
<ds:datastoreItem xmlns:ds="http://schemas.openxmlformats.org/officeDocument/2006/customXml" ds:itemID="{3D65D474-173B-482A-9191-303355FD9373}">
  <ds:schemaRefs/>
</ds:datastoreItem>
</file>

<file path=customXml/itemProps35.xml><?xml version="1.0" encoding="utf-8"?>
<ds:datastoreItem xmlns:ds="http://schemas.openxmlformats.org/officeDocument/2006/customXml" ds:itemID="{2024FFD6-754F-4084-A87F-722E8BD1BF4E}">
  <ds:schemaRefs/>
</ds:datastoreItem>
</file>

<file path=customXml/itemProps4.xml><?xml version="1.0" encoding="utf-8"?>
<ds:datastoreItem xmlns:ds="http://schemas.openxmlformats.org/officeDocument/2006/customXml" ds:itemID="{825935F9-8E08-4897-A865-803AC10B4A77}">
  <ds:schemaRefs/>
</ds:datastoreItem>
</file>

<file path=customXml/itemProps5.xml><?xml version="1.0" encoding="utf-8"?>
<ds:datastoreItem xmlns:ds="http://schemas.openxmlformats.org/officeDocument/2006/customXml" ds:itemID="{91C678D8-67F8-47E8-A9A5-E64A716A9DFB}">
  <ds:schemaRefs/>
</ds:datastoreItem>
</file>

<file path=customXml/itemProps6.xml><?xml version="1.0" encoding="utf-8"?>
<ds:datastoreItem xmlns:ds="http://schemas.openxmlformats.org/officeDocument/2006/customXml" ds:itemID="{B52BF76A-D33D-4A2F-BB86-FCE2D2624311}">
  <ds:schemaRefs/>
</ds:datastoreItem>
</file>

<file path=customXml/itemProps7.xml><?xml version="1.0" encoding="utf-8"?>
<ds:datastoreItem xmlns:ds="http://schemas.openxmlformats.org/officeDocument/2006/customXml" ds:itemID="{03B4AC42-F552-4EA2-8D1F-6385AB0D73A3}">
  <ds:schemaRefs/>
</ds:datastoreItem>
</file>

<file path=customXml/itemProps8.xml><?xml version="1.0" encoding="utf-8"?>
<ds:datastoreItem xmlns:ds="http://schemas.openxmlformats.org/officeDocument/2006/customXml" ds:itemID="{11CDC7A6-B128-4442-B391-1EBCF06ADC1C}">
  <ds:schemaRefs/>
</ds:datastoreItem>
</file>

<file path=customXml/itemProps9.xml><?xml version="1.0" encoding="utf-8"?>
<ds:datastoreItem xmlns:ds="http://schemas.openxmlformats.org/officeDocument/2006/customXml" ds:itemID="{571A3575-A12C-4BC9-BC4E-05BE31DFDECB}">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8446</Words>
  <Characters>9919</Characters>
  <Lines>85</Lines>
  <Paragraphs>24</Paragraphs>
  <TotalTime>1</TotalTime>
  <ScaleCrop>false</ScaleCrop>
  <LinksUpToDate>false</LinksUpToDate>
  <CharactersWithSpaces>10071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2022-06-17T16:12:00Z</dcterms:created>
  <dc:creator>Administrator.SKY-20200921DKL</dc:creator>
  <cp:lastModifiedBy>Administratorgy0312</cp:lastModifiedBy>
  <dcterms:modified xsi:type="dcterms:W3CDTF">2023-11-08T12:00:21Z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CAD00A56D6C04F40831233E78CC40196</vt:lpwstr>
  </property>
</Properties>
</file>