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eastAsia="黑体" w:cs="黑体"/>
          <w:b/>
          <w:color w:val="000000"/>
          <w:sz w:val="44"/>
        </w:rPr>
        <w:t>2023年部门预算信息公开目录</w:t>
      </w:r>
    </w:p>
    <w:p>
      <w:pPr>
        <w:spacing w:before="0" w:after="0" w:line="240" w:lineRule="auto"/>
        <w:ind w:firstLine="0"/>
        <w:jc w:val="center"/>
        <w:outlineLvl w:val="9"/>
      </w:pPr>
      <w:r>
        <w:rPr>
          <w:rFonts w:ascii="黑体" w:eastAsia="黑体" w:cs="黑体"/>
          <w:b/>
          <w:color w:val="000000"/>
          <w:sz w:val="30"/>
        </w:rPr>
        <w:t>部门预算</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2"/>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2"/>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2"/>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2"/>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2"/>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21</w:t>
      </w:r>
      <w:r>
        <w:fldChar w:fldCharType="end"/>
      </w:r>
      <w:r>
        <w:fldChar w:fldCharType="end"/>
      </w:r>
    </w:p>
    <w:p>
      <w:pPr>
        <w:pStyle w:val="32"/>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pPr>
        <w:pStyle w:val="32"/>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21</w:t>
      </w:r>
      <w:r>
        <w:fldChar w:fldCharType="end"/>
      </w:r>
      <w:r>
        <w:fldChar w:fldCharType="end"/>
      </w:r>
    </w:p>
    <w:p>
      <w:pPr>
        <w:pStyle w:val="32"/>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docGrid w:linePitch="326" w:charSpace="0"/>
        </w:sectPr>
      </w:pP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217高阳县总工会</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166.43</w:t>
            </w:r>
          </w:p>
        </w:tc>
        <w:tc>
          <w:tcPr>
            <w:tcW w:w="4535" w:type="dxa"/>
            <w:vAlign w:val="center"/>
          </w:tcPr>
          <w:p>
            <w:pPr>
              <w:pStyle w:val="12"/>
            </w:pPr>
            <w:r>
              <w:t>一、一般公共服务支出</w:t>
            </w:r>
          </w:p>
        </w:tc>
        <w:tc>
          <w:tcPr>
            <w:tcW w:w="2126" w:type="dxa"/>
            <w:vAlign w:val="center"/>
          </w:tcPr>
          <w:p>
            <w:pPr>
              <w:pStyle w:val="11"/>
            </w:pPr>
            <w:r>
              <w:t>152.93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166.43</w:t>
            </w:r>
          </w:p>
        </w:tc>
        <w:tc>
          <w:tcPr>
            <w:tcW w:w="4535" w:type="dxa"/>
            <w:vAlign w:val="center"/>
          </w:tcPr>
          <w:p>
            <w:pPr>
              <w:pStyle w:val="14"/>
            </w:pPr>
            <w:r>
              <w:t>本年支出合计</w:t>
            </w:r>
          </w:p>
        </w:tc>
        <w:tc>
          <w:tcPr>
            <w:tcW w:w="2126" w:type="dxa"/>
            <w:vAlign w:val="center"/>
          </w:tcPr>
          <w:p>
            <w:pPr>
              <w:pStyle w:val="15"/>
            </w:pPr>
            <w:r>
              <w:t>166.43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166.43</w:t>
            </w:r>
          </w:p>
        </w:tc>
        <w:tc>
          <w:tcPr>
            <w:tcW w:w="4535" w:type="dxa"/>
            <w:vAlign w:val="center"/>
          </w:tcPr>
          <w:p>
            <w:pPr>
              <w:pStyle w:val="14"/>
            </w:pPr>
            <w:r>
              <w:t>支出总计</w:t>
            </w:r>
          </w:p>
        </w:tc>
        <w:tc>
          <w:tcPr>
            <w:tcW w:w="2126" w:type="dxa"/>
            <w:vAlign w:val="center"/>
          </w:tcPr>
          <w:p>
            <w:pPr>
              <w:pStyle w:val="15"/>
            </w:pPr>
            <w:r>
              <w:t>166.43</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217高阳县总工会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166.43</w:t>
            </w:r>
          </w:p>
        </w:tc>
        <w:tc>
          <w:tcPr>
            <w:tcW w:w="1134" w:type="dxa"/>
            <w:vAlign w:val="center"/>
          </w:tcPr>
          <w:p>
            <w:pPr>
              <w:pStyle w:val="15"/>
            </w:pPr>
            <w:r>
              <w:t>166.43</w:t>
            </w:r>
          </w:p>
        </w:tc>
        <w:tc>
          <w:tcPr>
            <w:tcW w:w="1134" w:type="dxa"/>
            <w:vAlign w:val="center"/>
          </w:tcPr>
          <w:p>
            <w:pPr>
              <w:pStyle w:val="15"/>
            </w:pPr>
            <w:r>
              <w:t>166.43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152.93</w:t>
            </w:r>
          </w:p>
        </w:tc>
        <w:tc>
          <w:tcPr>
            <w:tcW w:w="1134" w:type="dxa"/>
            <w:vAlign w:val="center"/>
          </w:tcPr>
          <w:p>
            <w:pPr>
              <w:pStyle w:val="11"/>
            </w:pPr>
            <w:r>
              <w:t>152.93</w:t>
            </w:r>
          </w:p>
        </w:tc>
        <w:tc>
          <w:tcPr>
            <w:tcW w:w="1134" w:type="dxa"/>
            <w:vAlign w:val="center"/>
          </w:tcPr>
          <w:p>
            <w:pPr>
              <w:pStyle w:val="11"/>
            </w:pPr>
            <w:r>
              <w:t>152.93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152.93</w:t>
            </w:r>
          </w:p>
        </w:tc>
        <w:tc>
          <w:tcPr>
            <w:tcW w:w="1134" w:type="dxa"/>
            <w:vAlign w:val="center"/>
          </w:tcPr>
          <w:p>
            <w:pPr>
              <w:pStyle w:val="11"/>
            </w:pPr>
            <w:r>
              <w:t>152.93</w:t>
            </w:r>
          </w:p>
        </w:tc>
        <w:tc>
          <w:tcPr>
            <w:tcW w:w="1134" w:type="dxa"/>
            <w:vAlign w:val="center"/>
          </w:tcPr>
          <w:p>
            <w:pPr>
              <w:pStyle w:val="11"/>
            </w:pPr>
            <w:r>
              <w:t>152.93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69.67</w:t>
            </w:r>
          </w:p>
        </w:tc>
        <w:tc>
          <w:tcPr>
            <w:tcW w:w="1134" w:type="dxa"/>
            <w:vAlign w:val="center"/>
          </w:tcPr>
          <w:p>
            <w:pPr>
              <w:pStyle w:val="11"/>
            </w:pPr>
            <w:r>
              <w:t>69.67</w:t>
            </w:r>
          </w:p>
        </w:tc>
        <w:tc>
          <w:tcPr>
            <w:tcW w:w="1134" w:type="dxa"/>
            <w:vAlign w:val="center"/>
          </w:tcPr>
          <w:p>
            <w:pPr>
              <w:pStyle w:val="11"/>
            </w:pPr>
            <w:r>
              <w:t>69.67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2.52</w:t>
            </w:r>
          </w:p>
        </w:tc>
        <w:tc>
          <w:tcPr>
            <w:tcW w:w="1134" w:type="dxa"/>
            <w:vAlign w:val="center"/>
          </w:tcPr>
          <w:p>
            <w:pPr>
              <w:pStyle w:val="11"/>
            </w:pPr>
            <w:r>
              <w:t>2.52</w:t>
            </w:r>
          </w:p>
        </w:tc>
        <w:tc>
          <w:tcPr>
            <w:tcW w:w="1134" w:type="dxa"/>
            <w:vAlign w:val="center"/>
          </w:tcPr>
          <w:p>
            <w:pPr>
              <w:pStyle w:val="11"/>
            </w:pPr>
            <w:r>
              <w:t>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2012950</w:t>
            </w:r>
          </w:p>
        </w:tc>
        <w:tc>
          <w:tcPr>
            <w:tcW w:w="1559" w:type="dxa"/>
            <w:vAlign w:val="center"/>
          </w:tcPr>
          <w:p>
            <w:pPr>
              <w:pStyle w:val="12"/>
            </w:pPr>
            <w:r>
              <w:t>事业运行</w:t>
            </w:r>
          </w:p>
        </w:tc>
        <w:tc>
          <w:tcPr>
            <w:tcW w:w="1134" w:type="dxa"/>
            <w:vAlign w:val="center"/>
          </w:tcPr>
          <w:p>
            <w:pPr>
              <w:pStyle w:val="11"/>
            </w:pPr>
            <w:r>
              <w:t>80.74</w:t>
            </w:r>
          </w:p>
        </w:tc>
        <w:tc>
          <w:tcPr>
            <w:tcW w:w="1134" w:type="dxa"/>
            <w:vAlign w:val="center"/>
          </w:tcPr>
          <w:p>
            <w:pPr>
              <w:pStyle w:val="11"/>
            </w:pPr>
            <w:r>
              <w:t>80.74</w:t>
            </w:r>
          </w:p>
        </w:tc>
        <w:tc>
          <w:tcPr>
            <w:tcW w:w="1134" w:type="dxa"/>
            <w:vAlign w:val="center"/>
          </w:tcPr>
          <w:p>
            <w:pPr>
              <w:pStyle w:val="11"/>
            </w:pPr>
            <w:r>
              <w:t>80.74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166.43</w:t>
            </w:r>
          </w:p>
        </w:tc>
        <w:tc>
          <w:tcPr>
            <w:tcW w:w="1361" w:type="dxa"/>
            <w:vAlign w:val="center"/>
          </w:tcPr>
          <w:p>
            <w:pPr>
              <w:pStyle w:val="15"/>
            </w:pPr>
            <w:r>
              <w:t>163.91</w:t>
            </w:r>
          </w:p>
        </w:tc>
        <w:tc>
          <w:tcPr>
            <w:tcW w:w="1361" w:type="dxa"/>
            <w:vAlign w:val="center"/>
          </w:tcPr>
          <w:p>
            <w:pPr>
              <w:pStyle w:val="15"/>
            </w:pPr>
            <w:r>
              <w:t>2.52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152.93</w:t>
            </w:r>
          </w:p>
        </w:tc>
        <w:tc>
          <w:tcPr>
            <w:tcW w:w="1361" w:type="dxa"/>
            <w:vAlign w:val="center"/>
          </w:tcPr>
          <w:p>
            <w:pPr>
              <w:pStyle w:val="11"/>
            </w:pPr>
            <w:r>
              <w:t>150.41</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152.93</w:t>
            </w:r>
          </w:p>
        </w:tc>
        <w:tc>
          <w:tcPr>
            <w:tcW w:w="1361" w:type="dxa"/>
            <w:vAlign w:val="center"/>
          </w:tcPr>
          <w:p>
            <w:pPr>
              <w:pStyle w:val="11"/>
            </w:pPr>
            <w:r>
              <w:t>150.41</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69.67</w:t>
            </w:r>
          </w:p>
        </w:tc>
        <w:tc>
          <w:tcPr>
            <w:tcW w:w="1361" w:type="dxa"/>
            <w:vAlign w:val="center"/>
          </w:tcPr>
          <w:p>
            <w:pPr>
              <w:pStyle w:val="11"/>
            </w:pPr>
            <w:r>
              <w:t>69.67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2012950</w:t>
            </w:r>
          </w:p>
        </w:tc>
        <w:tc>
          <w:tcPr>
            <w:tcW w:w="4535" w:type="dxa"/>
            <w:vAlign w:val="center"/>
          </w:tcPr>
          <w:p>
            <w:pPr>
              <w:pStyle w:val="12"/>
            </w:pPr>
            <w:r>
              <w:t>事业运行</w:t>
            </w:r>
          </w:p>
        </w:tc>
        <w:tc>
          <w:tcPr>
            <w:tcW w:w="1361" w:type="dxa"/>
            <w:vAlign w:val="center"/>
          </w:tcPr>
          <w:p>
            <w:pPr>
              <w:pStyle w:val="11"/>
            </w:pPr>
            <w:r>
              <w:t>80.74</w:t>
            </w:r>
          </w:p>
        </w:tc>
        <w:tc>
          <w:tcPr>
            <w:tcW w:w="1361" w:type="dxa"/>
            <w:vAlign w:val="center"/>
          </w:tcPr>
          <w:p>
            <w:pPr>
              <w:pStyle w:val="11"/>
            </w:pPr>
            <w:r>
              <w:t>80.74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5.87</w:t>
            </w:r>
          </w:p>
        </w:tc>
        <w:tc>
          <w:tcPr>
            <w:tcW w:w="1361" w:type="dxa"/>
            <w:vAlign w:val="center"/>
          </w:tcPr>
          <w:p>
            <w:pPr>
              <w:pStyle w:val="11"/>
            </w:pPr>
            <w:r>
              <w:t>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5.87</w:t>
            </w:r>
          </w:p>
        </w:tc>
        <w:tc>
          <w:tcPr>
            <w:tcW w:w="1361" w:type="dxa"/>
            <w:vAlign w:val="center"/>
          </w:tcPr>
          <w:p>
            <w:pPr>
              <w:pStyle w:val="11"/>
            </w:pPr>
            <w:r>
              <w:t>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1.60</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1.60</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166.43</w:t>
            </w:r>
          </w:p>
        </w:tc>
        <w:tc>
          <w:tcPr>
            <w:tcW w:w="3402" w:type="dxa"/>
            <w:vAlign w:val="center"/>
          </w:tcPr>
          <w:p>
            <w:pPr>
              <w:pStyle w:val="12"/>
            </w:pPr>
            <w:r>
              <w:t>一、一般公共服务支出</w:t>
            </w:r>
          </w:p>
        </w:tc>
        <w:tc>
          <w:tcPr>
            <w:tcW w:w="1474" w:type="dxa"/>
            <w:vAlign w:val="center"/>
          </w:tcPr>
          <w:p>
            <w:pPr>
              <w:pStyle w:val="11"/>
            </w:pPr>
            <w:r>
              <w:t>152.93</w:t>
            </w:r>
          </w:p>
        </w:tc>
        <w:tc>
          <w:tcPr>
            <w:tcW w:w="1474" w:type="dxa"/>
            <w:vAlign w:val="center"/>
          </w:tcPr>
          <w:p>
            <w:pPr>
              <w:pStyle w:val="11"/>
            </w:pPr>
            <w:r>
              <w:t>152.93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7.47</w:t>
            </w:r>
          </w:p>
        </w:tc>
        <w:tc>
          <w:tcPr>
            <w:tcW w:w="1474" w:type="dxa"/>
            <w:vAlign w:val="center"/>
          </w:tcPr>
          <w:p>
            <w:pPr>
              <w:pStyle w:val="11"/>
            </w:pPr>
            <w:r>
              <w:t>7.47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2.23</w:t>
            </w:r>
          </w:p>
        </w:tc>
        <w:tc>
          <w:tcPr>
            <w:tcW w:w="1474" w:type="dxa"/>
            <w:vAlign w:val="center"/>
          </w:tcPr>
          <w:p>
            <w:pPr>
              <w:pStyle w:val="11"/>
            </w:pPr>
            <w:r>
              <w:t>2.23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3.80</w:t>
            </w:r>
          </w:p>
        </w:tc>
        <w:tc>
          <w:tcPr>
            <w:tcW w:w="1474" w:type="dxa"/>
            <w:vAlign w:val="center"/>
          </w:tcPr>
          <w:p>
            <w:pPr>
              <w:pStyle w:val="11"/>
            </w:pPr>
            <w:r>
              <w:t>3.80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166.43</w:t>
            </w:r>
          </w:p>
        </w:tc>
        <w:tc>
          <w:tcPr>
            <w:tcW w:w="3402" w:type="dxa"/>
            <w:vAlign w:val="center"/>
          </w:tcPr>
          <w:p>
            <w:pPr>
              <w:pStyle w:val="14"/>
            </w:pPr>
            <w:r>
              <w:t>本年支出合计</w:t>
            </w:r>
          </w:p>
        </w:tc>
        <w:tc>
          <w:tcPr>
            <w:tcW w:w="1474" w:type="dxa"/>
            <w:vAlign w:val="center"/>
          </w:tcPr>
          <w:p>
            <w:pPr>
              <w:pStyle w:val="15"/>
            </w:pPr>
            <w:r>
              <w:t>166.43</w:t>
            </w:r>
          </w:p>
        </w:tc>
        <w:tc>
          <w:tcPr>
            <w:tcW w:w="1474" w:type="dxa"/>
            <w:vAlign w:val="center"/>
          </w:tcPr>
          <w:p>
            <w:pPr>
              <w:pStyle w:val="15"/>
            </w:pPr>
            <w:r>
              <w:t>166.43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166.43</w:t>
            </w:r>
          </w:p>
        </w:tc>
        <w:tc>
          <w:tcPr>
            <w:tcW w:w="3402" w:type="dxa"/>
            <w:vAlign w:val="center"/>
          </w:tcPr>
          <w:p>
            <w:pPr>
              <w:pStyle w:val="14"/>
            </w:pPr>
            <w:r>
              <w:t>支出总计</w:t>
            </w:r>
          </w:p>
        </w:tc>
        <w:tc>
          <w:tcPr>
            <w:tcW w:w="1474" w:type="dxa"/>
            <w:vAlign w:val="center"/>
          </w:tcPr>
          <w:p>
            <w:pPr>
              <w:pStyle w:val="15"/>
            </w:pPr>
            <w:r>
              <w:t>166.43</w:t>
            </w:r>
          </w:p>
        </w:tc>
        <w:tc>
          <w:tcPr>
            <w:tcW w:w="1474" w:type="dxa"/>
            <w:vAlign w:val="center"/>
          </w:tcPr>
          <w:p>
            <w:pPr>
              <w:pStyle w:val="15"/>
            </w:pPr>
            <w:r>
              <w:t>166.43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166.43</w:t>
            </w:r>
          </w:p>
        </w:tc>
        <w:tc>
          <w:tcPr>
            <w:tcW w:w="2551" w:type="dxa"/>
            <w:vAlign w:val="center"/>
          </w:tcPr>
          <w:p>
            <w:pPr>
              <w:pStyle w:val="15"/>
            </w:pPr>
            <w:r>
              <w:t>163.91</w:t>
            </w:r>
          </w:p>
        </w:tc>
        <w:tc>
          <w:tcPr>
            <w:tcW w:w="2551" w:type="dxa"/>
            <w:vAlign w:val="center"/>
          </w:tcPr>
          <w:p>
            <w:pPr>
              <w:pStyle w:val="15"/>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152.93</w:t>
            </w:r>
          </w:p>
        </w:tc>
        <w:tc>
          <w:tcPr>
            <w:tcW w:w="2551" w:type="dxa"/>
            <w:vAlign w:val="center"/>
          </w:tcPr>
          <w:p>
            <w:pPr>
              <w:pStyle w:val="11"/>
            </w:pPr>
            <w:r>
              <w:t>150.41</w:t>
            </w: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152.93</w:t>
            </w:r>
          </w:p>
        </w:tc>
        <w:tc>
          <w:tcPr>
            <w:tcW w:w="2551" w:type="dxa"/>
            <w:vAlign w:val="center"/>
          </w:tcPr>
          <w:p>
            <w:pPr>
              <w:pStyle w:val="11"/>
            </w:pPr>
            <w:r>
              <w:t>150.41</w:t>
            </w: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69.67</w:t>
            </w:r>
          </w:p>
        </w:tc>
        <w:tc>
          <w:tcPr>
            <w:tcW w:w="2551" w:type="dxa"/>
            <w:vAlign w:val="center"/>
          </w:tcPr>
          <w:p>
            <w:pPr>
              <w:pStyle w:val="11"/>
            </w:pPr>
            <w:r>
              <w:t>69.67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2012950</w:t>
            </w:r>
          </w:p>
        </w:tc>
        <w:tc>
          <w:tcPr>
            <w:tcW w:w="4535" w:type="dxa"/>
            <w:vAlign w:val="center"/>
          </w:tcPr>
          <w:p>
            <w:pPr>
              <w:pStyle w:val="12"/>
            </w:pPr>
            <w:r>
              <w:t>事业运行</w:t>
            </w:r>
          </w:p>
        </w:tc>
        <w:tc>
          <w:tcPr>
            <w:tcW w:w="2551" w:type="dxa"/>
            <w:vAlign w:val="center"/>
          </w:tcPr>
          <w:p>
            <w:pPr>
              <w:pStyle w:val="11"/>
            </w:pPr>
            <w:r>
              <w:t>80.74</w:t>
            </w:r>
          </w:p>
        </w:tc>
        <w:tc>
          <w:tcPr>
            <w:tcW w:w="2551" w:type="dxa"/>
            <w:vAlign w:val="center"/>
          </w:tcPr>
          <w:p>
            <w:pPr>
              <w:pStyle w:val="11"/>
            </w:pPr>
            <w:r>
              <w:t>80.74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1.60</w:t>
            </w:r>
          </w:p>
        </w:tc>
        <w:tc>
          <w:tcPr>
            <w:tcW w:w="2551" w:type="dxa"/>
            <w:vAlign w:val="center"/>
          </w:tcPr>
          <w:p>
            <w:pPr>
              <w:pStyle w:val="11"/>
            </w:pPr>
            <w:r>
              <w:t>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1.60</w:t>
            </w:r>
          </w:p>
        </w:tc>
        <w:tc>
          <w:tcPr>
            <w:tcW w:w="2551" w:type="dxa"/>
            <w:vAlign w:val="center"/>
          </w:tcPr>
          <w:p>
            <w:pPr>
              <w:pStyle w:val="11"/>
            </w:pPr>
            <w:r>
              <w:t>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163.91</w:t>
            </w:r>
          </w:p>
        </w:tc>
        <w:tc>
          <w:tcPr>
            <w:tcW w:w="2551" w:type="dxa"/>
            <w:vAlign w:val="center"/>
          </w:tcPr>
          <w:p>
            <w:pPr>
              <w:pStyle w:val="15"/>
            </w:pPr>
            <w:r>
              <w:t>145.20</w:t>
            </w:r>
          </w:p>
        </w:tc>
        <w:tc>
          <w:tcPr>
            <w:tcW w:w="2551" w:type="dxa"/>
            <w:vAlign w:val="center"/>
          </w:tcPr>
          <w:p>
            <w:pPr>
              <w:pStyle w:val="15"/>
            </w:pPr>
            <w:r>
              <w:t>18.71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127.99</w:t>
            </w:r>
          </w:p>
        </w:tc>
        <w:tc>
          <w:tcPr>
            <w:tcW w:w="2551" w:type="dxa"/>
            <w:vAlign w:val="center"/>
          </w:tcPr>
          <w:p>
            <w:pPr>
              <w:pStyle w:val="11"/>
            </w:pPr>
            <w:r>
              <w:t>127.99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23.48</w:t>
            </w:r>
          </w:p>
        </w:tc>
        <w:tc>
          <w:tcPr>
            <w:tcW w:w="2551" w:type="dxa"/>
            <w:vAlign w:val="center"/>
          </w:tcPr>
          <w:p>
            <w:pPr>
              <w:pStyle w:val="11"/>
            </w:pPr>
            <w:r>
              <w:t>23.48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9.36</w:t>
            </w:r>
          </w:p>
        </w:tc>
        <w:tc>
          <w:tcPr>
            <w:tcW w:w="2551" w:type="dxa"/>
            <w:vAlign w:val="center"/>
          </w:tcPr>
          <w:p>
            <w:pPr>
              <w:pStyle w:val="11"/>
            </w:pPr>
            <w:r>
              <w:t>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3.28</w:t>
            </w:r>
          </w:p>
        </w:tc>
        <w:tc>
          <w:tcPr>
            <w:tcW w:w="2551" w:type="dxa"/>
            <w:vAlign w:val="center"/>
          </w:tcPr>
          <w:p>
            <w:pPr>
              <w:pStyle w:val="11"/>
            </w:pPr>
            <w:r>
              <w:t>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3.30</w:t>
            </w:r>
          </w:p>
        </w:tc>
        <w:tc>
          <w:tcPr>
            <w:tcW w:w="2551" w:type="dxa"/>
            <w:vAlign w:val="center"/>
          </w:tcPr>
          <w:p>
            <w:pPr>
              <w:pStyle w:val="11"/>
            </w:pPr>
            <w:r>
              <w:t>3.30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76.50</w:t>
            </w:r>
          </w:p>
        </w:tc>
        <w:tc>
          <w:tcPr>
            <w:tcW w:w="2551" w:type="dxa"/>
            <w:vAlign w:val="center"/>
          </w:tcPr>
          <w:p>
            <w:pPr>
              <w:pStyle w:val="11"/>
            </w:pPr>
            <w:r>
              <w:t>76.50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17.51</w:t>
            </w:r>
          </w:p>
        </w:tc>
        <w:tc>
          <w:tcPr>
            <w:tcW w:w="2551" w:type="dxa"/>
            <w:vAlign w:val="center"/>
          </w:tcPr>
          <w:p>
            <w:pPr>
              <w:pStyle w:val="11"/>
            </w:pPr>
          </w:p>
        </w:tc>
        <w:tc>
          <w:tcPr>
            <w:tcW w:w="2551" w:type="dxa"/>
            <w:vAlign w:val="center"/>
          </w:tcPr>
          <w:p>
            <w:pPr>
              <w:pStyle w:val="11"/>
            </w:pPr>
            <w:r>
              <w:t>17.51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3.51</w:t>
            </w:r>
          </w:p>
        </w:tc>
        <w:tc>
          <w:tcPr>
            <w:tcW w:w="2551" w:type="dxa"/>
            <w:vAlign w:val="center"/>
          </w:tcPr>
          <w:p>
            <w:pPr>
              <w:pStyle w:val="11"/>
            </w:pPr>
          </w:p>
        </w:tc>
        <w:tc>
          <w:tcPr>
            <w:tcW w:w="2551" w:type="dxa"/>
            <w:vAlign w:val="center"/>
          </w:tcPr>
          <w:p>
            <w:pPr>
              <w:pStyle w:val="11"/>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2.88</w:t>
            </w:r>
          </w:p>
        </w:tc>
        <w:tc>
          <w:tcPr>
            <w:tcW w:w="2551" w:type="dxa"/>
            <w:vAlign w:val="center"/>
          </w:tcPr>
          <w:p>
            <w:pPr>
              <w:pStyle w:val="11"/>
            </w:pP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1.89</w:t>
            </w:r>
          </w:p>
        </w:tc>
        <w:tc>
          <w:tcPr>
            <w:tcW w:w="2551" w:type="dxa"/>
            <w:vAlign w:val="center"/>
          </w:tcPr>
          <w:p>
            <w:pPr>
              <w:pStyle w:val="11"/>
            </w:pPr>
          </w:p>
        </w:tc>
        <w:tc>
          <w:tcPr>
            <w:tcW w:w="2551" w:type="dxa"/>
            <w:vAlign w:val="center"/>
          </w:tcPr>
          <w:p>
            <w:pPr>
              <w:pStyle w:val="11"/>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1.15</w:t>
            </w:r>
          </w:p>
        </w:tc>
        <w:tc>
          <w:tcPr>
            <w:tcW w:w="2551" w:type="dxa"/>
            <w:vAlign w:val="center"/>
          </w:tcPr>
          <w:p>
            <w:pPr>
              <w:pStyle w:val="11"/>
            </w:pPr>
          </w:p>
        </w:tc>
        <w:tc>
          <w:tcPr>
            <w:tcW w:w="2551"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3.84</w:t>
            </w:r>
          </w:p>
        </w:tc>
        <w:tc>
          <w:tcPr>
            <w:tcW w:w="2551" w:type="dxa"/>
            <w:vAlign w:val="center"/>
          </w:tcPr>
          <w:p>
            <w:pPr>
              <w:pStyle w:val="11"/>
            </w:pPr>
          </w:p>
        </w:tc>
        <w:tc>
          <w:tcPr>
            <w:tcW w:w="2551"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0.83</w:t>
            </w:r>
          </w:p>
        </w:tc>
        <w:tc>
          <w:tcPr>
            <w:tcW w:w="2551" w:type="dxa"/>
            <w:vAlign w:val="center"/>
          </w:tcPr>
          <w:p>
            <w:pPr>
              <w:pStyle w:val="11"/>
            </w:pPr>
          </w:p>
        </w:tc>
        <w:tc>
          <w:tcPr>
            <w:tcW w:w="2551" w:type="dxa"/>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17.21</w:t>
            </w:r>
          </w:p>
        </w:tc>
        <w:tc>
          <w:tcPr>
            <w:tcW w:w="2551" w:type="dxa"/>
            <w:vAlign w:val="center"/>
          </w:tcPr>
          <w:p>
            <w:pPr>
              <w:pStyle w:val="11"/>
            </w:pPr>
            <w:r>
              <w:t>17.21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14.79</w:t>
            </w:r>
          </w:p>
        </w:tc>
        <w:tc>
          <w:tcPr>
            <w:tcW w:w="2551" w:type="dxa"/>
            <w:vAlign w:val="center"/>
          </w:tcPr>
          <w:p>
            <w:pPr>
              <w:pStyle w:val="11"/>
            </w:pPr>
            <w:r>
              <w:t>14.79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2.42</w:t>
            </w:r>
          </w:p>
        </w:tc>
        <w:tc>
          <w:tcPr>
            <w:tcW w:w="2551" w:type="dxa"/>
            <w:vAlign w:val="center"/>
          </w:tcPr>
          <w:p>
            <w:pPr>
              <w:pStyle w:val="11"/>
            </w:pPr>
            <w:r>
              <w:t>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217高阳县总工会</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1.65</w:t>
            </w:r>
          </w:p>
        </w:tc>
        <w:tc>
          <w:tcPr>
            <w:tcW w:w="2381" w:type="dxa"/>
            <w:vAlign w:val="center"/>
          </w:tcPr>
          <w:p>
            <w:pPr>
              <w:pStyle w:val="15"/>
            </w:pPr>
            <w:r>
              <w:t>1.65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高阳县总工会2023年部门预算信息公开情况说明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高阳县总工会2023年部门预算信息公开情况说明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、《地方预决算公开操作规程》和《关于进一步推进预算公开工作的实施意见》规定，现将高阳县总工会2023年部门预算公开如下：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17"/>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17"/>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17"/>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17"/>
      </w:pPr>
      <w:r>
        <w:t>四、协助县政府做好省、市及全国劳模的推荐、评选、管理工作，负责县级劳模的管理工作；负责县“五一”奖章、奖状获得者的评选表彰和县“五一”奖章、奖状获得者的管理工作。</w:t>
      </w:r>
    </w:p>
    <w:p>
      <w:pPr>
        <w:pStyle w:val="17"/>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17"/>
      </w:pPr>
      <w:r>
        <w:t>六、指导基层工会开展群众性经济技术创新活动以及劳动竞赛、岗位练兵和技能比赛等群众性活动。</w:t>
      </w:r>
    </w:p>
    <w:p>
      <w:pPr>
        <w:pStyle w:val="17"/>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高阳县总工会</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高阳县工人文化宫</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按照预算管理有关规定，目前我省部门预算的编制实行综合预算管理，即全部收入和支出都反映在预算中。高阳县总工会机关及所属事业单位的收支包含在部门预算中。</w:t>
      </w:r>
    </w:p>
    <w:p>
      <w:pPr>
        <w:pStyle w:val="26"/>
      </w:pPr>
      <w:bookmarkStart w:id="11" w:name="_Toc_3_3_0000000012"/>
      <w:r>
        <w:t>一、收入说明</w:t>
      </w:r>
    </w:p>
    <w:p>
      <w:pPr>
        <w:pStyle w:val="26"/>
      </w:pPr>
      <w:r>
        <w:t>2023年度高阳县总工会年初单位收入预算总额为</w:t>
      </w:r>
      <w:r>
        <w:rPr>
          <w:rFonts w:hint="eastAsia"/>
          <w:lang w:val="en-US" w:eastAsia="zh-CN"/>
        </w:rPr>
        <w:t>166.43</w:t>
      </w:r>
      <w:r>
        <w:t>万元。按资金来源，一般预算收入</w:t>
      </w:r>
      <w:r>
        <w:rPr>
          <w:rFonts w:hint="eastAsia"/>
          <w:lang w:val="en-US" w:eastAsia="zh-CN"/>
        </w:rPr>
        <w:t>166.43</w:t>
      </w:r>
      <w:r>
        <w:t>元，政府性基金收入0元，财政拨款收入为0元，其他收入来源0元。</w:t>
      </w:r>
    </w:p>
    <w:p>
      <w:pPr>
        <w:pStyle w:val="26"/>
      </w:pPr>
      <w:r>
        <w:t>其中：人员经费预算为</w:t>
      </w:r>
      <w:r>
        <w:rPr>
          <w:rFonts w:hint="eastAsia"/>
          <w:lang w:val="en-US" w:eastAsia="zh-CN"/>
        </w:rPr>
        <w:t>145.2</w:t>
      </w:r>
      <w:r>
        <w:t>万元</w:t>
      </w:r>
    </w:p>
    <w:p>
      <w:pPr>
        <w:pStyle w:val="26"/>
      </w:pPr>
      <w:r>
        <w:t>正常公用经费预算为</w:t>
      </w:r>
      <w:r>
        <w:rPr>
          <w:rFonts w:hint="eastAsia"/>
          <w:lang w:val="en-US" w:eastAsia="zh-CN"/>
        </w:rPr>
        <w:t>18.71</w:t>
      </w:r>
      <w:r>
        <w:t xml:space="preserve">万元 </w:t>
      </w:r>
    </w:p>
    <w:p>
      <w:pPr>
        <w:pStyle w:val="26"/>
      </w:pPr>
      <w:r>
        <w:t>专项项目经费预算为2.52万元</w:t>
      </w:r>
    </w:p>
    <w:p>
      <w:pPr>
        <w:pStyle w:val="26"/>
      </w:pPr>
      <w:r>
        <w:t>二、支出说明</w:t>
      </w:r>
    </w:p>
    <w:p>
      <w:pPr>
        <w:pStyle w:val="26"/>
      </w:pPr>
      <w:r>
        <w:t>2023年度高阳县总工会支出预算</w:t>
      </w:r>
      <w:r>
        <w:rPr>
          <w:rFonts w:hint="eastAsia"/>
          <w:lang w:val="en-US" w:eastAsia="zh-CN"/>
        </w:rPr>
        <w:t>166.43</w:t>
      </w:r>
      <w:r>
        <w:t>万元。</w:t>
      </w:r>
    </w:p>
    <w:p>
      <w:pPr>
        <w:pStyle w:val="26"/>
      </w:pPr>
      <w:r>
        <w:t>基本支出：</w:t>
      </w:r>
      <w:r>
        <w:rPr>
          <w:rFonts w:hint="eastAsia"/>
          <w:lang w:val="en-US" w:eastAsia="zh-CN"/>
        </w:rPr>
        <w:t>163.91</w:t>
      </w:r>
      <w:r>
        <w:t>万元,其中：人员经费</w:t>
      </w:r>
      <w:r>
        <w:rPr>
          <w:rFonts w:hint="eastAsia"/>
          <w:lang w:val="en-US" w:eastAsia="zh-CN"/>
        </w:rPr>
        <w:t>145.2</w:t>
      </w:r>
      <w:r>
        <w:t>万元,日常公用经费</w:t>
      </w:r>
      <w:r>
        <w:rPr>
          <w:rFonts w:hint="eastAsia"/>
          <w:lang w:val="en-US" w:eastAsia="zh-CN"/>
        </w:rPr>
        <w:t>18.71</w:t>
      </w:r>
      <w:r>
        <w:t>万元。</w:t>
      </w:r>
    </w:p>
    <w:p>
      <w:pPr>
        <w:pStyle w:val="26"/>
      </w:pPr>
      <w:r>
        <w:t>项目支出：2.52万元，主要用于全县在档困难职工帮扶救助工作、工会综合事务管理工作。</w:t>
      </w:r>
    </w:p>
    <w:p>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三、与上年相比增减变化情况</w:t>
      </w:r>
    </w:p>
    <w:p>
      <w:pPr>
        <w:pStyle w:val="18"/>
      </w:pPr>
      <w:r>
        <w:rPr>
          <w:rFonts w:hint="eastAsia" w:eastAsia="方正仿宋_GBK"/>
          <w:color w:val="000000"/>
          <w:sz w:val="28"/>
          <w:lang w:val="en-US" w:eastAsia="zh-CN"/>
        </w:rPr>
        <w:t>本年度预算收支安排</w:t>
      </w:r>
      <w:r>
        <w:rPr>
          <w:rFonts w:hint="eastAsia"/>
          <w:color w:val="000000"/>
          <w:sz w:val="28"/>
          <w:lang w:val="en-US" w:eastAsia="zh-CN"/>
        </w:rPr>
        <w:t>166.43</w:t>
      </w:r>
      <w:r>
        <w:rPr>
          <w:rFonts w:hint="eastAsia" w:eastAsia="方正仿宋_GBK"/>
          <w:color w:val="000000"/>
          <w:sz w:val="28"/>
          <w:lang w:val="en-US" w:eastAsia="zh-CN"/>
        </w:rPr>
        <w:t>万元，较上年</w:t>
      </w:r>
      <w:r>
        <w:rPr>
          <w:rFonts w:hint="eastAsia"/>
          <w:color w:val="000000"/>
          <w:sz w:val="28"/>
          <w:lang w:val="en-US" w:eastAsia="zh-CN"/>
        </w:rPr>
        <w:t>增加26.84</w:t>
      </w:r>
      <w:r>
        <w:rPr>
          <w:rFonts w:hint="eastAsia" w:eastAsia="方正仿宋_GBK"/>
          <w:color w:val="000000"/>
          <w:sz w:val="28"/>
          <w:lang w:val="en-US" w:eastAsia="zh-CN"/>
        </w:rPr>
        <w:t>万元。其中:基本支出</w:t>
      </w:r>
      <w:r>
        <w:rPr>
          <w:rFonts w:hint="eastAsia"/>
          <w:color w:val="000000"/>
          <w:sz w:val="28"/>
          <w:lang w:val="en-US" w:eastAsia="zh-CN"/>
        </w:rPr>
        <w:t>增加38.85</w:t>
      </w:r>
      <w:r>
        <w:rPr>
          <w:rFonts w:hint="eastAsia" w:eastAsia="方正仿宋_GBK"/>
          <w:color w:val="000000"/>
          <w:sz w:val="28"/>
          <w:lang w:val="en-US" w:eastAsia="zh-CN"/>
        </w:rPr>
        <w:t>万元，主要原因是人员因</w:t>
      </w:r>
      <w:r>
        <w:rPr>
          <w:rFonts w:hint="eastAsia"/>
          <w:color w:val="000000"/>
          <w:sz w:val="28"/>
          <w:lang w:val="en-US" w:eastAsia="zh-CN"/>
        </w:rPr>
        <w:t>增加</w:t>
      </w:r>
      <w:r>
        <w:rPr>
          <w:rFonts w:hint="eastAsia" w:eastAsia="方正仿宋_GBK"/>
          <w:color w:val="000000"/>
          <w:sz w:val="28"/>
          <w:lang w:val="en-US" w:eastAsia="zh-CN"/>
        </w:rPr>
        <w:t>，经费随之</w:t>
      </w:r>
      <w:r>
        <w:rPr>
          <w:rFonts w:hint="eastAsia"/>
          <w:color w:val="000000"/>
          <w:sz w:val="28"/>
          <w:lang w:val="en-US" w:eastAsia="zh-CN"/>
        </w:rPr>
        <w:t>增加</w:t>
      </w:r>
      <w:r>
        <w:rPr>
          <w:rFonts w:hint="eastAsia" w:eastAsia="方正仿宋_GBK"/>
          <w:color w:val="000000"/>
          <w:sz w:val="28"/>
          <w:lang w:val="en-US" w:eastAsia="zh-CN"/>
        </w:rPr>
        <w:t>；项目支出</w:t>
      </w:r>
      <w:r>
        <w:rPr>
          <w:rFonts w:hint="eastAsia"/>
          <w:color w:val="000000"/>
          <w:sz w:val="28"/>
          <w:lang w:val="en-US" w:eastAsia="zh-CN"/>
        </w:rPr>
        <w:t>减少12</w:t>
      </w:r>
      <w:r>
        <w:rPr>
          <w:rFonts w:hint="eastAsia" w:eastAsia="方正仿宋_GBK"/>
          <w:color w:val="000000"/>
          <w:sz w:val="28"/>
          <w:lang w:val="en-US" w:eastAsia="zh-CN"/>
        </w:rPr>
        <w:t>万元，主要原因是项目调整，开展</w:t>
      </w:r>
      <w:r>
        <w:rPr>
          <w:rFonts w:hint="eastAsia"/>
          <w:color w:val="000000"/>
          <w:sz w:val="28"/>
          <w:lang w:val="en-US" w:eastAsia="zh-CN"/>
        </w:rPr>
        <w:t>困难帮扶支出减少</w:t>
      </w:r>
      <w:r>
        <w:rPr>
          <w:rFonts w:hint="eastAsia" w:eastAsia="方正仿宋_GBK"/>
          <w:color w:val="000000"/>
          <w:sz w:val="28"/>
          <w:lang w:val="en-US" w:eastAsia="zh-CN"/>
        </w:rPr>
        <w:t>。</w:t>
      </w:r>
    </w:p>
    <w:p>
      <w:pPr>
        <w:spacing w:before="10" w:after="10" w:line="360" w:lineRule="auto"/>
        <w:ind w:firstLine="640"/>
        <w:jc w:val="left"/>
        <w:outlineLvl w:val="2"/>
      </w:pPr>
      <w:r>
        <w:rPr>
          <w:rFonts w:ascii="黑体" w:eastAsia="黑体" w:cs="黑体"/>
          <w:color w:val="000000"/>
          <w:sz w:val="32"/>
        </w:rPr>
        <w:t>三、机关运行经费安排情况</w:t>
      </w:r>
      <w:bookmarkEnd w:id="11"/>
    </w:p>
    <w:p>
      <w:pPr>
        <w:pStyle w:val="19"/>
      </w:pPr>
      <w:r>
        <w:t>2023年高阳县总工会日常公用经费支出18.71万元，其中办公费3.51万元、电费0.7万元，邮电费2.88万元、办公取暖费1.89万元、工会经费1.06万元、福利费1.15万元、公务用车运行维护费1.65万元，公务交通补贴3.84万元，党建费0.2万元，办公设备购置费1.2万元，退休干部经费0.63万元，其他费用安排均为0。</w:t>
      </w: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pStyle w:val="20"/>
      </w:pPr>
      <w:r>
        <w:t>2023年我</w:t>
      </w:r>
      <w:r>
        <w:rPr>
          <w:rFonts w:hint="eastAsia"/>
          <w:lang w:val="en-US" w:eastAsia="zh-CN"/>
        </w:rPr>
        <w:t>部门</w:t>
      </w:r>
      <w:r>
        <w:t>财政拨款“三公”经费预算1.65万元，其中：因公出国（境）费0万元、公务用车购置及运行费总额1.65万元，（包括公务用车购置费0万元，公务用车运行维护费1.65万元）、公务接待费预算0万元。比较去年的1.72万元减少了0.07万元，原因针对三公经费支出制定了严格的管理制度，厉行节约，杜绝浪费。</w:t>
      </w:r>
    </w:p>
    <w:p>
      <w:pPr>
        <w:spacing w:before="10" w:after="10" w:line="360" w:lineRule="auto"/>
        <w:ind w:firstLine="640"/>
        <w:jc w:val="left"/>
        <w:outlineLvl w:val="2"/>
      </w:pPr>
      <w:bookmarkStart w:id="13" w:name="_Toc_3_3_0000000014"/>
      <w:r>
        <w:rPr>
          <w:rFonts w:ascii="黑体" w:eastAsia="黑体" w:cs="黑体"/>
          <w:color w:val="000000"/>
          <w:sz w:val="32"/>
        </w:rPr>
        <w:t>五、预算绩效信息</w:t>
      </w:r>
      <w:bookmarkEnd w:id="13"/>
    </w:p>
    <w:p>
      <w:pPr>
        <w:spacing w:before="0" w:after="0" w:line="240" w:lineRule="auto"/>
        <w:ind w:firstLine="640"/>
        <w:jc w:val="left"/>
        <w:outlineLvl w:val="9"/>
      </w:pPr>
      <w:bookmarkStart w:id="18" w:name="_GoBack"/>
      <w:r>
        <w:rPr>
          <w:rFonts w:asci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我单位根据实际和工作需要，确定部门预算项目和预算额度，项目预算包括建立健全工会组织，依法维权，困难职工救助，开展文体活动、维权服务、劳动模范管理、职工事业发展、综合事务管理。预算项目内容：保障工会机关正常运转，建立健全工会组织，依法维护职工合法权益，开展困难职工帮扶救助，做好劳动模范管理工作，开展形式多样的文体活动；研究拟定工会组织制度和民主制度，指导全县各工会组织开展以职工代表大会为基本制度的民主选举、民主决策、民主管理和民主监督工作；对在档管理的困难职工开展帮扶救助；做好省、市及全国劳模的推荐工作，做好劳动模范管理工作；指导基层工会开展群众性经济技术创新活动以及劳动竞赛、岗位练兵和技能比赛等群众性活动；研究指导全县工会自身改革和建设；负责工会干部管理制度和培训规划制定以及培训工作；承担县委、县政府及省、市总工会交办的其他事项。我单位在预算执行过程中，按时间和进度的绩效管理目标要求，合理安排资金的使用，保证各项工作顺利进行，实现预算项目绩效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根据</w:t>
      </w:r>
      <w:r>
        <w:rPr>
          <w:rFonts w:hint="eastAsia"/>
          <w:lang w:eastAsia="zh-CN"/>
        </w:rPr>
        <w:t>《中华人民共和国工会法》</w:t>
      </w:r>
      <w:r>
        <w:t>和《中国工会章程》，我单位依法独立自主地开展工会工作，分项绩效目标如下：</w:t>
      </w:r>
    </w:p>
    <w:p>
      <w:pPr>
        <w:pStyle w:val="22"/>
      </w:pPr>
      <w:r>
        <w:t>加强职工教育，做好职工的思想政治工作，提高广大职工的政治素质，为改革、发展、稳定奠定坚实的思想基础。积极开展“源头”参与，维护职工合法权益，检查和监督劳动保护条例的实施，维护职工的安全与健康。实施送温暖工程，搞好困难职工和劳模的走访慰问送温暖活动。</w:t>
      </w:r>
    </w:p>
    <w:bookmarkEnd w:id="18"/>
    <w:p>
      <w:pPr>
        <w:pStyle w:val="22"/>
      </w:pPr>
      <w:r>
        <w:t>加强企业民主管理工作，推行平等协商签订集体合同和“厂务公开”制度，维护职工的民主权利，推动党的全心全意依靠工人阶级方针的贯彻落实。建立健全工会组织，加强各级工会的组织建设，特别是新经济组织和非公有制企业的工会组织建设，确保职工队伍的稳定。</w:t>
      </w:r>
    </w:p>
    <w:p>
      <w:pPr>
        <w:pStyle w:val="22"/>
      </w:pPr>
      <w:r>
        <w:t>组织和动员职工开展劳动竞赛和合理化建议活动，调动广大职工的生产积极性和创造性，为全县经济建设充分发挥工人阶级主力军的作用。建设职工之家，在各基层工会积极开展创建“模范职工之家”活动，并组织职工开展积极向上的文体活动。活跃职工文化生活，促进精神文明建设。</w:t>
      </w:r>
    </w:p>
    <w:p>
      <w:pPr>
        <w:pStyle w:val="22"/>
      </w:pPr>
      <w:r>
        <w:t>按照党和国家的政策规定，认真做好职工群众来信来访的接待和处理工作，密切与职工群众的联系。贯彻党和政府及上级工会有关财务工作的方针政策，收好、管好、用好工会经费。加强女职工工作，维护女职工合法权益和特殊利益</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eastAsia="方正仿宋_GBK"/>
          <w:sz w:val="28"/>
        </w:rPr>
      </w:pPr>
      <w:r>
        <w:rPr>
          <w:rFonts w:hint="eastAsia" w:eastAsia="方正仿宋_GBK"/>
          <w:sz w:val="28"/>
          <w:lang w:val="en-US" w:eastAsia="zh-CN"/>
        </w:rPr>
        <w:t xml:space="preserve"> 1、</w:t>
      </w:r>
      <w:r>
        <w:rPr>
          <w:rFonts w:eastAsia="方正仿宋_GBK"/>
          <w:sz w:val="28"/>
        </w:rPr>
        <w:t>加强工会组织自身建设，提高工会干部做好新形势下工会工作的能力和水平，保障各项工作落实到位。</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eastAsia="方正仿宋_GBK"/>
          <w:sz w:val="28"/>
        </w:rPr>
      </w:pPr>
      <w:r>
        <w:rPr>
          <w:rFonts w:eastAsia="方正仿宋_GBK"/>
          <w:sz w:val="28"/>
        </w:rPr>
        <w:t xml:space="preserve"> </w:t>
      </w:r>
      <w:r>
        <w:rPr>
          <w:rFonts w:hint="eastAsia" w:eastAsia="方正仿宋_GBK"/>
          <w:sz w:val="28"/>
          <w:lang w:val="en-US" w:eastAsia="zh-CN"/>
        </w:rPr>
        <w:t>2、</w:t>
      </w:r>
      <w:r>
        <w:rPr>
          <w:rFonts w:eastAsia="方正仿宋_GBK"/>
          <w:sz w:val="28"/>
        </w:rPr>
        <w:t>协调相关部门，联合组织好工会预算内的各项职工文体、宣传活动，保障各项活动如期顺利开展。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eastAsia="方正仿宋_GBK"/>
          <w:sz w:val="28"/>
          <w:lang w:val="en-US" w:eastAsia="zh-CN"/>
        </w:rPr>
      </w:pPr>
      <w:r>
        <w:rPr>
          <w:rFonts w:eastAsia="方正仿宋_GBK"/>
          <w:sz w:val="28"/>
        </w:rPr>
        <w:t xml:space="preserve"> </w:t>
      </w:r>
      <w:r>
        <w:rPr>
          <w:rFonts w:hint="eastAsia" w:eastAsia="方正仿宋_GBK"/>
          <w:sz w:val="28"/>
          <w:lang w:val="en-US" w:eastAsia="zh-CN"/>
        </w:rPr>
        <w:t>3</w:t>
      </w:r>
      <w:r>
        <w:rPr>
          <w:rFonts w:eastAsia="方正仿宋_GBK"/>
          <w:sz w:val="28"/>
        </w:rPr>
        <w:t>、进一步建立基层工会组织，发挥工会组织作用，壮大职工队伍，发展工会会员，保障广大职工合法权益</w:t>
      </w:r>
      <w:r>
        <w:rPr>
          <w:rFonts w:hint="eastAsia" w:eastAsia="方正仿宋_GBK"/>
          <w:sz w:val="28"/>
          <w:lang w:eastAsia="zh-CN"/>
        </w:rPr>
        <w:t>。</w:t>
      </w:r>
      <w:r>
        <w:rPr>
          <w:rFonts w:hint="eastAsia" w:eastAsia="方正仿宋_GBK"/>
          <w:sz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pPr>
      <w:r>
        <w:rPr>
          <w:rFonts w:hint="eastAsia" w:eastAsia="方正仿宋_GBK"/>
          <w:sz w:val="28"/>
          <w:lang w:val="en-US" w:eastAsia="zh-CN"/>
        </w:rPr>
        <w:t>4</w:t>
      </w:r>
      <w:r>
        <w:rPr>
          <w:rFonts w:eastAsia="方正仿宋_GBK"/>
          <w:sz w:val="28"/>
        </w:rPr>
        <w:t>、加大工会经费收缴力度，及时与县财政、税务局沟通协调，提高财政划拨率及税务收缴率，为工会工作顺利开展提供经济基础。</w:t>
      </w:r>
    </w:p>
    <w:p>
      <w:pPr>
        <w:numPr>
          <w:ilvl w:val="0"/>
          <w:numId w:val="1"/>
        </w:numPr>
        <w:spacing w:before="0" w:after="0" w:line="240" w:lineRule="auto"/>
        <w:ind w:firstLine="640"/>
        <w:jc w:val="left"/>
        <w:outlineLvl w:val="9"/>
        <w:rPr>
          <w:rFonts w:ascii="方正楷体_GBK" w:eastAsia="方正楷体_GBK" w:cs="方正楷体_GBK"/>
          <w:b/>
          <w:color w:val="000000"/>
          <w:sz w:val="32"/>
        </w:rPr>
      </w:pPr>
      <w:r>
        <w:rPr>
          <w:rFonts w:asci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eastAsia="方正楷体_GBK" w:cs="方正楷体_GBK"/>
          <w:b/>
          <w:color w:val="000000"/>
          <w:sz w:val="32"/>
        </w:rPr>
      </w:pPr>
    </w:p>
    <w:p>
      <w:pPr>
        <w:numPr>
          <w:ilvl w:val="0"/>
          <w:numId w:val="0"/>
        </w:numPr>
        <w:spacing w:before="0" w:after="0" w:line="240" w:lineRule="auto"/>
        <w:ind w:firstLine="643" w:firstLineChars="200"/>
        <w:jc w:val="left"/>
        <w:outlineLvl w:val="9"/>
        <w:rPr>
          <w:rFonts w:hint="eastAsia" w:asci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docGrid w:linePitch="326" w:charSpace="0"/>
        </w:sectPr>
      </w:pPr>
      <w:r>
        <w:rPr>
          <w:rFonts w:hint="eastAsia" w:ascii="方正楷体_GBK" w:eastAsia="方正楷体_GBK" w:cs="方正楷体_GBK"/>
          <w:b/>
          <w:color w:val="000000"/>
          <w:sz w:val="32"/>
          <w:lang w:val="en-US" w:eastAsia="zh-CN"/>
        </w:rPr>
        <w:t>无</w:t>
      </w:r>
    </w:p>
    <w:p>
      <w:pPr>
        <w:spacing w:before="0" w:after="0" w:line="240" w:lineRule="auto"/>
        <w:ind w:firstLine="640"/>
        <w:jc w:val="left"/>
        <w:outlineLvl w:val="9"/>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spacing w:before="0" w:after="0"/>
        <w:ind w:firstLine="560"/>
        <w:jc w:val="left"/>
        <w:outlineLvl w:val="9"/>
      </w:pPr>
      <w:r>
        <w:rPr>
          <w:rFonts w:ascii="方正仿宋_GBK" w:eastAsia="方正仿宋_GBK" w:cs="方正仿宋_GBK"/>
          <w:b/>
          <w:color w:val="000000"/>
          <w:sz w:val="28"/>
        </w:rPr>
        <w:t>1、冀财行【2022】99号-困难职工及劳模帮扶救助专项资金绩效目标表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w:t>
            </w:r>
          </w:p>
        </w:tc>
        <w:tc>
          <w:tcPr>
            <w:tcW w:w="2835" w:type="dxa"/>
            <w:vAlign w:val="center"/>
          </w:tcPr>
          <w:p>
            <w:pPr>
              <w:pStyle w:val="12"/>
            </w:pPr>
            <w:r>
              <w:t>实际发放救助金的困难职工总人数</w:t>
            </w:r>
          </w:p>
        </w:tc>
        <w:tc>
          <w:tcPr>
            <w:tcW w:w="2551" w:type="dxa"/>
            <w:vAlign w:val="center"/>
          </w:tcPr>
          <w:p>
            <w:pPr>
              <w:pStyle w:val="12"/>
            </w:pPr>
            <w:r>
              <w:t>&lt;2人</w:t>
            </w:r>
          </w:p>
        </w:tc>
        <w:tc>
          <w:tcPr>
            <w:tcW w:w="2268" w:type="dxa"/>
            <w:vAlign w:val="center"/>
          </w:tcPr>
          <w:p>
            <w:pPr>
              <w:pStyle w:val="12"/>
            </w:pPr>
            <w:r>
              <w:t>困难职工档案表人数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2835" w:type="dxa"/>
            <w:vAlign w:val="center"/>
          </w:tcPr>
          <w:p>
            <w:pPr>
              <w:pStyle w:val="12"/>
            </w:pPr>
            <w:r>
              <w:t>帮扶对象排查、统计结果是否全面精准</w:t>
            </w:r>
          </w:p>
        </w:tc>
        <w:tc>
          <w:tcPr>
            <w:tcW w:w="2551" w:type="dxa"/>
            <w:vAlign w:val="center"/>
          </w:tcPr>
          <w:p>
            <w:pPr>
              <w:pStyle w:val="12"/>
            </w:pPr>
            <w:r>
              <w:t>帮扶对象界定标准是否精准</w:t>
            </w:r>
          </w:p>
        </w:tc>
        <w:tc>
          <w:tcPr>
            <w:tcW w:w="2268" w:type="dxa"/>
            <w:vAlign w:val="center"/>
          </w:tcPr>
          <w:p>
            <w:pPr>
              <w:pStyle w:val="12"/>
            </w:pPr>
            <w:r>
              <w:t>困难职工建档立卡标准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按规定发放时间发放资金</w:t>
            </w:r>
          </w:p>
        </w:tc>
        <w:tc>
          <w:tcPr>
            <w:tcW w:w="2551" w:type="dxa"/>
            <w:vAlign w:val="center"/>
          </w:tcPr>
          <w:p>
            <w:pPr>
              <w:pStyle w:val="12"/>
            </w:pPr>
            <w:r>
              <w:t>是否按规定期限发放</w:t>
            </w:r>
          </w:p>
        </w:tc>
        <w:tc>
          <w:tcPr>
            <w:tcW w:w="2268" w:type="dxa"/>
            <w:vAlign w:val="center"/>
          </w:tcPr>
          <w:p>
            <w:pPr>
              <w:pStyle w:val="12"/>
            </w:pPr>
            <w:r>
              <w:t>政策规定发放时间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拨付金额比例</w:t>
            </w:r>
          </w:p>
        </w:tc>
        <w:tc>
          <w:tcPr>
            <w:tcW w:w="2835" w:type="dxa"/>
            <w:vAlign w:val="center"/>
          </w:tcPr>
          <w:p>
            <w:pPr>
              <w:pStyle w:val="12"/>
            </w:pPr>
            <w:r>
              <w:t>实际救助职工金额占应救助金额的比值</w:t>
            </w:r>
          </w:p>
        </w:tc>
        <w:tc>
          <w:tcPr>
            <w:tcW w:w="2551" w:type="dxa"/>
            <w:vAlign w:val="center"/>
          </w:tcPr>
          <w:p>
            <w:pPr>
              <w:pStyle w:val="12"/>
            </w:pPr>
            <w:r>
              <w:t>&lt;2%</w:t>
            </w:r>
          </w:p>
        </w:tc>
        <w:tc>
          <w:tcPr>
            <w:tcW w:w="2268" w:type="dxa"/>
            <w:vAlign w:val="center"/>
          </w:tcPr>
          <w:p>
            <w:pPr>
              <w:pStyle w:val="12"/>
            </w:pPr>
            <w:r>
              <w:t>困难职工救助审核表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生活状况改善情况</w:t>
            </w:r>
          </w:p>
        </w:tc>
        <w:tc>
          <w:tcPr>
            <w:tcW w:w="2835" w:type="dxa"/>
            <w:vAlign w:val="center"/>
          </w:tcPr>
          <w:p>
            <w:pPr>
              <w:pStyle w:val="12"/>
            </w:pPr>
            <w:r>
              <w:t>帮扶对象生活状况改善情况</w:t>
            </w:r>
          </w:p>
        </w:tc>
        <w:tc>
          <w:tcPr>
            <w:tcW w:w="2551" w:type="dxa"/>
            <w:vAlign w:val="center"/>
          </w:tcPr>
          <w:p>
            <w:pPr>
              <w:pStyle w:val="12"/>
            </w:pPr>
            <w:r>
              <w:t>救助对象生活情况得到改善</w:t>
            </w:r>
          </w:p>
        </w:tc>
        <w:tc>
          <w:tcPr>
            <w:tcW w:w="2268" w:type="dxa"/>
            <w:vAlign w:val="center"/>
          </w:tcPr>
          <w:p>
            <w:pPr>
              <w:pStyle w:val="12"/>
            </w:pPr>
            <w:r>
              <w:t>回访调查情况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服务对象满意及较满意人数占总比例</w:t>
            </w:r>
          </w:p>
        </w:tc>
        <w:tc>
          <w:tcPr>
            <w:tcW w:w="2551" w:type="dxa"/>
            <w:vAlign w:val="center"/>
          </w:tcPr>
          <w:p>
            <w:pPr>
              <w:pStyle w:val="12"/>
            </w:pPr>
            <w:r>
              <w:t>≥90%</w:t>
            </w:r>
          </w:p>
        </w:tc>
        <w:tc>
          <w:tcPr>
            <w:tcW w:w="2268" w:type="dxa"/>
            <w:vAlign w:val="center"/>
          </w:tcPr>
          <w:p>
            <w:pPr>
              <w:pStyle w:val="12"/>
            </w:pPr>
            <w:r>
              <w:t>回访调查情况</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4" w:name="_Toc_3_3_0000000015"/>
      <w:r>
        <w:rPr>
          <w:rFonts w:asci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2023年，高阳县总工会安排政府采购预算0.00万元。具体内容见下表。</w:t>
      </w:r>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217高阳县总工会</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高阳县总工会（含所属单位）上年末固定资产金额为0.00万元（详见下表）。本年度拟购置固定资产总额为0.00万元。</w:t>
      </w:r>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217高阳县总工会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FD39E"/>
    <w:multiLevelType w:val="singleLevel"/>
    <w:tmpl w:val="02DFD39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00000"/>
    <w:rsid w:val="012E4F1F"/>
    <w:rsid w:val="05800BEF"/>
    <w:rsid w:val="0CC85DFC"/>
    <w:rsid w:val="2ED448B4"/>
    <w:rsid w:val="4D056443"/>
    <w:rsid w:val="58090EFA"/>
    <w:rsid w:val="5D5A6A33"/>
    <w:rsid w:val="62F33029"/>
    <w:rsid w:val="6CAC30FB"/>
    <w:rsid w:val="75930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5">
    <w:name w:val="插入文本样式-插入单位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26</Pages>
  <Words>6884</Words>
  <Characters>8244</Characters>
  <Lines>4216</Lines>
  <Paragraphs>2429</Paragraphs>
  <TotalTime>1</TotalTime>
  <ScaleCrop>false</ScaleCrop>
  <LinksUpToDate>false</LinksUpToDate>
  <CharactersWithSpaces>8453</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2023-03-07T10:10:00Z</dcterms:created>
  <dc:creator>Admin</dc:creator>
  <cp:lastModifiedBy>Administrator</cp:lastModifiedBy>
  <dcterms:modified xsi:type="dcterms:W3CDTF">2024-10-21T02:29:43Z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C1700F431A1D41ADBE7B2E506F4B3728_13</vt:lpwstr>
  </property>
</Properties>
</file>