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jc w:val="center"/>
        <w:rPr>
          <w:rFonts w:hint="eastAsia" w:ascii="方正小标宋_GBK" w:hAnsi="宋体" w:eastAsia="方正小标宋_GBK" w:cs="Tahoma"/>
          <w:kern w:val="0"/>
          <w:sz w:val="44"/>
          <w:szCs w:val="44"/>
          <w:lang w:eastAsia="zh-CN"/>
        </w:rPr>
      </w:pPr>
    </w:p>
    <w:p>
      <w:pPr>
        <w:snapToGrid w:val="0"/>
        <w:spacing w:line="580" w:lineRule="exact"/>
        <w:jc w:val="both"/>
        <w:rPr>
          <w:rFonts w:hint="eastAsia" w:ascii="方正小标宋_GBK" w:hAnsi="宋体" w:eastAsia="方正小标宋_GBK" w:cs="Tahoma"/>
          <w:kern w:val="0"/>
          <w:sz w:val="44"/>
          <w:szCs w:val="44"/>
          <w:lang w:eastAsia="zh-CN"/>
        </w:rPr>
      </w:pPr>
    </w:p>
    <w:p>
      <w:pPr>
        <w:snapToGrid w:val="0"/>
        <w:spacing w:line="580" w:lineRule="exact"/>
        <w:jc w:val="center"/>
        <w:rPr>
          <w:rFonts w:hint="eastAsia" w:ascii="方正小标宋_GBK" w:hAnsi="宋体" w:eastAsia="方正小标宋_GBK" w:cs="Tahoma"/>
          <w:kern w:val="0"/>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_GBK" w:hAnsi="宋体" w:eastAsia="方正小标宋_GBK" w:cs="Tahoma"/>
          <w:kern w:val="0"/>
          <w:sz w:val="44"/>
          <w:szCs w:val="44"/>
          <w:lang w:eastAsia="zh-CN"/>
        </w:rPr>
      </w:pPr>
      <w:r>
        <w:rPr>
          <w:rFonts w:hint="eastAsia" w:ascii="方正小标宋_GBK" w:hAnsi="宋体" w:eastAsia="方正小标宋_GBK" w:cs="Tahoma"/>
          <w:kern w:val="0"/>
          <w:sz w:val="44"/>
          <w:szCs w:val="44"/>
          <w:lang w:eastAsia="zh-CN"/>
        </w:rPr>
        <w:t>高阳县城市管理综合行政执法局</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_GBK" w:hAnsi="宋体" w:eastAsia="方正小标宋_GBK"/>
          <w:sz w:val="44"/>
          <w:szCs w:val="44"/>
        </w:rPr>
      </w:pPr>
      <w:r>
        <w:rPr>
          <w:rFonts w:hint="eastAsia" w:ascii="方正小标宋_GBK" w:hAnsi="宋体" w:eastAsia="方正小标宋_GBK" w:cs="Tahoma"/>
          <w:kern w:val="0"/>
          <w:sz w:val="44"/>
          <w:szCs w:val="44"/>
          <w:lang w:val="en-US" w:eastAsia="zh-CN"/>
        </w:rPr>
        <w:t>2022</w:t>
      </w:r>
      <w:r>
        <w:rPr>
          <w:rFonts w:hint="eastAsia" w:ascii="方正小标宋_GBK" w:hAnsi="宋体" w:eastAsia="方正小标宋_GBK" w:cs="Tahoma"/>
          <w:kern w:val="0"/>
          <w:sz w:val="44"/>
          <w:szCs w:val="44"/>
        </w:rPr>
        <w:t>年</w:t>
      </w:r>
      <w:r>
        <w:rPr>
          <w:rFonts w:hint="eastAsia" w:ascii="方正小标宋_GBK" w:hAnsi="宋体" w:eastAsia="方正小标宋_GBK" w:cs="Tahoma"/>
          <w:kern w:val="0"/>
          <w:sz w:val="44"/>
          <w:szCs w:val="44"/>
          <w:lang w:eastAsia="zh-CN"/>
        </w:rPr>
        <w:t>度部门</w:t>
      </w:r>
      <w:r>
        <w:rPr>
          <w:rFonts w:hint="eastAsia" w:ascii="方正小标宋_GBK" w:hAnsi="宋体" w:eastAsia="方正小标宋_GBK" w:cs="Tahoma"/>
          <w:kern w:val="0"/>
          <w:sz w:val="44"/>
          <w:szCs w:val="44"/>
        </w:rPr>
        <w:t>整体</w:t>
      </w:r>
      <w:r>
        <w:rPr>
          <w:rFonts w:hint="eastAsia" w:ascii="方正小标宋_GBK" w:hAnsi="宋体" w:eastAsia="方正小标宋_GBK"/>
          <w:sz w:val="44"/>
          <w:szCs w:val="44"/>
        </w:rPr>
        <w:t>绩效自评工作报告</w:t>
      </w:r>
    </w:p>
    <w:p>
      <w:pPr>
        <w:snapToGrid w:val="0"/>
        <w:spacing w:line="580" w:lineRule="exact"/>
        <w:jc w:val="center"/>
        <w:rPr>
          <w:rFonts w:hint="eastAsia" w:ascii="方正小标宋_GBK" w:hAnsi="宋体" w:eastAsia="方正小标宋_GBK"/>
          <w:sz w:val="44"/>
          <w:szCs w:val="44"/>
        </w:rPr>
      </w:pPr>
    </w:p>
    <w:p>
      <w:pPr>
        <w:snapToGrid w:val="0"/>
        <w:spacing w:line="580" w:lineRule="exact"/>
        <w:jc w:val="center"/>
        <w:rPr>
          <w:rFonts w:hint="eastAsia" w:ascii="方正小标宋_GBK" w:hAnsi="宋体" w:eastAsia="方正小标宋_GBK"/>
          <w:sz w:val="44"/>
          <w:szCs w:val="44"/>
        </w:rPr>
      </w:pPr>
    </w:p>
    <w:p>
      <w:pPr>
        <w:snapToGrid w:val="0"/>
        <w:spacing w:line="580" w:lineRule="exact"/>
        <w:jc w:val="center"/>
        <w:rPr>
          <w:rFonts w:hint="eastAsia" w:ascii="方正小标宋_GBK" w:hAnsi="宋体" w:eastAsia="方正小标宋_GBK"/>
          <w:sz w:val="44"/>
          <w:szCs w:val="44"/>
        </w:rPr>
      </w:pPr>
    </w:p>
    <w:p>
      <w:pPr>
        <w:snapToGrid w:val="0"/>
        <w:spacing w:line="580" w:lineRule="exact"/>
        <w:jc w:val="center"/>
        <w:rPr>
          <w:rFonts w:hint="eastAsia" w:ascii="方正小标宋_GBK" w:hAnsi="宋体" w:eastAsia="方正小标宋_GBK"/>
          <w:sz w:val="44"/>
          <w:szCs w:val="44"/>
        </w:rPr>
      </w:pPr>
    </w:p>
    <w:p>
      <w:pPr>
        <w:snapToGrid w:val="0"/>
        <w:spacing w:line="580" w:lineRule="exact"/>
        <w:jc w:val="center"/>
        <w:rPr>
          <w:rFonts w:hint="eastAsia" w:ascii="方正小标宋_GBK" w:hAnsi="宋体" w:eastAsia="方正小标宋_GBK"/>
          <w:sz w:val="44"/>
          <w:szCs w:val="44"/>
        </w:rPr>
      </w:pPr>
    </w:p>
    <w:p>
      <w:pPr>
        <w:snapToGrid w:val="0"/>
        <w:spacing w:line="580" w:lineRule="exact"/>
        <w:jc w:val="center"/>
        <w:rPr>
          <w:rFonts w:hint="eastAsia" w:ascii="方正小标宋_GBK" w:hAnsi="宋体" w:eastAsia="方正小标宋_GBK"/>
          <w:sz w:val="44"/>
          <w:szCs w:val="44"/>
        </w:rPr>
      </w:pPr>
    </w:p>
    <w:p>
      <w:pPr>
        <w:snapToGrid w:val="0"/>
        <w:spacing w:line="580" w:lineRule="exact"/>
        <w:jc w:val="center"/>
        <w:rPr>
          <w:rFonts w:hint="eastAsia" w:ascii="方正小标宋_GBK" w:hAnsi="宋体" w:eastAsia="方正小标宋_GBK"/>
          <w:sz w:val="44"/>
          <w:szCs w:val="44"/>
        </w:rPr>
      </w:pPr>
    </w:p>
    <w:p>
      <w:pPr>
        <w:snapToGrid w:val="0"/>
        <w:spacing w:line="580" w:lineRule="exact"/>
        <w:jc w:val="center"/>
        <w:rPr>
          <w:rFonts w:hint="eastAsia" w:ascii="方正小标宋_GBK" w:hAnsi="宋体" w:eastAsia="方正小标宋_GBK"/>
          <w:sz w:val="44"/>
          <w:szCs w:val="44"/>
        </w:rPr>
      </w:pPr>
    </w:p>
    <w:p>
      <w:pPr>
        <w:snapToGrid w:val="0"/>
        <w:spacing w:line="580" w:lineRule="exact"/>
        <w:jc w:val="center"/>
        <w:rPr>
          <w:rFonts w:hint="eastAsia" w:ascii="方正小标宋_GBK" w:hAnsi="宋体" w:eastAsia="方正小标宋_GBK"/>
          <w:sz w:val="44"/>
          <w:szCs w:val="44"/>
        </w:rPr>
      </w:pPr>
    </w:p>
    <w:p>
      <w:pPr>
        <w:snapToGrid w:val="0"/>
        <w:spacing w:line="580" w:lineRule="exact"/>
        <w:jc w:val="both"/>
        <w:rPr>
          <w:rFonts w:hint="eastAsia" w:ascii="方正小标宋_GBK" w:hAnsi="宋体" w:eastAsia="方正小标宋_GBK"/>
          <w:sz w:val="44"/>
          <w:szCs w:val="44"/>
        </w:rPr>
      </w:pPr>
    </w:p>
    <w:p>
      <w:pPr>
        <w:snapToGrid w:val="0"/>
        <w:spacing w:line="580" w:lineRule="exact"/>
        <w:jc w:val="both"/>
        <w:rPr>
          <w:rFonts w:hint="eastAsia" w:ascii="方正小标宋_GBK" w:hAnsi="宋体" w:eastAsia="方正小标宋_GBK"/>
          <w:sz w:val="44"/>
          <w:szCs w:val="44"/>
        </w:rPr>
      </w:pPr>
    </w:p>
    <w:p>
      <w:pPr>
        <w:snapToGrid w:val="0"/>
        <w:spacing w:line="580" w:lineRule="exact"/>
        <w:jc w:val="center"/>
        <w:rPr>
          <w:rFonts w:hint="eastAsia" w:ascii="方正小标宋_GBK" w:hAnsi="宋体" w:eastAsia="方正小标宋_GBK"/>
          <w:sz w:val="44"/>
          <w:szCs w:val="44"/>
        </w:rPr>
      </w:pPr>
    </w:p>
    <w:p>
      <w:pPr>
        <w:snapToGrid w:val="0"/>
        <w:spacing w:line="580" w:lineRule="exact"/>
        <w:jc w:val="center"/>
        <w:rPr>
          <w:rFonts w:hint="eastAsia" w:ascii="方正小标宋_GBK" w:hAnsi="宋体" w:eastAsia="方正小标宋_GBK"/>
          <w:sz w:val="44"/>
          <w:szCs w:val="44"/>
        </w:rPr>
      </w:pPr>
    </w:p>
    <w:p>
      <w:pPr>
        <w:snapToGrid w:val="0"/>
        <w:spacing w:line="580" w:lineRule="exact"/>
        <w:jc w:val="center"/>
        <w:rPr>
          <w:rFonts w:hint="default" w:ascii="方正小标宋_GBK" w:hAnsi="宋体" w:eastAsia="方正小标宋_GBK"/>
          <w:sz w:val="44"/>
          <w:szCs w:val="44"/>
          <w:lang w:val="en-US" w:eastAsia="zh-CN"/>
        </w:rPr>
      </w:pPr>
      <w:r>
        <w:rPr>
          <w:rFonts w:hint="eastAsia" w:ascii="方正小标宋_GBK" w:hAnsi="宋体" w:eastAsia="方正小标宋_GBK"/>
          <w:sz w:val="44"/>
          <w:szCs w:val="44"/>
          <w:lang w:val="en-US" w:eastAsia="zh-CN"/>
        </w:rPr>
        <w:t>2023年3月</w:t>
      </w:r>
    </w:p>
    <w:p>
      <w:pPr>
        <w:snapToGrid w:val="0"/>
        <w:spacing w:line="300" w:lineRule="exact"/>
        <w:rPr>
          <w:rFonts w:ascii="黑体" w:hAnsi="宋体" w:eastAsia="黑体"/>
          <w:sz w:val="32"/>
          <w:szCs w:val="32"/>
        </w:rPr>
        <w:sectPr>
          <w:pgSz w:w="11906" w:h="16838"/>
          <w:pgMar w:top="2041" w:right="1304" w:bottom="1701" w:left="1531" w:header="851" w:footer="992" w:gutter="0"/>
          <w:cols w:space="425" w:num="1"/>
          <w:docGrid w:type="lines" w:linePitch="312" w:charSpace="0"/>
        </w:sectPr>
      </w:pPr>
    </w:p>
    <w:p>
      <w:pPr>
        <w:snapToGrid w:val="0"/>
        <w:spacing w:line="300" w:lineRule="exact"/>
        <w:rPr>
          <w:rFonts w:ascii="黑体" w:hAnsi="宋体" w:eastAsia="黑体"/>
          <w:sz w:val="32"/>
          <w:szCs w:val="32"/>
        </w:rPr>
      </w:pPr>
    </w:p>
    <w:p>
      <w:pPr>
        <w:snapToGrid w:val="0"/>
        <w:spacing w:line="580" w:lineRule="exact"/>
        <w:jc w:val="center"/>
        <w:rPr>
          <w:rFonts w:hint="eastAsia" w:ascii="方正小标宋_GBK" w:hAnsi="宋体" w:eastAsia="方正小标宋_GBK" w:cs="Tahoma"/>
          <w:kern w:val="0"/>
          <w:sz w:val="44"/>
          <w:szCs w:val="44"/>
          <w:lang w:eastAsia="zh-CN"/>
        </w:rPr>
      </w:pPr>
      <w:r>
        <w:rPr>
          <w:rFonts w:hint="eastAsia" w:ascii="方正小标宋_GBK" w:hAnsi="宋体" w:eastAsia="方正小标宋_GBK" w:cs="Tahoma"/>
          <w:kern w:val="0"/>
          <w:sz w:val="44"/>
          <w:szCs w:val="44"/>
          <w:lang w:eastAsia="zh-CN"/>
        </w:rPr>
        <w:t>高阳县城市管理综合行政执法局</w:t>
      </w:r>
    </w:p>
    <w:p>
      <w:pPr>
        <w:snapToGrid w:val="0"/>
        <w:spacing w:line="580" w:lineRule="exact"/>
        <w:jc w:val="center"/>
        <w:rPr>
          <w:rFonts w:ascii="方正小标宋_GBK" w:hAnsi="宋体" w:eastAsia="方正小标宋_GBK"/>
          <w:sz w:val="44"/>
          <w:szCs w:val="44"/>
        </w:rPr>
      </w:pPr>
      <w:r>
        <w:rPr>
          <w:rFonts w:hint="eastAsia" w:ascii="方正小标宋_GBK" w:hAnsi="宋体" w:eastAsia="方正小标宋_GBK" w:cs="Tahoma"/>
          <w:kern w:val="0"/>
          <w:sz w:val="44"/>
          <w:szCs w:val="44"/>
          <w:lang w:val="en-US" w:eastAsia="zh-CN"/>
        </w:rPr>
        <w:t>2022</w:t>
      </w:r>
      <w:r>
        <w:rPr>
          <w:rFonts w:hint="eastAsia" w:ascii="方正小标宋_GBK" w:hAnsi="宋体" w:eastAsia="方正小标宋_GBK" w:cs="Tahoma"/>
          <w:kern w:val="0"/>
          <w:sz w:val="44"/>
          <w:szCs w:val="44"/>
        </w:rPr>
        <w:t>年</w:t>
      </w:r>
      <w:r>
        <w:rPr>
          <w:rFonts w:hint="eastAsia" w:ascii="方正小标宋_GBK" w:hAnsi="宋体" w:eastAsia="方正小标宋_GBK" w:cs="Tahoma"/>
          <w:kern w:val="0"/>
          <w:sz w:val="44"/>
          <w:szCs w:val="44"/>
          <w:lang w:eastAsia="zh-CN"/>
        </w:rPr>
        <w:t>度部门</w:t>
      </w:r>
      <w:r>
        <w:rPr>
          <w:rFonts w:hint="eastAsia" w:ascii="方正小标宋_GBK" w:hAnsi="宋体" w:eastAsia="方正小标宋_GBK" w:cs="Tahoma"/>
          <w:kern w:val="0"/>
          <w:sz w:val="44"/>
          <w:szCs w:val="44"/>
        </w:rPr>
        <w:t>整体</w:t>
      </w:r>
      <w:r>
        <w:rPr>
          <w:rFonts w:hint="eastAsia" w:ascii="方正小标宋_GBK" w:hAnsi="宋体" w:eastAsia="方正小标宋_GBK"/>
          <w:sz w:val="44"/>
          <w:szCs w:val="44"/>
        </w:rPr>
        <w:t>绩效自评工作报告</w:t>
      </w:r>
    </w:p>
    <w:p>
      <w:pPr>
        <w:snapToGrid w:val="0"/>
        <w:spacing w:line="400" w:lineRule="exact"/>
        <w:ind w:firstLine="643" w:firstLineChars="200"/>
        <w:rPr>
          <w:rFonts w:ascii="仿宋_GB2312" w:hAnsi="宋体" w:eastAsia="仿宋_GB2312"/>
          <w:b/>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eastAsia="zh-CN"/>
        </w:rPr>
        <w:t>为做好20</w:t>
      </w:r>
      <w:r>
        <w:rPr>
          <w:rFonts w:hint="eastAsia" w:ascii="仿宋_GB2312" w:eastAsia="仿宋_GB2312"/>
          <w:color w:val="auto"/>
          <w:sz w:val="32"/>
          <w:szCs w:val="32"/>
          <w:lang w:val="en-US" w:eastAsia="zh-CN"/>
        </w:rPr>
        <w:t>22</w:t>
      </w:r>
      <w:r>
        <w:rPr>
          <w:rFonts w:hint="eastAsia" w:ascii="仿宋_GB2312" w:eastAsia="仿宋_GB2312"/>
          <w:color w:val="auto"/>
          <w:sz w:val="32"/>
          <w:szCs w:val="32"/>
          <w:lang w:eastAsia="zh-CN"/>
        </w:rPr>
        <w:t>年度部门整体绩效自评工作，提高预算资金使用的合理性、规范性，根据高阳县财政局《关于做好20</w:t>
      </w:r>
      <w:r>
        <w:rPr>
          <w:rFonts w:hint="eastAsia" w:ascii="仿宋_GB2312" w:eastAsia="仿宋_GB2312"/>
          <w:color w:val="auto"/>
          <w:sz w:val="32"/>
          <w:szCs w:val="32"/>
          <w:lang w:val="en-US" w:eastAsia="zh-CN"/>
        </w:rPr>
        <w:t>22</w:t>
      </w:r>
      <w:r>
        <w:rPr>
          <w:rFonts w:hint="eastAsia" w:ascii="仿宋_GB2312" w:eastAsia="仿宋_GB2312"/>
          <w:color w:val="auto"/>
          <w:sz w:val="32"/>
          <w:szCs w:val="32"/>
          <w:lang w:eastAsia="zh-CN"/>
        </w:rPr>
        <w:t>年度县级预算项目绩效自评工作的通知》有关要求，组织开展本部门整体绩效自评工作。工作组通过制定方案、实际调研，本着“科学规范、公开公正”的原则对20</w:t>
      </w:r>
      <w:r>
        <w:rPr>
          <w:rFonts w:hint="eastAsia" w:ascii="仿宋_GB2312" w:eastAsia="仿宋_GB2312"/>
          <w:color w:val="auto"/>
          <w:sz w:val="32"/>
          <w:szCs w:val="32"/>
          <w:lang w:val="en-US" w:eastAsia="zh-CN"/>
        </w:rPr>
        <w:t>22</w:t>
      </w:r>
      <w:r>
        <w:rPr>
          <w:rFonts w:hint="eastAsia" w:ascii="仿宋_GB2312" w:eastAsia="仿宋_GB2312"/>
          <w:color w:val="auto"/>
          <w:sz w:val="32"/>
          <w:szCs w:val="32"/>
          <w:lang w:eastAsia="zh-CN"/>
        </w:rPr>
        <w:t>年度部门整体绩效完成情况进行评价。主要体现在与预期绩效目标进行比较，对目标完成、预算执行、组织实施、资金管理等情况进行分析评判。</w:t>
      </w:r>
    </w:p>
    <w:p>
      <w:pPr>
        <w:keepNext w:val="0"/>
        <w:keepLines w:val="0"/>
        <w:pageBreakBefore w:val="0"/>
        <w:widowControl w:val="0"/>
        <w:kinsoku/>
        <w:wordWrap/>
        <w:overflowPunct/>
        <w:topLinePunct w:val="0"/>
        <w:autoSpaceDE/>
        <w:autoSpaceDN/>
        <w:bidi w:val="0"/>
        <w:adjustRightInd/>
        <w:snapToGrid w:val="0"/>
        <w:spacing w:before="120" w:after="120"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一、绩效自评工作组织开展情况</w:t>
      </w:r>
    </w:p>
    <w:p>
      <w:pPr>
        <w:keepNext w:val="0"/>
        <w:keepLines w:val="0"/>
        <w:pageBreakBefore w:val="0"/>
        <w:widowControl w:val="0"/>
        <w:kinsoku/>
        <w:wordWrap/>
        <w:overflowPunct/>
        <w:topLinePunct w:val="0"/>
        <w:autoSpaceDE/>
        <w:autoSpaceDN/>
        <w:bidi w:val="0"/>
        <w:adjustRightInd/>
        <w:snapToGrid w:val="0"/>
        <w:spacing w:before="120" w:after="240"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（一）绩效自评组织情况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根据高阳县财政局《关于做好20</w:t>
      </w:r>
      <w:r>
        <w:rPr>
          <w:rFonts w:hint="eastAsia" w:ascii="仿宋_GB2312" w:eastAsia="仿宋_GB2312"/>
          <w:color w:val="auto"/>
          <w:sz w:val="32"/>
          <w:szCs w:val="32"/>
          <w:lang w:val="en-US" w:eastAsia="zh-CN"/>
        </w:rPr>
        <w:t>22</w:t>
      </w:r>
      <w:r>
        <w:rPr>
          <w:rFonts w:hint="eastAsia" w:ascii="仿宋_GB2312" w:eastAsia="仿宋_GB2312"/>
          <w:color w:val="auto"/>
          <w:sz w:val="32"/>
          <w:szCs w:val="32"/>
          <w:lang w:eastAsia="zh-CN"/>
        </w:rPr>
        <w:t>年度县级预算项目绩效自评工作的通知》有关要求，组织开展本部门整体绩效自评工作。本着“科学规范、公开公正”的原则对20</w:t>
      </w:r>
      <w:r>
        <w:rPr>
          <w:rFonts w:hint="eastAsia" w:ascii="仿宋_GB2312" w:eastAsia="仿宋_GB2312"/>
          <w:color w:val="auto"/>
          <w:sz w:val="32"/>
          <w:szCs w:val="32"/>
          <w:lang w:val="en-US" w:eastAsia="zh-CN"/>
        </w:rPr>
        <w:t>22</w:t>
      </w:r>
      <w:r>
        <w:rPr>
          <w:rFonts w:hint="eastAsia" w:ascii="仿宋_GB2312" w:eastAsia="仿宋_GB2312"/>
          <w:color w:val="auto"/>
          <w:sz w:val="32"/>
          <w:szCs w:val="32"/>
          <w:lang w:eastAsia="zh-CN"/>
        </w:rPr>
        <w:t>年度部门整体绩效完成情况进行评价。我单位迅速成立绩效自评工作组，由财务主管领导任组长，下设办公室，成员包括各项目负责人及财务室相关人员，办公室设在执法局三楼。工作组通过制定方案、实际调研等收集绩效信息对20</w:t>
      </w:r>
      <w:r>
        <w:rPr>
          <w:rFonts w:hint="eastAsia" w:ascii="仿宋_GB2312" w:eastAsia="仿宋_GB2312"/>
          <w:color w:val="auto"/>
          <w:sz w:val="32"/>
          <w:szCs w:val="32"/>
          <w:lang w:val="en-US" w:eastAsia="zh-CN"/>
        </w:rPr>
        <w:t>22</w:t>
      </w:r>
      <w:r>
        <w:rPr>
          <w:rFonts w:hint="eastAsia" w:ascii="仿宋_GB2312" w:eastAsia="仿宋_GB2312"/>
          <w:color w:val="auto"/>
          <w:sz w:val="32"/>
          <w:szCs w:val="32"/>
          <w:lang w:eastAsia="zh-CN"/>
        </w:rPr>
        <w:t>年度预算部门整体绩效完成情况进行绩效评价。</w:t>
      </w:r>
    </w:p>
    <w:p>
      <w:pPr>
        <w:keepNext w:val="0"/>
        <w:keepLines w:val="0"/>
        <w:pageBreakBefore w:val="0"/>
        <w:widowControl w:val="0"/>
        <w:kinsoku/>
        <w:wordWrap/>
        <w:overflowPunct/>
        <w:topLinePunct w:val="0"/>
        <w:autoSpaceDE/>
        <w:autoSpaceDN/>
        <w:bidi w:val="0"/>
        <w:adjustRightInd/>
        <w:snapToGrid w:val="0"/>
        <w:spacing w:before="120" w:after="120"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（二）预算安排与执行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sz w:val="32"/>
          <w:szCs w:val="32"/>
          <w:lang w:val="en-US" w:eastAsia="zh-CN"/>
        </w:rPr>
      </w:pPr>
      <w:r>
        <w:rPr>
          <w:rFonts w:hint="eastAsia" w:ascii="仿宋" w:hAnsi="仿宋" w:eastAsia="仿宋" w:cs="仿宋"/>
          <w:sz w:val="32"/>
          <w:szCs w:val="32"/>
          <w:lang w:val="en-US" w:eastAsia="zh-CN"/>
        </w:rPr>
        <w:t>2022年执法局年初预算项目（调整后）安排8967.14万元，主要包括</w:t>
      </w:r>
      <w:r>
        <w:rPr>
          <w:rFonts w:hint="eastAsia" w:ascii="仿宋_GB2312" w:eastAsia="仿宋_GB2312"/>
          <w:sz w:val="32"/>
          <w:szCs w:val="32"/>
        </w:rPr>
        <w:t>执法局数字化城管运行经费、高阳县绿道绿廊建设</w:t>
      </w:r>
      <w:r>
        <w:rPr>
          <w:rFonts w:hint="eastAsia" w:ascii="仿宋_GB2312" w:eastAsia="仿宋_GB2312"/>
          <w:sz w:val="32"/>
          <w:szCs w:val="32"/>
          <w:lang w:eastAsia="zh-CN"/>
        </w:rPr>
        <w:t>、高阳县垃圾运输处理费、执法局城区公厕运行维护费、执法局垃圾中转站运行维护费、执法局农村环卫作业市场化经费、执法局城区环卫作业市场化经费、执法局执法专项经费</w:t>
      </w:r>
      <w:r>
        <w:rPr>
          <w:rFonts w:hint="eastAsia" w:ascii="仿宋_GB2312" w:eastAsia="仿宋_GB2312"/>
          <w:sz w:val="32"/>
          <w:szCs w:val="32"/>
        </w:rPr>
        <w:t>、</w:t>
      </w:r>
      <w:r>
        <w:rPr>
          <w:rFonts w:hint="eastAsia" w:ascii="仿宋_GB2312" w:eastAsia="仿宋_GB2312"/>
          <w:sz w:val="32"/>
          <w:szCs w:val="32"/>
          <w:lang w:eastAsia="zh-CN"/>
        </w:rPr>
        <w:t>2019年度公共厕所新建和改建三位一体项目</w:t>
      </w:r>
      <w:r>
        <w:rPr>
          <w:rFonts w:hint="eastAsia" w:ascii="仿宋_GB2312" w:eastAsia="仿宋_GB2312"/>
          <w:sz w:val="32"/>
          <w:szCs w:val="32"/>
          <w:lang w:val="en-US" w:eastAsia="zh-CN"/>
        </w:rPr>
        <w:t>、2019年-2021年公园养护管理和防护林养护管理工程、高阳县城市景观建设及改造提升监理费、颛顼公园水源井对接市政管网工程、城区公厕、环卫及园林绿化水费等24个预算项目。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2022年执法局年中追加调整预算项目安排96218.585万元，主要包括环城水系项目技术咨询费、景观亮化费用、魏家佐原垃圾暂存点封场费用、高阳县停车资源普查费用、冀财债【2022】31号-2022年第七批新增政府债券</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资金（高阳县环城水系生态综合治理及城区配套基础设施建设项目）、县城建设观摩费、创建省级文明县城标牌费用、执法局购买机动车乱停乱放取证处罚装备及服务费、执法局PPT、配音视频制作费、城区裸露土地覆盖费、2019年户外违规牌匾拆除费、冀财债【2022】50号-高阳县环城水系生态综合治理及城区配套基础设施建设项目、高阳县环保游园费用等13个预算项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2022年度执法局全年预算项目安排合计</w:t>
      </w:r>
      <w:r>
        <w:rPr>
          <w:rFonts w:hint="eastAsia" w:ascii="仿宋_GB2312" w:eastAsia="仿宋_GB2312"/>
          <w:sz w:val="32"/>
          <w:szCs w:val="32"/>
          <w:highlight w:val="none"/>
          <w:lang w:val="en-US" w:eastAsia="zh-CN"/>
        </w:rPr>
        <w:t>105185.725</w:t>
      </w:r>
      <w:r>
        <w:rPr>
          <w:rFonts w:hint="eastAsia" w:ascii="仿宋_GB2312" w:eastAsia="仿宋_GB2312"/>
          <w:sz w:val="32"/>
          <w:szCs w:val="32"/>
          <w:lang w:val="en-US" w:eastAsia="zh-CN"/>
        </w:rPr>
        <w:t>万元，预算项目执行金额91772.984604万元，部门预算项目执行率达到</w:t>
      </w:r>
      <w:r>
        <w:rPr>
          <w:rFonts w:hint="eastAsia" w:ascii="仿宋_GB2312" w:eastAsia="仿宋_GB2312"/>
          <w:sz w:val="32"/>
          <w:szCs w:val="32"/>
          <w:highlight w:val="none"/>
          <w:lang w:val="en-US" w:eastAsia="zh-CN"/>
        </w:rPr>
        <w:t>87.25%</w:t>
      </w:r>
      <w:r>
        <w:rPr>
          <w:rFonts w:hint="eastAsia" w:ascii="仿宋_GB2312" w:eastAsia="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2022年预算项目共计37个，未支出的项目16个，预算执行进度10%-50%项目共计2个，预算执行进度50%-80%项目6个，预算执行进度80%项目以上13个。</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因单位资金紧张，优先保障人员经费及公用经费支出，缩减项目经费支出，暂缓执法服装购置，执法局执法服装购置费项目未开展。</w:t>
      </w:r>
    </w:p>
    <w:p>
      <w:pPr>
        <w:keepNext w:val="0"/>
        <w:keepLines w:val="0"/>
        <w:pageBreakBefore w:val="0"/>
        <w:widowControl w:val="0"/>
        <w:kinsoku/>
        <w:wordWrap/>
        <w:overflowPunct/>
        <w:topLinePunct w:val="0"/>
        <w:autoSpaceDE/>
        <w:autoSpaceDN/>
        <w:bidi w:val="0"/>
        <w:adjustRightInd/>
        <w:snapToGrid w:val="0"/>
        <w:spacing w:before="120" w:after="120"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w:t>
      </w:r>
      <w:r>
        <w:rPr>
          <w:rFonts w:hint="eastAsia" w:ascii="仿宋_GB2312" w:eastAsia="仿宋_GB2312"/>
          <w:sz w:val="32"/>
          <w:szCs w:val="32"/>
        </w:rPr>
        <w:t>项目资金管理及监督体制</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1、高度重视预算支出绩效评价工作，成立了以局长为组长，其他局领导为副组长、科室负责人为成员的预算支出绩效评价工作领导小组，明确了各职能科室的评价责任，进一步强化各科室对财政预算支出管理意识。</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建立了机关整体支出管理方面的内控制度，修订和完善了《高阳县城市管理行政执法局机关财务管理制度》《高阳县执法局内部控制手册》等规章制度，对机关运行经费等支出进行了有效管控。</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eastAsia="仿宋_GB2312"/>
          <w:color w:val="000000"/>
          <w:sz w:val="32"/>
          <w:szCs w:val="32"/>
          <w:shd w:val="clear" w:color="auto" w:fill="FFFFFF"/>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严格执行资金支付管理制度，根据年度预算指标数，统筹安排资金使用计划，严格控制各项支出，规范支出科目。资金支付按专款专用的要求严格管理，不截留、挤占、挪用项目资金</w:t>
      </w:r>
      <w:r>
        <w:rPr>
          <w:rFonts w:hint="eastAsia" w:ascii="仿宋_GB2312" w:eastAsia="仿宋_GB2312"/>
          <w:color w:val="000000"/>
          <w:sz w:val="32"/>
          <w:szCs w:val="32"/>
          <w:shd w:val="clear" w:color="auto" w:fill="FFFFFF"/>
        </w:rPr>
        <w:t>，单位还为此建立了相应的资金支付审批制度，对每笔支付项目都要附上相关的文件、施工合同、委托协议、验收报告、发票等，由项目负责人收集进行初审，分管领导审核、财务负责人复核，主管领导签名确认后上报财务室。财务人员对相关资料认真核查，核准无误后向县财政主管部门提交资金申请。对于大额资金及不经常性支出的事项经局党组会议研究后方能进行资金支付。</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000000"/>
          <w:sz w:val="32"/>
          <w:szCs w:val="32"/>
          <w:shd w:val="clear" w:color="auto" w:fill="FFFFFF"/>
          <w:lang w:val="en-US" w:eastAsia="zh-CN"/>
        </w:rPr>
        <w:t>4、</w:t>
      </w:r>
      <w:r>
        <w:rPr>
          <w:rFonts w:hint="eastAsia" w:ascii="仿宋_GB2312" w:eastAsia="仿宋_GB2312"/>
          <w:color w:val="000000"/>
          <w:sz w:val="32"/>
          <w:szCs w:val="32"/>
          <w:shd w:val="clear" w:color="auto" w:fill="FFFFFF"/>
        </w:rPr>
        <w:t>在支付过程中，严格执行财务管理制度，</w:t>
      </w:r>
      <w:r>
        <w:rPr>
          <w:rFonts w:hint="eastAsia" w:ascii="仿宋_GB2312" w:hAnsi="宋体" w:eastAsia="仿宋_GB2312"/>
          <w:color w:val="000000"/>
          <w:kern w:val="0"/>
          <w:sz w:val="32"/>
          <w:szCs w:val="32"/>
        </w:rPr>
        <w:t>严格按照合同约定，依据规定程序和权限，及时有效的进行资金支付，</w:t>
      </w:r>
      <w:r>
        <w:rPr>
          <w:rFonts w:hint="eastAsia" w:ascii="仿宋_GB2312" w:eastAsia="仿宋_GB2312"/>
          <w:color w:val="000000"/>
          <w:sz w:val="32"/>
          <w:szCs w:val="32"/>
          <w:shd w:val="clear" w:color="auto" w:fill="FFFFFF"/>
        </w:rPr>
        <w:t>不存在虚列项目支出的及超标准开支的情况</w:t>
      </w:r>
      <w:r>
        <w:rPr>
          <w:rFonts w:hint="eastAsia" w:ascii="仿宋_GB2312" w:hAnsi="宋体" w:eastAsia="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加强财政预算资金方面制度的学习培训，不断提高各职能科室的业务工作能力，组织局机关工作人员认真学习了上级出台的管理办法和规定。</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在强化内部管理监督的同时，积极主动接受财政、税务，审计等业务部门的指导、监督和检查，确保资金使用合法合规。</w:t>
      </w:r>
    </w:p>
    <w:p>
      <w:pPr>
        <w:keepNext w:val="0"/>
        <w:keepLines w:val="0"/>
        <w:pageBreakBefore w:val="0"/>
        <w:widowControl w:val="0"/>
        <w:kinsoku/>
        <w:wordWrap/>
        <w:overflowPunct/>
        <w:topLinePunct w:val="0"/>
        <w:autoSpaceDE/>
        <w:autoSpaceDN/>
        <w:bidi w:val="0"/>
        <w:adjustRightInd/>
        <w:snapToGrid w:val="0"/>
        <w:spacing w:before="120" w:after="120"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二、绩效目标实现情况</w:t>
      </w:r>
    </w:p>
    <w:p>
      <w:pPr>
        <w:keepNext w:val="0"/>
        <w:keepLines w:val="0"/>
        <w:pageBreakBefore w:val="0"/>
        <w:widowControl w:val="0"/>
        <w:kinsoku/>
        <w:wordWrap/>
        <w:overflowPunct/>
        <w:topLinePunct w:val="0"/>
        <w:autoSpaceDE/>
        <w:autoSpaceDN/>
        <w:bidi w:val="0"/>
        <w:adjustRightInd/>
        <w:snapToGrid w:val="0"/>
        <w:spacing w:before="120" w:after="240"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（一）部门总体工作开展情况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_GB2312" w:cs="仿宋"/>
          <w:sz w:val="32"/>
          <w:szCs w:val="32"/>
          <w:lang w:eastAsia="zh-CN"/>
        </w:rPr>
      </w:pPr>
      <w:r>
        <w:rPr>
          <w:rFonts w:hint="eastAsia" w:ascii="仿宋_GB2312" w:eastAsia="仿宋_GB2312"/>
          <w:sz w:val="32"/>
          <w:szCs w:val="32"/>
        </w:rPr>
        <w:t>根据高阳县财政局《关于做好20</w:t>
      </w:r>
      <w:r>
        <w:rPr>
          <w:rFonts w:hint="eastAsia" w:ascii="仿宋_GB2312" w:eastAsia="仿宋_GB2312"/>
          <w:sz w:val="32"/>
          <w:szCs w:val="32"/>
          <w:lang w:val="en-US" w:eastAsia="zh-CN"/>
        </w:rPr>
        <w:t>22</w:t>
      </w:r>
      <w:r>
        <w:rPr>
          <w:rFonts w:hint="eastAsia" w:ascii="仿宋_GB2312" w:eastAsia="仿宋_GB2312"/>
          <w:sz w:val="32"/>
          <w:szCs w:val="32"/>
        </w:rPr>
        <w:t>年度县级预算项目绩效自评工作的通知》</w:t>
      </w:r>
      <w:r>
        <w:rPr>
          <w:rFonts w:hint="eastAsia" w:ascii="仿宋_GB2312" w:eastAsia="仿宋_GB2312"/>
          <w:sz w:val="32"/>
          <w:szCs w:val="32"/>
          <w:lang w:eastAsia="zh-CN"/>
        </w:rPr>
        <w:t>相关</w:t>
      </w:r>
      <w:r>
        <w:rPr>
          <w:rFonts w:hint="eastAsia" w:ascii="仿宋_GB2312" w:eastAsia="仿宋_GB2312"/>
          <w:sz w:val="32"/>
          <w:szCs w:val="32"/>
        </w:rPr>
        <w:t>要求，</w:t>
      </w:r>
      <w:r>
        <w:rPr>
          <w:rFonts w:hint="eastAsia" w:ascii="仿宋_GB2312" w:eastAsia="仿宋_GB2312"/>
          <w:sz w:val="32"/>
          <w:szCs w:val="32"/>
          <w:lang w:eastAsia="zh-CN"/>
        </w:rPr>
        <w:t>执法局迅速</w:t>
      </w:r>
      <w:r>
        <w:rPr>
          <w:rFonts w:hint="eastAsia" w:ascii="仿宋_GB2312" w:eastAsia="仿宋_GB2312"/>
          <w:sz w:val="32"/>
          <w:szCs w:val="32"/>
        </w:rPr>
        <w:t>成立绩效自评工作组</w:t>
      </w:r>
      <w:r>
        <w:rPr>
          <w:rFonts w:hint="eastAsia" w:ascii="仿宋_GB2312" w:eastAsia="仿宋_GB2312"/>
          <w:sz w:val="32"/>
          <w:szCs w:val="32"/>
          <w:lang w:eastAsia="zh-CN"/>
        </w:rPr>
        <w:t>展开安排部署。全面收集、系统整理各预算项目绩效完成信息，确认各项绩效指标实际完成值和实现程度。按照绩效自评表的格式和要求，将每个预算项目各绩效指标实际完成值与当年设定的预期值相比较，逐项评定每项指标得分，汇总形成预算项目自评最终得分。绩效自评工作完成后，及时总结，汇总形成绩效评价工作报告，总结优秀经验，发现问题及时整改，并将绩效自评结果作为安排预算、完善政策和改进管理的重要依据，为以后年度加强项目支出绩效管理，提高财政资金使用效益和公共服务质量起到借鉴意义。</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bookmarkStart w:id="0" w:name="_Toc_2_2_0000000001"/>
      <w:r>
        <w:rPr>
          <w:rFonts w:hint="eastAsia" w:ascii="仿宋_GB2312" w:eastAsia="仿宋_GB2312"/>
          <w:color w:val="auto"/>
          <w:sz w:val="32"/>
          <w:szCs w:val="32"/>
          <w:lang w:val="en-US" w:eastAsia="zh-CN"/>
        </w:rPr>
        <w:t>（二）总体绩效目标</w:t>
      </w:r>
      <w:bookmarkEnd w:id="0"/>
      <w:r>
        <w:rPr>
          <w:rFonts w:hint="eastAsia" w:ascii="仿宋" w:hAnsi="仿宋" w:eastAsia="仿宋" w:cs="仿宋"/>
          <w:sz w:val="32"/>
          <w:szCs w:val="32"/>
          <w:lang w:eastAsia="zh-CN"/>
        </w:rPr>
        <w:t>完成情况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根据县委县政府及部门工作部署，2022年高阳县城市管理综合行政执法局继续按照《高阳县城市精细化管理标准（实行）》要求，对城区实施全方位综合管理，进一步了提升城市精细化管理水平；做好全县城乡环境卫生工作，巩固我县“洁净城市”创建成果，让城乡环境卫生更加干净整洁；加强城市容貌综合整治，实现市容秩序整齐、无乱停乱放、违规搭建、超标排油烟、三轮车违法营运等违反城市管理法规的行为，创建秩序城市；进一步加强城区园林绿化管理，提升街头游园品味、健全基础设施建设，提高公园绿地的养护管理水平，提升公园绿地品质，为民众提供更好的休闲游憩空间。</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bookmarkStart w:id="1" w:name="_Toc_2_2_0000000002"/>
      <w:r>
        <w:rPr>
          <w:rFonts w:hint="eastAsia" w:ascii="仿宋_GB2312" w:eastAsia="仿宋_GB2312"/>
          <w:color w:val="auto"/>
          <w:sz w:val="32"/>
          <w:szCs w:val="32"/>
          <w:lang w:val="en-US" w:eastAsia="zh-CN"/>
        </w:rPr>
        <w:t>（三）分项绩效目标</w:t>
      </w:r>
      <w:bookmarkEnd w:id="1"/>
      <w:r>
        <w:rPr>
          <w:rFonts w:hint="eastAsia" w:ascii="仿宋_GB2312" w:eastAsia="仿宋_GB2312"/>
          <w:color w:val="auto"/>
          <w:sz w:val="32"/>
          <w:szCs w:val="32"/>
          <w:lang w:val="en-US" w:eastAsia="zh-CN"/>
        </w:rPr>
        <w:t>完成情况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1、加强城乡环境卫生管理工作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绩效目标：改善环境卫生，巩固“洁净城市”创建成果。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绩效指标：对全县123个村及城区（含15个城中村）主要街道、连村公路、河堤两岸进行清扫保洁和垃圾收集清运；生活垃圾做到日产日清；保障城区范围内17座公厕的正常运转；城区机械化清扫率达到85%以上；建设1座西演垃圾转运站。</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2、城市容貌环境综合整治工作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绩效目标：城市精细化管理，创造良好市容市貌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绩效指标：进一步规范城市秩序、整治裸露土地，保持街道市容整洁、美观；运用数字化平台系统实现对城市“科学、雅阁、精细、长效”的管理，实现城市管理服务水平信息共享率100%；加强日常巡查管控，对各类城市管理过程中的违法行为进行大力整治，违规建设与经营问题解决率达到90%以上。</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3、园林绿化管理工作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绩效目标：美化城市，提升景观，提高生活质量。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绩效指标：保障城区范围内3个公园及绿地养护工作正常运行；城市主要街道两侧建筑物亮化率达到85%以上；提升绿化管理养护水平，推动城市生态环境良好循环，打造宜居、宜游的城市环境。</w:t>
      </w:r>
    </w:p>
    <w:p>
      <w:pPr>
        <w:keepNext w:val="0"/>
        <w:keepLines w:val="0"/>
        <w:pageBreakBefore w:val="0"/>
        <w:widowControl w:val="0"/>
        <w:kinsoku/>
        <w:wordWrap/>
        <w:overflowPunct/>
        <w:topLinePunct w:val="0"/>
        <w:autoSpaceDE/>
        <w:autoSpaceDN/>
        <w:bidi w:val="0"/>
        <w:adjustRightInd/>
        <w:snapToGrid w:val="0"/>
        <w:spacing w:after="120"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三、绩效目标设定质量情况</w:t>
      </w:r>
    </w:p>
    <w:p>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rPr>
        <w:t>通过绩效自评结果对比倒查的</w:t>
      </w:r>
      <w:r>
        <w:rPr>
          <w:rFonts w:hint="eastAsia" w:ascii="仿宋" w:hAnsi="仿宋" w:eastAsia="仿宋" w:cs="仿宋"/>
          <w:sz w:val="32"/>
          <w:szCs w:val="32"/>
          <w:highlight w:val="none"/>
          <w:lang w:eastAsia="zh-CN"/>
        </w:rPr>
        <w:t>项目</w:t>
      </w:r>
      <w:r>
        <w:rPr>
          <w:rFonts w:hint="eastAsia" w:ascii="仿宋" w:hAnsi="仿宋" w:eastAsia="仿宋" w:cs="仿宋"/>
          <w:sz w:val="32"/>
          <w:szCs w:val="32"/>
          <w:highlight w:val="none"/>
        </w:rPr>
        <w:t>绩效目标设定质量情况，</w:t>
      </w:r>
      <w:r>
        <w:rPr>
          <w:rFonts w:hint="eastAsia" w:ascii="仿宋" w:hAnsi="仿宋" w:eastAsia="仿宋" w:cs="仿宋"/>
          <w:sz w:val="32"/>
          <w:szCs w:val="32"/>
          <w:highlight w:val="none"/>
          <w:lang w:eastAsia="zh-CN"/>
        </w:rPr>
        <w:t>总结如下：</w:t>
      </w:r>
      <w:r>
        <w:rPr>
          <w:rFonts w:hint="eastAsia" w:ascii="仿宋_GB2312" w:eastAsia="仿宋_GB2312"/>
          <w:sz w:val="32"/>
          <w:szCs w:val="32"/>
          <w:lang w:val="en-US" w:eastAsia="zh-CN"/>
        </w:rPr>
        <w:t>2022年度执法局37个</w:t>
      </w:r>
      <w:r>
        <w:rPr>
          <w:rFonts w:hint="eastAsia" w:ascii="仿宋_GB2312" w:eastAsia="仿宋_GB2312"/>
          <w:color w:val="auto"/>
          <w:sz w:val="32"/>
          <w:szCs w:val="32"/>
          <w:lang w:eastAsia="zh-CN"/>
        </w:rPr>
        <w:t>预算项目总体实施良好，项目绩效目标、指标设定合理，严格参照《高阳县县级部门预算绩效目标设定规范》并结合实际科学设定，绩效指标全面完整、科学合理，绩效标准恰当适宜、易于评价。</w:t>
      </w:r>
      <w:r>
        <w:rPr>
          <w:rFonts w:hint="eastAsia" w:ascii="仿宋_GB2312" w:eastAsia="仿宋_GB2312"/>
          <w:sz w:val="32"/>
          <w:szCs w:val="32"/>
        </w:rPr>
        <w:t>绩效目标设置清晰准确，</w:t>
      </w:r>
      <w:r>
        <w:rPr>
          <w:rFonts w:hint="eastAsia" w:ascii="仿宋_GB2312" w:eastAsia="仿宋_GB2312"/>
          <w:sz w:val="32"/>
          <w:szCs w:val="32"/>
          <w:lang w:eastAsia="zh-CN"/>
        </w:rPr>
        <w:t>能够客观公正的反映项目实施所能达到的产出数量及预期效果。</w:t>
      </w:r>
      <w:r>
        <w:rPr>
          <w:rFonts w:hint="eastAsia" w:ascii="仿宋_GB2312" w:eastAsia="仿宋_GB2312"/>
          <w:sz w:val="32"/>
          <w:szCs w:val="32"/>
        </w:rPr>
        <w:t>绩效指标</w:t>
      </w:r>
      <w:r>
        <w:rPr>
          <w:rFonts w:hint="eastAsia" w:ascii="仿宋_GB2312" w:eastAsia="仿宋_GB2312"/>
          <w:sz w:val="32"/>
          <w:szCs w:val="32"/>
          <w:lang w:eastAsia="zh-CN"/>
        </w:rPr>
        <w:t>设置全面、完整、科学的明确预期产出数量、成本及效益，数据真实准确无太大偏差。</w:t>
      </w:r>
    </w:p>
    <w:p>
      <w:pPr>
        <w:keepNext w:val="0"/>
        <w:keepLines w:val="0"/>
        <w:pageBreakBefore w:val="0"/>
        <w:widowControl w:val="0"/>
        <w:kinsoku/>
        <w:wordWrap/>
        <w:overflowPunct/>
        <w:topLinePunct w:val="0"/>
        <w:autoSpaceDE/>
        <w:autoSpaceDN/>
        <w:bidi w:val="0"/>
        <w:adjustRightInd/>
        <w:snapToGrid w:val="0"/>
        <w:spacing w:after="240"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四、整改措施及结果应用</w:t>
      </w:r>
    </w:p>
    <w:p>
      <w:pPr>
        <w:keepNext w:val="0"/>
        <w:keepLines w:val="0"/>
        <w:pageBreakBefore w:val="0"/>
        <w:widowControl w:val="0"/>
        <w:kinsoku/>
        <w:wordWrap/>
        <w:overflowPunct/>
        <w:topLinePunct w:val="0"/>
        <w:autoSpaceDE/>
        <w:autoSpaceDN/>
        <w:bidi w:val="0"/>
        <w:adjustRightInd/>
        <w:snapToGrid w:val="0"/>
        <w:spacing w:before="120" w:after="12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（一）存在问题及评价结论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经自评工作组评价，部门整体预算项目综合得分</w:t>
      </w:r>
      <w:r>
        <w:rPr>
          <w:rFonts w:hint="eastAsia" w:ascii="仿宋" w:hAnsi="仿宋" w:eastAsia="仿宋" w:cs="仿宋"/>
          <w:sz w:val="32"/>
          <w:szCs w:val="32"/>
          <w:highlight w:val="none"/>
          <w:lang w:val="en-US" w:eastAsia="zh-CN"/>
        </w:rPr>
        <w:t>95分</w:t>
      </w:r>
      <w:r>
        <w:rPr>
          <w:rFonts w:hint="eastAsia" w:ascii="仿宋" w:hAnsi="仿宋" w:eastAsia="仿宋" w:cs="仿宋"/>
          <w:sz w:val="32"/>
          <w:szCs w:val="32"/>
        </w:rPr>
        <w:t>，项目绩效评价等级为</w:t>
      </w:r>
      <w:r>
        <w:rPr>
          <w:rFonts w:hint="eastAsia" w:ascii="仿宋" w:hAnsi="仿宋" w:eastAsia="仿宋" w:cs="仿宋"/>
          <w:sz w:val="32"/>
          <w:szCs w:val="32"/>
          <w:lang w:eastAsia="zh-CN"/>
        </w:rPr>
        <w:t>优秀</w:t>
      </w:r>
      <w:r>
        <w:rPr>
          <w:rFonts w:hint="eastAsia" w:ascii="仿宋" w:hAnsi="仿宋" w:eastAsia="仿宋" w:cs="仿宋"/>
          <w:sz w:val="32"/>
          <w:szCs w:val="32"/>
        </w:rPr>
        <w:t>。</w:t>
      </w:r>
      <w:r>
        <w:rPr>
          <w:rFonts w:hint="eastAsia" w:ascii="仿宋" w:hAnsi="仿宋" w:eastAsia="仿宋" w:cs="仿宋"/>
          <w:sz w:val="32"/>
          <w:szCs w:val="32"/>
          <w:lang w:eastAsia="zh-CN"/>
        </w:rPr>
        <w:t>预算执行率达到</w:t>
      </w:r>
      <w:r>
        <w:rPr>
          <w:rFonts w:hint="eastAsia" w:ascii="仿宋" w:hAnsi="仿宋" w:eastAsia="仿宋" w:cs="仿宋"/>
          <w:sz w:val="32"/>
          <w:szCs w:val="32"/>
          <w:lang w:val="en-US" w:eastAsia="zh-CN"/>
        </w:rPr>
        <w:t>87.25%，预算执行力表现良好。项目绩效目标整体设置科学合理，能够客观、公正、全面的综合体现项目实现情况及资金执行情况。个别项目存在资金紧张无法支出，以及为节约资金</w:t>
      </w:r>
      <w:r>
        <w:rPr>
          <w:rFonts w:hint="eastAsia" w:ascii="仿宋_GB2312" w:eastAsia="仿宋_GB2312"/>
          <w:color w:val="000000"/>
          <w:sz w:val="32"/>
          <w:szCs w:val="32"/>
          <w:lang w:eastAsia="zh-CN"/>
        </w:rPr>
        <w:t>，非紧迫性支出</w:t>
      </w:r>
      <w:r>
        <w:rPr>
          <w:rFonts w:hint="eastAsia" w:ascii="仿宋" w:hAnsi="仿宋" w:eastAsia="仿宋" w:cs="仿宋"/>
          <w:sz w:val="32"/>
          <w:szCs w:val="32"/>
          <w:lang w:val="en-US" w:eastAsia="zh-CN"/>
        </w:rPr>
        <w:t>项目暂缓开展等问题，预算编制工作仍需进一步细化。</w:t>
      </w:r>
    </w:p>
    <w:p>
      <w:pPr>
        <w:keepNext w:val="0"/>
        <w:keepLines w:val="0"/>
        <w:pageBreakBefore w:val="0"/>
        <w:widowControl w:val="0"/>
        <w:kinsoku/>
        <w:wordWrap/>
        <w:overflowPunct/>
        <w:topLinePunct w:val="0"/>
        <w:autoSpaceDE/>
        <w:autoSpaceDN/>
        <w:bidi w:val="0"/>
        <w:adjustRightInd/>
        <w:snapToGrid w:val="0"/>
        <w:spacing w:before="120" w:after="120"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（二）整改措施及结果应用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细化预算编制工作，认真做好预算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2、加强培训和业务理论学习，特别是针对《中华人民共和国预算法》</w:t>
      </w:r>
      <w:bookmarkStart w:id="2" w:name="_GoBack"/>
      <w:bookmarkEnd w:id="2"/>
      <w:r>
        <w:rPr>
          <w:rFonts w:hint="eastAsia" w:ascii="仿宋" w:hAnsi="仿宋" w:eastAsia="仿宋" w:cs="仿宋"/>
          <w:sz w:val="32"/>
          <w:szCs w:val="32"/>
          <w:lang w:val="en-US" w:eastAsia="zh-CN"/>
        </w:rPr>
        <w:t>、《高阳县预算绩效管理工作手册》、《内部控制手册》等学习培训，规范部门</w:t>
      </w:r>
      <w:r>
        <w:rPr>
          <w:rFonts w:hint="eastAsia" w:ascii="仿宋" w:hAnsi="仿宋" w:eastAsia="仿宋" w:cs="仿宋"/>
          <w:sz w:val="32"/>
          <w:szCs w:val="32"/>
          <w:highlight w:val="none"/>
          <w:lang w:eastAsia="zh-CN"/>
        </w:rPr>
        <w:t>预算收支核算，切实提高部门预算收支管理水平。</w:t>
      </w:r>
    </w:p>
    <w:p>
      <w:pPr>
        <w:keepNext w:val="0"/>
        <w:keepLines w:val="0"/>
        <w:pageBreakBefore w:val="0"/>
        <w:widowControl w:val="0"/>
        <w:kinsoku/>
        <w:wordWrap/>
        <w:overflowPunct/>
        <w:topLinePunct w:val="0"/>
        <w:autoSpaceDE/>
        <w:autoSpaceDN/>
        <w:bidi w:val="0"/>
        <w:adjustRightInd/>
        <w:snapToGrid w:val="0"/>
        <w:spacing w:before="120" w:after="120"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3、加强财务管理，严格财务审核。加强单位财务管理，健全单位财务管理制度体系，规范单位财务行为。</w:t>
      </w:r>
    </w:p>
    <w:p>
      <w:pPr>
        <w:keepNext w:val="0"/>
        <w:keepLines w:val="0"/>
        <w:pageBreakBefore w:val="0"/>
        <w:widowControl w:val="0"/>
        <w:kinsoku/>
        <w:wordWrap/>
        <w:overflowPunct/>
        <w:topLinePunct w:val="0"/>
        <w:autoSpaceDE/>
        <w:autoSpaceDN/>
        <w:bidi w:val="0"/>
        <w:adjustRightInd/>
        <w:snapToGrid w:val="0"/>
        <w:spacing w:before="120" w:after="120"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4、不断完善绩效评价指标体系，逐步建立适合我单位特点的绩效评价体系。在实施过程中严格执行规定程序，评价符合真实、客观、公正的要求，对自评中发现的问题及时整改，为预算管理提供坚实保障。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highlight w:val="yellow"/>
          <w:lang w:val="en-US" w:eastAsia="zh-CN"/>
        </w:rPr>
      </w:pPr>
    </w:p>
    <w:p>
      <w:pPr>
        <w:pStyle w:val="2"/>
        <w:rPr>
          <w:rFonts w:hint="eastAsia" w:ascii="仿宋" w:hAnsi="仿宋" w:eastAsia="仿宋" w:cs="仿宋"/>
          <w:sz w:val="32"/>
          <w:szCs w:val="32"/>
          <w:highlight w:val="yellow"/>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120" w:after="120" w:line="360" w:lineRule="auto"/>
        <w:ind w:firstLine="640" w:firstLineChars="200"/>
        <w:jc w:val="right"/>
        <w:textAlignment w:val="auto"/>
        <w:rPr>
          <w:rFonts w:hint="eastAsia" w:ascii="仿宋" w:hAnsi="仿宋" w:eastAsia="仿宋" w:cs="仿宋"/>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val="0"/>
        <w:spacing w:before="120" w:after="120" w:line="360" w:lineRule="auto"/>
        <w:ind w:firstLine="640" w:firstLineChars="200"/>
        <w:jc w:val="right"/>
        <w:textAlignment w:val="auto"/>
        <w:rPr>
          <w:rFonts w:hint="default" w:ascii="仿宋" w:hAnsi="仿宋" w:eastAsia="仿宋" w:cs="仿宋"/>
          <w:sz w:val="32"/>
          <w:szCs w:val="32"/>
          <w:highlight w:val="none"/>
          <w:lang w:val="en-US" w:eastAsia="zh-CN"/>
        </w:rPr>
      </w:pPr>
    </w:p>
    <w:sectPr>
      <w:pgSz w:w="11906" w:h="16838"/>
      <w:pgMar w:top="2041" w:right="1304"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0NmM1MWZmNGE0NzkzZWJiMzVkYzNiNDQ4OWFmYzUifQ=="/>
  </w:docVars>
  <w:rsids>
    <w:rsidRoot w:val="00EF16A3"/>
    <w:rsid w:val="0003266D"/>
    <w:rsid w:val="000B5213"/>
    <w:rsid w:val="001627CF"/>
    <w:rsid w:val="00176210"/>
    <w:rsid w:val="001D2D4C"/>
    <w:rsid w:val="002B509A"/>
    <w:rsid w:val="00383AC5"/>
    <w:rsid w:val="003A03E0"/>
    <w:rsid w:val="003B412A"/>
    <w:rsid w:val="00432709"/>
    <w:rsid w:val="0047487F"/>
    <w:rsid w:val="00491FCD"/>
    <w:rsid w:val="004E6C05"/>
    <w:rsid w:val="004F6F9F"/>
    <w:rsid w:val="00546BCB"/>
    <w:rsid w:val="005C236C"/>
    <w:rsid w:val="005C5417"/>
    <w:rsid w:val="005E6EC9"/>
    <w:rsid w:val="00665896"/>
    <w:rsid w:val="00693A60"/>
    <w:rsid w:val="006E7D57"/>
    <w:rsid w:val="0071336C"/>
    <w:rsid w:val="0071475B"/>
    <w:rsid w:val="00793214"/>
    <w:rsid w:val="007D43DA"/>
    <w:rsid w:val="007E50DB"/>
    <w:rsid w:val="007E661D"/>
    <w:rsid w:val="007F4797"/>
    <w:rsid w:val="007F5EE6"/>
    <w:rsid w:val="0081530B"/>
    <w:rsid w:val="008C31C3"/>
    <w:rsid w:val="008E0E58"/>
    <w:rsid w:val="00941865"/>
    <w:rsid w:val="00986803"/>
    <w:rsid w:val="0099577A"/>
    <w:rsid w:val="009F1522"/>
    <w:rsid w:val="00A06D88"/>
    <w:rsid w:val="00A909F6"/>
    <w:rsid w:val="00AB70A8"/>
    <w:rsid w:val="00AF5C06"/>
    <w:rsid w:val="00B0713E"/>
    <w:rsid w:val="00B20499"/>
    <w:rsid w:val="00B8177D"/>
    <w:rsid w:val="00B86365"/>
    <w:rsid w:val="00BA723B"/>
    <w:rsid w:val="00BE032C"/>
    <w:rsid w:val="00C242EC"/>
    <w:rsid w:val="00CE156F"/>
    <w:rsid w:val="00D43ED6"/>
    <w:rsid w:val="00DA1AC7"/>
    <w:rsid w:val="00DC2768"/>
    <w:rsid w:val="00DE50A2"/>
    <w:rsid w:val="00DF6FF4"/>
    <w:rsid w:val="00E57322"/>
    <w:rsid w:val="00E841B7"/>
    <w:rsid w:val="00E963F0"/>
    <w:rsid w:val="00ED5E84"/>
    <w:rsid w:val="00EE0B52"/>
    <w:rsid w:val="00EF16A3"/>
    <w:rsid w:val="00F57E52"/>
    <w:rsid w:val="01321862"/>
    <w:rsid w:val="03AA3726"/>
    <w:rsid w:val="05474597"/>
    <w:rsid w:val="058714FE"/>
    <w:rsid w:val="05B169B8"/>
    <w:rsid w:val="05F91A40"/>
    <w:rsid w:val="086054CD"/>
    <w:rsid w:val="094A4744"/>
    <w:rsid w:val="0AA70424"/>
    <w:rsid w:val="0B9A495D"/>
    <w:rsid w:val="0BF7796E"/>
    <w:rsid w:val="0C6E5BC8"/>
    <w:rsid w:val="0CE00213"/>
    <w:rsid w:val="0CF837EB"/>
    <w:rsid w:val="0FE97C61"/>
    <w:rsid w:val="10CF32FA"/>
    <w:rsid w:val="10F176DA"/>
    <w:rsid w:val="11C93BEA"/>
    <w:rsid w:val="11EC71DC"/>
    <w:rsid w:val="12FC574E"/>
    <w:rsid w:val="133B0F9C"/>
    <w:rsid w:val="13CD6F7C"/>
    <w:rsid w:val="14261483"/>
    <w:rsid w:val="15B24AB7"/>
    <w:rsid w:val="161C6D19"/>
    <w:rsid w:val="16A44AC9"/>
    <w:rsid w:val="18876269"/>
    <w:rsid w:val="188C387F"/>
    <w:rsid w:val="18BF1760"/>
    <w:rsid w:val="199537BF"/>
    <w:rsid w:val="1AA01BE0"/>
    <w:rsid w:val="1BA818C9"/>
    <w:rsid w:val="1C5314B1"/>
    <w:rsid w:val="1CBB11C7"/>
    <w:rsid w:val="1DD7245C"/>
    <w:rsid w:val="1E5E218D"/>
    <w:rsid w:val="1F4C78B0"/>
    <w:rsid w:val="1F5A593E"/>
    <w:rsid w:val="21236E01"/>
    <w:rsid w:val="22992E4B"/>
    <w:rsid w:val="22C91D77"/>
    <w:rsid w:val="22F12ACB"/>
    <w:rsid w:val="231921B3"/>
    <w:rsid w:val="231D37B2"/>
    <w:rsid w:val="25B12B77"/>
    <w:rsid w:val="25F32F6D"/>
    <w:rsid w:val="261D6164"/>
    <w:rsid w:val="26FA2944"/>
    <w:rsid w:val="2903616D"/>
    <w:rsid w:val="297C7961"/>
    <w:rsid w:val="2A4F5761"/>
    <w:rsid w:val="2B731BB3"/>
    <w:rsid w:val="2C8575AC"/>
    <w:rsid w:val="2CEB4BC0"/>
    <w:rsid w:val="2D2E7DF5"/>
    <w:rsid w:val="3138414C"/>
    <w:rsid w:val="338401E9"/>
    <w:rsid w:val="356F6F98"/>
    <w:rsid w:val="3579545F"/>
    <w:rsid w:val="3592207D"/>
    <w:rsid w:val="35953D68"/>
    <w:rsid w:val="36BF604D"/>
    <w:rsid w:val="373F51A3"/>
    <w:rsid w:val="375717D0"/>
    <w:rsid w:val="380864D5"/>
    <w:rsid w:val="380E037B"/>
    <w:rsid w:val="38297F3C"/>
    <w:rsid w:val="388B0F8F"/>
    <w:rsid w:val="38976493"/>
    <w:rsid w:val="3A4F7B0F"/>
    <w:rsid w:val="3B451940"/>
    <w:rsid w:val="3D694282"/>
    <w:rsid w:val="3E1B3990"/>
    <w:rsid w:val="3E381148"/>
    <w:rsid w:val="417411D1"/>
    <w:rsid w:val="42FD0C87"/>
    <w:rsid w:val="432D727E"/>
    <w:rsid w:val="437B6846"/>
    <w:rsid w:val="445C3E94"/>
    <w:rsid w:val="44AC3AD9"/>
    <w:rsid w:val="45DA227D"/>
    <w:rsid w:val="4904599C"/>
    <w:rsid w:val="4A8107C8"/>
    <w:rsid w:val="4B271062"/>
    <w:rsid w:val="4BA97CC9"/>
    <w:rsid w:val="4C2A0E0A"/>
    <w:rsid w:val="4CD15729"/>
    <w:rsid w:val="4F083BE4"/>
    <w:rsid w:val="4F5F7F55"/>
    <w:rsid w:val="4FF34542"/>
    <w:rsid w:val="50F6575E"/>
    <w:rsid w:val="514B1F3F"/>
    <w:rsid w:val="51D41D38"/>
    <w:rsid w:val="526E1C8F"/>
    <w:rsid w:val="52A42F98"/>
    <w:rsid w:val="52F31E79"/>
    <w:rsid w:val="5300717F"/>
    <w:rsid w:val="53557158"/>
    <w:rsid w:val="55C57B92"/>
    <w:rsid w:val="566B1B34"/>
    <w:rsid w:val="57EF588A"/>
    <w:rsid w:val="590E2375"/>
    <w:rsid w:val="597C07CB"/>
    <w:rsid w:val="5B164869"/>
    <w:rsid w:val="5C6E63DA"/>
    <w:rsid w:val="5CB169DD"/>
    <w:rsid w:val="5CC7761B"/>
    <w:rsid w:val="5D136571"/>
    <w:rsid w:val="5F526D02"/>
    <w:rsid w:val="5F553E5C"/>
    <w:rsid w:val="5F8E3EFD"/>
    <w:rsid w:val="5FC4513D"/>
    <w:rsid w:val="621973D2"/>
    <w:rsid w:val="64FB189E"/>
    <w:rsid w:val="65042353"/>
    <w:rsid w:val="674029B8"/>
    <w:rsid w:val="67AD2BC2"/>
    <w:rsid w:val="68346F4E"/>
    <w:rsid w:val="689C463C"/>
    <w:rsid w:val="68C82EF0"/>
    <w:rsid w:val="69012A9A"/>
    <w:rsid w:val="699163F6"/>
    <w:rsid w:val="69FF699E"/>
    <w:rsid w:val="6BB838E4"/>
    <w:rsid w:val="6D48513C"/>
    <w:rsid w:val="6DE8462B"/>
    <w:rsid w:val="6E597525"/>
    <w:rsid w:val="6E750EF6"/>
    <w:rsid w:val="71744751"/>
    <w:rsid w:val="71786332"/>
    <w:rsid w:val="75B50420"/>
    <w:rsid w:val="76583042"/>
    <w:rsid w:val="78085BF3"/>
    <w:rsid w:val="78132BF9"/>
    <w:rsid w:val="79E8198A"/>
    <w:rsid w:val="7A5769BE"/>
    <w:rsid w:val="7C044924"/>
    <w:rsid w:val="7CDA0947"/>
    <w:rsid w:val="7D162B61"/>
    <w:rsid w:val="7E446301"/>
    <w:rsid w:val="7F104299"/>
    <w:rsid w:val="7F54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toc 2"/>
    <w:basedOn w:val="1"/>
    <w:next w:val="1"/>
    <w:autoRedefine/>
    <w:qFormat/>
    <w:uiPriority w:val="0"/>
    <w:pPr>
      <w:ind w:left="420" w:leftChars="200"/>
    </w:p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autoRedefine/>
    <w:qFormat/>
    <w:uiPriority w:val="99"/>
    <w:rPr>
      <w:sz w:val="18"/>
      <w:szCs w:val="18"/>
    </w:rPr>
  </w:style>
  <w:style w:type="paragraph" w:customStyle="1" w:styleId="10">
    <w:name w:val="插入文本样式-插入总体目标文件"/>
    <w:basedOn w:val="1"/>
    <w:autoRedefine/>
    <w:qFormat/>
    <w:uiPriority w:val="0"/>
    <w:pPr>
      <w:spacing w:line="500" w:lineRule="exact"/>
      <w:ind w:firstLine="560"/>
    </w:pPr>
    <w:rPr>
      <w:rFonts w:eastAsia="方正仿宋_GBK"/>
      <w:sz w:val="28"/>
    </w:rPr>
  </w:style>
  <w:style w:type="paragraph" w:customStyle="1" w:styleId="11">
    <w:name w:val="插入文本样式-插入职责分类绩效目标文件"/>
    <w:basedOn w:val="1"/>
    <w:autoRedefine/>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9</Pages>
  <Words>3550</Words>
  <Characters>3703</Characters>
  <Lines>2</Lines>
  <Paragraphs>1</Paragraphs>
  <TotalTime>3</TotalTime>
  <ScaleCrop>false</ScaleCrop>
  <LinksUpToDate>false</LinksUpToDate>
  <CharactersWithSpaces>3703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Administrator</cp:lastModifiedBy>
  <cp:lastPrinted>2020-01-06T00:47:00Z</cp:lastPrinted>
  <dcterms:modified xsi:type="dcterms:W3CDTF">2024-01-10T08:51:59Z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77FCB6B4B78640D3B21873260BEB328D</vt:lpwstr>
  </property>
</Properties>
</file>