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0DFD0">
      <w:pPr>
        <w:snapToGrid w:val="0"/>
        <w:spacing w:line="580" w:lineRule="exact"/>
        <w:jc w:val="center"/>
        <w:rPr>
          <w:rFonts w:hint="eastAsia" w:ascii="方正小标宋_GBK" w:hAnsi="宋体" w:eastAsia="方正小标宋_GBK" w:cs="Tahoma"/>
          <w:kern w:val="0"/>
          <w:sz w:val="44"/>
          <w:szCs w:val="44"/>
          <w:lang w:val="en-US" w:eastAsia="zh-CN"/>
        </w:rPr>
      </w:pPr>
      <w:r>
        <w:rPr>
          <w:rFonts w:hint="eastAsia" w:ascii="方正小标宋_GBK" w:hAnsi="宋体" w:eastAsia="方正小标宋_GBK" w:cs="Tahoma"/>
          <w:kern w:val="0"/>
          <w:sz w:val="44"/>
          <w:szCs w:val="44"/>
          <w:lang w:val="en-US" w:eastAsia="zh-CN"/>
        </w:rPr>
        <w:t>高阳县市场监督管理局</w:t>
      </w:r>
    </w:p>
    <w:p w14:paraId="5E8DA85E">
      <w:pPr>
        <w:snapToGrid w:val="0"/>
        <w:spacing w:line="580" w:lineRule="exact"/>
        <w:jc w:val="center"/>
        <w:rPr>
          <w:rFonts w:ascii="方正小标宋_GBK" w:hAnsi="宋体" w:eastAsia="方正小标宋_GBK"/>
          <w:sz w:val="44"/>
          <w:szCs w:val="44"/>
        </w:rPr>
      </w:pPr>
      <w:r>
        <w:rPr>
          <w:rFonts w:hint="eastAsia" w:ascii="方正小标宋_GBK" w:hAnsi="宋体" w:eastAsia="方正小标宋_GBK" w:cs="Tahoma"/>
          <w:kern w:val="0"/>
          <w:sz w:val="44"/>
          <w:szCs w:val="44"/>
        </w:rPr>
        <w:t>2022年度</w:t>
      </w:r>
      <w:r>
        <w:rPr>
          <w:rFonts w:hint="eastAsia" w:ascii="方正小标宋_GBK" w:hAnsi="宋体" w:eastAsia="方正小标宋_GBK" w:cs="Tahoma"/>
          <w:kern w:val="0"/>
          <w:sz w:val="44"/>
          <w:szCs w:val="44"/>
          <w:lang w:val="en-US" w:eastAsia="zh-CN"/>
        </w:rPr>
        <w:t>部门</w:t>
      </w:r>
      <w:r>
        <w:rPr>
          <w:rFonts w:hint="eastAsia" w:ascii="方正小标宋_GBK" w:hAnsi="宋体" w:eastAsia="方正小标宋_GBK" w:cs="Tahoma"/>
          <w:kern w:val="0"/>
          <w:sz w:val="44"/>
          <w:szCs w:val="44"/>
        </w:rPr>
        <w:t>整体</w:t>
      </w:r>
      <w:r>
        <w:rPr>
          <w:rFonts w:hint="eastAsia" w:ascii="方正小标宋_GBK" w:hAnsi="宋体" w:eastAsia="方正小标宋_GBK"/>
          <w:sz w:val="44"/>
          <w:szCs w:val="44"/>
        </w:rPr>
        <w:t>绩效自评工作报告</w:t>
      </w:r>
    </w:p>
    <w:p w14:paraId="107EF29A">
      <w:pPr>
        <w:rPr>
          <w:rFonts w:hint="eastAsia" w:ascii="仿宋" w:hAnsi="仿宋" w:eastAsia="仿宋"/>
          <w:sz w:val="32"/>
          <w:szCs w:val="32"/>
        </w:rPr>
      </w:pPr>
    </w:p>
    <w:p w14:paraId="321851D9">
      <w:pPr>
        <w:snapToGrid w:val="0"/>
        <w:spacing w:line="580" w:lineRule="exact"/>
        <w:ind w:firstLine="64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财政局：</w:t>
      </w:r>
    </w:p>
    <w:p w14:paraId="7A691444">
      <w:pPr>
        <w:snapToGrid w:val="0"/>
        <w:spacing w:line="580" w:lineRule="exact"/>
        <w:ind w:firstLine="64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按照财政局《关于做好20</w:t>
      </w:r>
      <w:r>
        <w:rPr>
          <w:rFonts w:hint="eastAsia" w:ascii="方正仿宋_GBK" w:hAnsi="宋体" w:eastAsia="方正仿宋_GBK" w:cs="Times New Roman"/>
          <w:sz w:val="32"/>
          <w:szCs w:val="32"/>
          <w:lang w:val="en-US" w:eastAsia="zh-CN"/>
        </w:rPr>
        <w:t>22</w:t>
      </w:r>
      <w:r>
        <w:rPr>
          <w:rFonts w:hint="eastAsia" w:ascii="方正仿宋_GBK" w:hAnsi="宋体" w:eastAsia="方正仿宋_GBK" w:cs="Times New Roman"/>
          <w:sz w:val="32"/>
          <w:szCs w:val="32"/>
        </w:rPr>
        <w:t>年度县级预算</w:t>
      </w:r>
      <w:r>
        <w:rPr>
          <w:rFonts w:hint="eastAsia" w:ascii="方正仿宋_GBK" w:hAnsi="宋体" w:eastAsia="方正仿宋_GBK" w:cs="Times New Roman"/>
          <w:sz w:val="32"/>
          <w:szCs w:val="32"/>
          <w:lang w:val="en-US" w:eastAsia="zh-CN"/>
        </w:rPr>
        <w:t>部门整体支出</w:t>
      </w:r>
      <w:r>
        <w:rPr>
          <w:rFonts w:hint="eastAsia" w:ascii="方正仿宋_GBK" w:hAnsi="宋体" w:eastAsia="方正仿宋_GBK" w:cs="Times New Roman"/>
          <w:sz w:val="32"/>
          <w:szCs w:val="32"/>
        </w:rPr>
        <w:t>绩效自评工作的通知》（高财</w:t>
      </w:r>
      <w:r>
        <w:rPr>
          <w:rFonts w:hint="eastAsia" w:ascii="方正仿宋_GBK" w:hAnsi="宋体" w:eastAsia="方正仿宋_GBK" w:cs="Times New Roman"/>
          <w:sz w:val="32"/>
          <w:szCs w:val="32"/>
          <w:lang w:val="en-US" w:eastAsia="zh-CN"/>
        </w:rPr>
        <w:t>稽查[</w:t>
      </w:r>
      <w:r>
        <w:rPr>
          <w:rFonts w:hint="eastAsia" w:ascii="方正仿宋_GBK" w:hAnsi="宋体" w:eastAsia="方正仿宋_GBK" w:cs="Times New Roman"/>
          <w:sz w:val="32"/>
          <w:szCs w:val="32"/>
        </w:rPr>
        <w:t>202</w:t>
      </w:r>
      <w:r>
        <w:rPr>
          <w:rFonts w:hint="eastAsia" w:ascii="方正仿宋_GBK" w:hAnsi="宋体" w:eastAsia="方正仿宋_GBK" w:cs="Times New Roman"/>
          <w:sz w:val="32"/>
          <w:szCs w:val="32"/>
          <w:lang w:val="en-US" w:eastAsia="zh-CN"/>
        </w:rPr>
        <w:t>3]1</w:t>
      </w:r>
      <w:r>
        <w:rPr>
          <w:rFonts w:hint="eastAsia" w:ascii="方正仿宋_GBK" w:hAnsi="宋体" w:eastAsia="方正仿宋_GBK" w:cs="Times New Roman"/>
          <w:sz w:val="32"/>
          <w:szCs w:val="32"/>
        </w:rPr>
        <w:t>号）要求，我局对20</w:t>
      </w:r>
      <w:r>
        <w:rPr>
          <w:rFonts w:hint="eastAsia" w:ascii="方正仿宋_GBK" w:hAnsi="宋体" w:eastAsia="方正仿宋_GBK" w:cs="Times New Roman"/>
          <w:sz w:val="32"/>
          <w:szCs w:val="32"/>
          <w:lang w:val="en-US" w:eastAsia="zh-CN"/>
        </w:rPr>
        <w:t>22</w:t>
      </w:r>
      <w:r>
        <w:rPr>
          <w:rFonts w:hint="eastAsia" w:ascii="方正仿宋_GBK" w:hAnsi="宋体" w:eastAsia="方正仿宋_GBK" w:cs="Times New Roman"/>
          <w:sz w:val="32"/>
          <w:szCs w:val="32"/>
        </w:rPr>
        <w:t>年以来所有预算项目资金进行了认真梳理，对所有专项资金绩效运行进行了核查评估，情况如下：</w:t>
      </w:r>
    </w:p>
    <w:p w14:paraId="2FDB5183">
      <w:pPr>
        <w:snapToGrid w:val="0"/>
        <w:spacing w:line="580" w:lineRule="exact"/>
        <w:ind w:firstLine="640"/>
        <w:rPr>
          <w:rFonts w:ascii="方正黑体_GBK" w:hAnsi="宋体" w:eastAsia="方正黑体_GBK"/>
          <w:sz w:val="32"/>
          <w:szCs w:val="32"/>
        </w:rPr>
      </w:pPr>
      <w:r>
        <w:rPr>
          <w:rFonts w:hint="eastAsia" w:ascii="方正黑体_GBK" w:hAnsi="宋体" w:eastAsia="方正黑体_GBK"/>
          <w:sz w:val="32"/>
          <w:szCs w:val="32"/>
        </w:rPr>
        <w:t>一、绩效自评工作组织开展情况</w:t>
      </w:r>
    </w:p>
    <w:p w14:paraId="3A2B9FF0">
      <w:pPr>
        <w:pStyle w:val="10"/>
        <w:shd w:val="clear" w:color="auto" w:fill="FFFFFF"/>
        <w:snapToGrid w:val="0"/>
        <w:spacing w:before="0" w:beforeAutospacing="0" w:after="0" w:afterAutospacing="0" w:line="560" w:lineRule="exact"/>
        <w:ind w:firstLine="64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202</w:t>
      </w:r>
      <w:r>
        <w:rPr>
          <w:rFonts w:hint="eastAsia" w:ascii="方正仿宋_GBK" w:eastAsia="方正仿宋_GBK" w:cs="Times New Roman"/>
          <w:kern w:val="2"/>
          <w:sz w:val="32"/>
          <w:szCs w:val="32"/>
          <w:lang w:val="en-US" w:eastAsia="zh-CN" w:bidi="ar-SA"/>
        </w:rPr>
        <w:t>2</w:t>
      </w:r>
      <w:r>
        <w:rPr>
          <w:rFonts w:hint="eastAsia" w:ascii="方正仿宋_GBK" w:hAnsi="宋体" w:eastAsia="方正仿宋_GBK" w:cs="Times New Roman"/>
          <w:kern w:val="2"/>
          <w:sz w:val="32"/>
          <w:szCs w:val="32"/>
          <w:lang w:val="en-US" w:eastAsia="zh-CN" w:bidi="ar-SA"/>
        </w:rPr>
        <w:t>年，我局在县委、县政府的正确领导下，以贯彻落实党的十九大精神为指导，继续加强事中事后监管，提高服务质量，加强各类市场专项整治，不断优化营商环境，规范经营行为，为我县经济持续健康发展保驾护航。依照市局《财务管理办法》和《专项资金管理办法》成立以主管局长为组长，财务股股长为副组长，其他职员为成员的绩效自评领导小组对每一项项目工作进行认真细致的评价。</w:t>
      </w:r>
    </w:p>
    <w:p w14:paraId="3E2397C6">
      <w:pPr>
        <w:pStyle w:val="10"/>
        <w:shd w:val="clear" w:color="auto" w:fill="FFFFFF"/>
        <w:snapToGrid w:val="0"/>
        <w:spacing w:before="0" w:beforeAutospacing="0" w:after="0" w:afterAutospacing="0" w:line="560" w:lineRule="exact"/>
        <w:ind w:firstLine="64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根据预算绩效管理要求，本部门组织对202</w:t>
      </w:r>
      <w:r>
        <w:rPr>
          <w:rFonts w:hint="eastAsia" w:ascii="方正仿宋_GBK" w:eastAsia="方正仿宋_GBK" w:cs="Times New Roman"/>
          <w:kern w:val="2"/>
          <w:sz w:val="32"/>
          <w:szCs w:val="32"/>
          <w:lang w:val="en-US" w:eastAsia="zh-CN" w:bidi="ar-SA"/>
        </w:rPr>
        <w:t>2</w:t>
      </w:r>
      <w:r>
        <w:rPr>
          <w:rFonts w:hint="eastAsia" w:ascii="方正仿宋_GBK" w:hAnsi="宋体" w:eastAsia="方正仿宋_GBK" w:cs="Times New Roman"/>
          <w:kern w:val="2"/>
          <w:sz w:val="32"/>
          <w:szCs w:val="32"/>
          <w:lang w:val="en-US" w:eastAsia="zh-CN" w:bidi="ar-SA"/>
        </w:rPr>
        <w:t>年度一般公共预算项目支出全面开展绩效自评，本年度我部门开展项目</w:t>
      </w:r>
      <w:r>
        <w:rPr>
          <w:rFonts w:hint="eastAsia" w:ascii="方正仿宋_GBK" w:eastAsia="方正仿宋_GBK" w:cs="Times New Roman"/>
          <w:kern w:val="2"/>
          <w:sz w:val="32"/>
          <w:szCs w:val="32"/>
          <w:lang w:val="en-US" w:eastAsia="zh-CN" w:bidi="ar-SA"/>
        </w:rPr>
        <w:t>12</w:t>
      </w:r>
      <w:r>
        <w:rPr>
          <w:rFonts w:hint="eastAsia" w:ascii="方正仿宋_GBK" w:hAnsi="宋体" w:eastAsia="方正仿宋_GBK" w:cs="Times New Roman"/>
          <w:kern w:val="2"/>
          <w:sz w:val="32"/>
          <w:szCs w:val="32"/>
          <w:lang w:val="en-US" w:eastAsia="zh-CN" w:bidi="ar-SA"/>
        </w:rPr>
        <w:t>个，共涉及资金</w:t>
      </w:r>
      <w:r>
        <w:rPr>
          <w:rFonts w:hint="eastAsia" w:ascii="方正仿宋_GBK" w:eastAsia="方正仿宋_GBK" w:cs="Times New Roman"/>
          <w:kern w:val="2"/>
          <w:sz w:val="32"/>
          <w:szCs w:val="32"/>
          <w:lang w:val="en-US" w:eastAsia="zh-CN" w:bidi="ar-SA"/>
        </w:rPr>
        <w:t>665.22287</w:t>
      </w:r>
      <w:r>
        <w:rPr>
          <w:rFonts w:hint="eastAsia" w:ascii="方正仿宋_GBK" w:hAnsi="宋体" w:eastAsia="方正仿宋_GBK" w:cs="Times New Roman"/>
          <w:kern w:val="2"/>
          <w:sz w:val="32"/>
          <w:szCs w:val="32"/>
          <w:lang w:val="en-US" w:eastAsia="zh-CN" w:bidi="ar-SA"/>
        </w:rPr>
        <w:t>万元，占一般公共预算项目支出总额的100%。从评价情况来看，202</w:t>
      </w:r>
      <w:r>
        <w:rPr>
          <w:rFonts w:hint="eastAsia" w:ascii="方正仿宋_GBK" w:eastAsia="方正仿宋_GBK" w:cs="Times New Roman"/>
          <w:kern w:val="2"/>
          <w:sz w:val="32"/>
          <w:szCs w:val="32"/>
          <w:lang w:val="en-US" w:eastAsia="zh-CN" w:bidi="ar-SA"/>
        </w:rPr>
        <w:t>2</w:t>
      </w:r>
      <w:r>
        <w:rPr>
          <w:rFonts w:hint="eastAsia" w:ascii="方正仿宋_GBK" w:hAnsi="宋体" w:eastAsia="方正仿宋_GBK" w:cs="Times New Roman"/>
          <w:kern w:val="2"/>
          <w:sz w:val="32"/>
          <w:szCs w:val="32"/>
          <w:lang w:val="en-US" w:eastAsia="zh-CN" w:bidi="ar-SA"/>
        </w:rPr>
        <w:t>年度，我局整体支出绩效目标设定清晰准确，绩效指标基本完整合理。适用法律法规和专业知识准确，绩效标准适宜，易于评价。</w:t>
      </w:r>
    </w:p>
    <w:p w14:paraId="60E790D4">
      <w:pPr>
        <w:snapToGrid w:val="0"/>
        <w:spacing w:line="580" w:lineRule="exact"/>
        <w:ind w:firstLine="640"/>
        <w:rPr>
          <w:rFonts w:ascii="方正仿宋_GBK" w:hAnsi="宋体" w:eastAsia="方正仿宋_GBK"/>
          <w:sz w:val="32"/>
          <w:szCs w:val="32"/>
        </w:rPr>
      </w:pPr>
    </w:p>
    <w:p w14:paraId="6822143C">
      <w:pPr>
        <w:snapToGrid w:val="0"/>
        <w:spacing w:line="580" w:lineRule="exact"/>
        <w:ind w:firstLine="640"/>
        <w:rPr>
          <w:rFonts w:ascii="方正黑体_GBK" w:hAnsi="宋体" w:eastAsia="方正黑体_GBK"/>
          <w:sz w:val="32"/>
          <w:szCs w:val="32"/>
        </w:rPr>
      </w:pPr>
      <w:r>
        <w:rPr>
          <w:rFonts w:hint="eastAsia" w:ascii="方正黑体_GBK" w:hAnsi="宋体" w:eastAsia="方正黑体_GBK"/>
          <w:sz w:val="32"/>
          <w:szCs w:val="32"/>
        </w:rPr>
        <w:t>二、绩效目标实现情况</w:t>
      </w:r>
    </w:p>
    <w:p w14:paraId="7819FF56">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一、质量发展方面</w:t>
      </w:r>
    </w:p>
    <w:p w14:paraId="58445092">
      <w:pPr>
        <w:keepNext w:val="0"/>
        <w:keepLines w:val="0"/>
        <w:pageBreakBefore w:val="0"/>
        <w:widowControl w:val="0"/>
        <w:kinsoku/>
        <w:wordWrap/>
        <w:overflowPunct/>
        <w:topLinePunct w:val="0"/>
        <w:autoSpaceDE/>
        <w:autoSpaceDN/>
        <w:bidi w:val="0"/>
        <w:adjustRightInd w:val="0"/>
        <w:snapToGrid w:val="0"/>
        <w:spacing w:line="560" w:lineRule="exact"/>
        <w:ind w:left="0" w:firstLine="640"/>
        <w:jc w:val="left"/>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（一）工作开展情况</w:t>
      </w:r>
    </w:p>
    <w:p w14:paraId="7CA5F0DE">
      <w:pPr>
        <w:keepNext w:val="0"/>
        <w:keepLines w:val="0"/>
        <w:pageBreakBefore w:val="0"/>
        <w:widowControl w:val="0"/>
        <w:kinsoku/>
        <w:wordWrap/>
        <w:overflowPunct/>
        <w:topLinePunct w:val="0"/>
        <w:autoSpaceDE/>
        <w:autoSpaceDN/>
        <w:bidi w:val="0"/>
        <w:adjustRightInd w:val="0"/>
        <w:snapToGrid w:val="0"/>
        <w:spacing w:line="560" w:lineRule="exact"/>
        <w:ind w:left="0" w:firstLine="640"/>
        <w:jc w:val="left"/>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积极开展“一站式”服务。通过广泛调研，截至目前我局已走访旭生纺织、昌泰弹簧、天丰农业、硕丰农产、嘉丰食品、瑞春纺织等二十余家企业和团体，开展质量管理、品牌培育、标准制修订、小微企业质量认证、市、县政府质量奖申报、首席质量官设立等多方面的“一站式”帮扶行动，现场为企业答疑解惑，组织质量专家进行后续研讨，旨在帮助企业产品质量提档升级，提升企业生产管理水平，提高品牌竞争力。</w:t>
      </w:r>
    </w:p>
    <w:p w14:paraId="4E5A6913">
      <w:pPr>
        <w:pStyle w:val="12"/>
        <w:keepNext w:val="0"/>
        <w:keepLines w:val="0"/>
        <w:pageBreakBefore w:val="0"/>
        <w:widowControl w:val="0"/>
        <w:kinsoku/>
        <w:wordWrap/>
        <w:overflowPunct/>
        <w:topLinePunct w:val="0"/>
        <w:autoSpaceDE/>
        <w:autoSpaceDN/>
        <w:bidi w:val="0"/>
        <w:adjustRightInd w:val="0"/>
        <w:snapToGrid w:val="0"/>
        <w:spacing w:after="0" w:line="560" w:lineRule="exact"/>
        <w:ind w:left="0"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充分发挥县质强办的组织协调职能。在质量强县考核方面真正做到了考前调度、考后分析，全面加强各单位的争先创优意识，在一月份开展的2021年度质量强县考核中，我县排名第十；在2022年一季度质量强县考核中，我县排名第四，实现了县委县政府“保七争五进三”的工作目标。</w:t>
      </w:r>
    </w:p>
    <w:p w14:paraId="366DA4BF">
      <w:pPr>
        <w:pStyle w:val="12"/>
        <w:keepNext w:val="0"/>
        <w:keepLines w:val="0"/>
        <w:pageBreakBefore w:val="0"/>
        <w:widowControl w:val="0"/>
        <w:kinsoku/>
        <w:wordWrap/>
        <w:overflowPunct/>
        <w:topLinePunct w:val="0"/>
        <w:autoSpaceDE/>
        <w:autoSpaceDN/>
        <w:bidi w:val="0"/>
        <w:adjustRightInd w:val="0"/>
        <w:snapToGrid w:val="0"/>
        <w:spacing w:after="0" w:line="560" w:lineRule="exact"/>
        <w:ind w:left="0"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积极开展“质量月”活动。一是高阳县质强办印发《高阳县质量强县战略领导小组办公室关于开展2022年“质量月”活动的通知》，组织有关单位开展质量月活动，扩大质量月活动范围及影响力，实现人人参与、人人关注的活动目的。二是市场监管局举行启动仪式暨市场监管全要素“一站式”服务工作站揭牌仪式。三是进行多种形式的宣传组织监管所在全县粘贴海报、条幅，组织机关业务股室在人民公园集中宣传并讲解质量、食药等方面知识。</w:t>
      </w:r>
    </w:p>
    <w:p w14:paraId="3D7D96F2">
      <w:pPr>
        <w:pStyle w:val="12"/>
        <w:keepNext w:val="0"/>
        <w:keepLines w:val="0"/>
        <w:pageBreakBefore w:val="0"/>
        <w:widowControl w:val="0"/>
        <w:kinsoku/>
        <w:wordWrap/>
        <w:overflowPunct/>
        <w:topLinePunct w:val="0"/>
        <w:autoSpaceDE/>
        <w:autoSpaceDN/>
        <w:bidi w:val="0"/>
        <w:adjustRightInd w:val="0"/>
        <w:snapToGrid w:val="0"/>
        <w:spacing w:after="0" w:line="560" w:lineRule="exact"/>
        <w:ind w:left="0"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强化质量监督抽检。制定《2022年外检产商品质量监督抽检计划》、《2022年纺织品（毛巾）产品质量监督抽查计划》，以抽检摸底产品质量，以抽检强化监管力度,推动区域产品质量进一步提升。截至目前，组织抽检润滑油20批次、PVC板材7批次、家用燃气灶5批次、电动蓄电池8批次、电线电缆5批次、液化气2批次、学生用品4批次、消防器材5批次、钢筋2批次、眼镜3批次、化肥12批次、毛巾390批次，《2022年外检产商品质量监督抽检计划》所定任务全部完成、《2022年纺织品（毛巾）产品质量监督抽查计划》基本完成。</w:t>
      </w:r>
    </w:p>
    <w:p w14:paraId="1574B326">
      <w:pPr>
        <w:pStyle w:val="12"/>
        <w:keepNext w:val="0"/>
        <w:keepLines w:val="0"/>
        <w:pageBreakBefore w:val="0"/>
        <w:widowControl w:val="0"/>
        <w:kinsoku/>
        <w:wordWrap/>
        <w:overflowPunct/>
        <w:topLinePunct w:val="0"/>
        <w:autoSpaceDE/>
        <w:autoSpaceDN/>
        <w:bidi w:val="0"/>
        <w:adjustRightInd w:val="0"/>
        <w:snapToGrid w:val="0"/>
        <w:spacing w:after="0" w:line="560" w:lineRule="exact"/>
        <w:ind w:left="0"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开展燃气具、醇基燃料安全风险排查活动、经查，我县无以上产品生产企业，无醇基燃料销售企业，在燃气具经销单位检查中发现三家经销单位存在销售无熄火保护装置、无中文警示说明商用燃气具的违法行为。我局依法对其进行了行政处罚，并责令其进行了整改。</w:t>
      </w:r>
    </w:p>
    <w:p w14:paraId="2DA00CE4">
      <w:pPr>
        <w:pStyle w:val="12"/>
        <w:keepNext w:val="0"/>
        <w:keepLines w:val="0"/>
        <w:pageBreakBefore w:val="0"/>
        <w:widowControl w:val="0"/>
        <w:kinsoku/>
        <w:wordWrap/>
        <w:overflowPunct/>
        <w:topLinePunct w:val="0"/>
        <w:autoSpaceDE/>
        <w:autoSpaceDN/>
        <w:bidi w:val="0"/>
        <w:adjustRightInd w:val="0"/>
        <w:snapToGrid w:val="0"/>
        <w:spacing w:after="0" w:line="560" w:lineRule="exact"/>
        <w:ind w:left="0"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二、标准化管理方面</w:t>
      </w:r>
    </w:p>
    <w:p w14:paraId="6586FD51">
      <w:pPr>
        <w:pStyle w:val="12"/>
        <w:keepNext w:val="0"/>
        <w:keepLines w:val="0"/>
        <w:pageBreakBefore w:val="0"/>
        <w:widowControl w:val="0"/>
        <w:kinsoku/>
        <w:wordWrap/>
        <w:overflowPunct/>
        <w:topLinePunct w:val="0"/>
        <w:autoSpaceDE/>
        <w:autoSpaceDN/>
        <w:bidi w:val="0"/>
        <w:adjustRightInd w:val="0"/>
        <w:snapToGrid w:val="0"/>
        <w:spacing w:after="0" w:line="560" w:lineRule="exact"/>
        <w:ind w:left="0" w:firstLine="640"/>
        <w:jc w:val="both"/>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积极推进“河北省企业标准领跑者”申报工作，今年推荐培育瑞春纺织、红润新型面料两家企业作为我县领军企业进行了申报；指导帮助天丰农业申报的保定市地方标准《西洋梨生产技术规程》制定项目计划获批；推荐帮助宏润面料、天丰农业申报了“保定市标准化试点”。推荐冀中药业申报了《保定市标准化资助》。</w:t>
      </w:r>
    </w:p>
    <w:p w14:paraId="28C81951">
      <w:pPr>
        <w:pStyle w:val="12"/>
        <w:keepNext w:val="0"/>
        <w:keepLines w:val="0"/>
        <w:pageBreakBefore w:val="0"/>
        <w:widowControl w:val="0"/>
        <w:kinsoku/>
        <w:wordWrap/>
        <w:overflowPunct/>
        <w:topLinePunct w:val="0"/>
        <w:autoSpaceDE/>
        <w:autoSpaceDN/>
        <w:bidi w:val="0"/>
        <w:adjustRightInd w:val="0"/>
        <w:snapToGrid w:val="0"/>
        <w:spacing w:after="0" w:line="560" w:lineRule="exact"/>
        <w:ind w:left="0" w:firstLine="640"/>
        <w:jc w:val="both"/>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在“一站式”帮扶过程中帮助旭生公司着手起草制定了5A级《抗菌毛巾》企业标准、协调指导高阳县毛巾行业协会着手起草制定了《抗菌毛巾》团体标准。</w:t>
      </w:r>
    </w:p>
    <w:p w14:paraId="648206A1">
      <w:pPr>
        <w:pStyle w:val="12"/>
        <w:keepNext w:val="0"/>
        <w:keepLines w:val="0"/>
        <w:pageBreakBefore w:val="0"/>
        <w:widowControl w:val="0"/>
        <w:kinsoku/>
        <w:wordWrap/>
        <w:overflowPunct/>
        <w:topLinePunct w:val="0"/>
        <w:autoSpaceDE/>
        <w:autoSpaceDN/>
        <w:bidi w:val="0"/>
        <w:adjustRightInd w:val="0"/>
        <w:snapToGrid w:val="0"/>
        <w:spacing w:after="0" w:line="560" w:lineRule="exact"/>
        <w:ind w:left="0" w:firstLine="640"/>
        <w:jc w:val="both"/>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组织开展企业生产标准声明公开行动，截至目前，有167家企业，累计上报224项标准。</w:t>
      </w:r>
    </w:p>
    <w:p w14:paraId="5A652C9A">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jc w:val="left"/>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三、计量监管方面</w:t>
      </w:r>
    </w:p>
    <w:p w14:paraId="5DE5363A">
      <w:pPr>
        <w:pStyle w:val="12"/>
        <w:keepNext w:val="0"/>
        <w:keepLines w:val="0"/>
        <w:pageBreakBefore w:val="0"/>
        <w:widowControl w:val="0"/>
        <w:kinsoku/>
        <w:wordWrap/>
        <w:overflowPunct/>
        <w:topLinePunct w:val="0"/>
        <w:autoSpaceDE/>
        <w:autoSpaceDN/>
        <w:bidi w:val="0"/>
        <w:adjustRightInd w:val="0"/>
        <w:snapToGrid w:val="0"/>
        <w:spacing w:after="0" w:line="560" w:lineRule="exact"/>
        <w:ind w:left="0"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对我县7家粮食购销企业进行督导检查，要求企业建立计量管理制度，建立计量器具台账，查看企业检定、校准证书是否在有效期内。持续推广计量器具管理系统，目前15家眼镜店、5家医院、39家加油站、2家粮食购销企业、1家法定技术机构完成了备案工作。推进冷水水表、医用电子体温计、无创自动测量血压计、压力真空表和真空表检定能力建设工作。目前，已对需建项目完成了场地、人员规划，项目建设报告已通过局主要领导审批。同时全力争取政府政策、经费支持，已向政府主管领导做了汇报，并向县财政局提出了资金（共计55万元）申请报告，正在等待审批。</w:t>
      </w:r>
    </w:p>
    <w:p w14:paraId="2A34F1C9">
      <w:pPr>
        <w:pStyle w:val="12"/>
        <w:keepNext w:val="0"/>
        <w:keepLines w:val="0"/>
        <w:pageBreakBefore w:val="0"/>
        <w:widowControl w:val="0"/>
        <w:kinsoku/>
        <w:wordWrap/>
        <w:overflowPunct/>
        <w:topLinePunct w:val="0"/>
        <w:autoSpaceDE/>
        <w:autoSpaceDN/>
        <w:bidi w:val="0"/>
        <w:adjustRightInd w:val="0"/>
        <w:snapToGrid w:val="0"/>
        <w:spacing w:after="0" w:line="560" w:lineRule="exact"/>
        <w:ind w:left="0"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四、认证监管方面</w:t>
      </w:r>
    </w:p>
    <w:p w14:paraId="05FE6CBB">
      <w:pPr>
        <w:pStyle w:val="12"/>
        <w:keepNext w:val="0"/>
        <w:keepLines w:val="0"/>
        <w:pageBreakBefore w:val="0"/>
        <w:widowControl w:val="0"/>
        <w:kinsoku/>
        <w:wordWrap/>
        <w:overflowPunct/>
        <w:topLinePunct w:val="0"/>
        <w:autoSpaceDE/>
        <w:autoSpaceDN/>
        <w:bidi w:val="0"/>
        <w:adjustRightInd w:val="0"/>
        <w:snapToGrid w:val="0"/>
        <w:spacing w:after="0" w:line="560" w:lineRule="exact"/>
        <w:ind w:left="0" w:firstLine="640"/>
        <w:jc w:val="both"/>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对我县5家电热毯、1家电线电缆、3家电器开关、1家节能灯具、1家农业机械进行了强制性认证产品专项检查。联系认证专家对胜杰机动车检测站、德晟机动车检测站、天羽机动车检测站、佳联机动车检测站开展专项监督检查，对发现的问题汇总形成检查事实确认单，交由监管所进行后处理工作。</w:t>
      </w:r>
    </w:p>
    <w:p w14:paraId="3FEDC55E">
      <w:pPr>
        <w:pStyle w:val="12"/>
        <w:keepNext w:val="0"/>
        <w:keepLines w:val="0"/>
        <w:pageBreakBefore w:val="0"/>
        <w:widowControl w:val="0"/>
        <w:kinsoku/>
        <w:wordWrap/>
        <w:overflowPunct/>
        <w:topLinePunct w:val="0"/>
        <w:autoSpaceDE/>
        <w:autoSpaceDN/>
        <w:bidi w:val="0"/>
        <w:adjustRightInd w:val="0"/>
        <w:snapToGrid w:val="0"/>
        <w:spacing w:after="0" w:line="560" w:lineRule="exact"/>
        <w:ind w:left="0" w:firstLine="640"/>
        <w:jc w:val="both"/>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推进认证认可服务，助力企业提质升级。“世界认可日”期间开展形式多样、内容丰富的各项活动。通过开展集中宣传、现场发放宣传资料、在车检线悬挂宣传条幅、张贴宣传展板等进行广泛宣传；开展“实验室开放日”活动，邀请各界代表参观河北省毛巾制品质量监督检验中心，大力提升认证认可的社会认知度。</w:t>
      </w:r>
    </w:p>
    <w:p w14:paraId="32AF842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做好企业进行认证提升工程。通过制定《小微企业质量管理体系认证提升行动方案》，引导34家企业完成了质量管理体系认证工作。向市局推荐小微企业质量管理体系认证提升标杆企业三家，保定万佳汽车零部件有限公司、保定阳光电力设备有限公司、河北昌泰弹簧股份有限公司。</w:t>
      </w:r>
    </w:p>
    <w:p w14:paraId="2DC4880B">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五、食品监管工作</w:t>
      </w:r>
    </w:p>
    <w:p w14:paraId="60F2CFB4">
      <w:pPr>
        <w:pStyle w:val="17"/>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560" w:lineRule="exact"/>
        <w:textAlignment w:val="auto"/>
        <w:outlineLvl w:val="9"/>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（一）综合协调工作</w:t>
      </w:r>
    </w:p>
    <w:p w14:paraId="65B46E87">
      <w:pPr>
        <w:pStyle w:val="17"/>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560" w:lineRule="exact"/>
        <w:ind w:left="0" w:firstLine="640"/>
        <w:textAlignment w:val="auto"/>
        <w:outlineLvl w:val="9"/>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充分发挥食安办在食品安全监管工作中的组织协调、信息报送、联合执法、督查考评作用。印发《关于进一步做好食品“三小”日常监管工作的通知》《关于印发深入开展农村假冒伪劣食品整治工作的通知》等文件3个，分析食品安全形势，协调食药安全相关部门，充分发挥牵头抓总作用。</w:t>
      </w:r>
    </w:p>
    <w:p w14:paraId="0596DB29">
      <w:pPr>
        <w:pStyle w:val="17"/>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560" w:lineRule="exact"/>
        <w:ind w:left="0" w:firstLine="640"/>
        <w:textAlignment w:val="auto"/>
        <w:outlineLvl w:val="9"/>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组织开展食品安全“守底线、查隐患、保安全”专项行动。以食品安全风险隐患大排查为契机，坚持边整治、边建设、边总结，共检查生产经营单位1562家次，排查出食品生产、入网商家及线下门店、农贸市场等领域38个隐患，已整改完成，并逐步建立长效机制。</w:t>
      </w:r>
    </w:p>
    <w:p w14:paraId="080089A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开展肉及肉制品质量安全专项整治行动。联合农业农村部门、卫生健康部门、公安部门，成立专项整治领导小组，细化工作任务和整治要求，明确工作进度和时间安排，确保专项整治任务落到实处。共排查销售主体51个，检查餐饮主体39个，梳理排查问题2个，已全部整改到位。重点对全县兽药经营企业8个、屠宰企业1个和部分养殖企业进行检查。排查肉牛养殖场(户)86个5976头，羊养殖场(户)620个34211只，生猪养殖场(户)357个47922头，通过监督抽查、风险监测，未发现肉及肉制品存在非法添加物行为。</w:t>
      </w:r>
    </w:p>
    <w:p w14:paraId="6B1CA15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扎实做好2022年食品安全责任保险推广工作。继续鼓励引导食品生产经营主体参加食责险，进一步巩固食责险推广成果，提高食品安全社会共治水平，进一步聚焦重点，创新举措，强化引导，持续发力，努力实现食责险社会认知度有较大提升、持证食品生产经营主体参保率进一步提高、融合型保险产品市场份额有所提高、出险理赔金额占保费比例有所提高等目标任务。</w:t>
      </w:r>
    </w:p>
    <w:p w14:paraId="17B41BF4">
      <w:pPr>
        <w:keepNext w:val="0"/>
        <w:keepLines w:val="0"/>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开展落实食品安全“两个责任”。按照市食安办《关于落实食品安全“两个责任”工作机制近期有关重点工作的通知》（保食安办〔2022〕63号）文件要求，扎实推进食品安全属地管理责任和企业主体责任“两个责任”机制落地见效。开展食品生产经营主体底数情况排查。已排查核实各类食品生产经营主体3626户，完成核对比例100%，纳入包保主体范围2731户，纳入包保主体范围比例75.31%。</w:t>
      </w:r>
    </w:p>
    <w:p w14:paraId="19F5A05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（三）生产流通环节监管</w:t>
      </w:r>
    </w:p>
    <w:p w14:paraId="6E86600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w:t>
      </w:r>
      <w:r>
        <w:rPr>
          <w:rFonts w:hint="default" w:ascii="方正仿宋_GBK" w:hAnsi="宋体" w:eastAsia="方正仿宋_GBK" w:cs="Times New Roman"/>
          <w:kern w:val="2"/>
          <w:sz w:val="32"/>
          <w:szCs w:val="32"/>
          <w:lang w:val="en-US" w:eastAsia="zh-CN" w:bidi="ar-SA"/>
        </w:rPr>
        <w:t>开展查处生产含金银箔粉食品违法行为专项行动。行动中，执法人员以糕点、冰淇淋等可能使用金银箔粉的产品为重点，严查是否有购进</w:t>
      </w:r>
      <w:r>
        <w:rPr>
          <w:rFonts w:hint="eastAsia" w:ascii="方正仿宋_GBK" w:hAnsi="宋体" w:eastAsia="方正仿宋_GBK" w:cs="Times New Roman"/>
          <w:kern w:val="2"/>
          <w:sz w:val="32"/>
          <w:szCs w:val="32"/>
          <w:lang w:val="en-US" w:eastAsia="zh-CN" w:bidi="ar-SA"/>
        </w:rPr>
        <w:t>、使用</w:t>
      </w:r>
      <w:r>
        <w:rPr>
          <w:rFonts w:hint="default" w:ascii="方正仿宋_GBK" w:hAnsi="宋体" w:eastAsia="方正仿宋_GBK" w:cs="Times New Roman"/>
          <w:kern w:val="2"/>
          <w:sz w:val="32"/>
          <w:szCs w:val="32"/>
          <w:lang w:val="en-US" w:eastAsia="zh-CN" w:bidi="ar-SA"/>
        </w:rPr>
        <w:t>金银箔粉</w:t>
      </w:r>
      <w:r>
        <w:rPr>
          <w:rFonts w:hint="eastAsia" w:ascii="方正仿宋_GBK" w:hAnsi="宋体" w:eastAsia="方正仿宋_GBK" w:cs="Times New Roman"/>
          <w:kern w:val="2"/>
          <w:sz w:val="32"/>
          <w:szCs w:val="32"/>
          <w:lang w:val="en-US" w:eastAsia="zh-CN" w:bidi="ar-SA"/>
        </w:rPr>
        <w:t>行为</w:t>
      </w:r>
      <w:r>
        <w:rPr>
          <w:rFonts w:hint="default" w:ascii="方正仿宋_GBK" w:hAnsi="宋体" w:eastAsia="方正仿宋_GBK" w:cs="Times New Roman"/>
          <w:kern w:val="2"/>
          <w:sz w:val="32"/>
          <w:szCs w:val="32"/>
          <w:lang w:val="en-US" w:eastAsia="zh-CN" w:bidi="ar-SA"/>
        </w:rPr>
        <w:t>。要求生产单位严格落实主体责任，并充分认识到食用、添加金银箔粉的危害性，坚决抵制“食金之风”</w:t>
      </w:r>
      <w:r>
        <w:rPr>
          <w:rFonts w:hint="eastAsia" w:ascii="方正仿宋_GBK" w:hAnsi="宋体" w:eastAsia="方正仿宋_GBK" w:cs="Times New Roman"/>
          <w:kern w:val="2"/>
          <w:sz w:val="32"/>
          <w:szCs w:val="32"/>
          <w:lang w:val="en-US" w:eastAsia="zh-CN" w:bidi="ar-SA"/>
        </w:rPr>
        <w:t>，</w:t>
      </w:r>
      <w:r>
        <w:rPr>
          <w:rFonts w:hint="default" w:ascii="方正仿宋_GBK" w:hAnsi="宋体" w:eastAsia="方正仿宋_GBK" w:cs="Times New Roman"/>
          <w:kern w:val="2"/>
          <w:sz w:val="32"/>
          <w:szCs w:val="32"/>
          <w:lang w:val="en-US" w:eastAsia="zh-CN" w:bidi="ar-SA"/>
        </w:rPr>
        <w:t>积极营造良好的消费环境。</w:t>
      </w:r>
      <w:r>
        <w:rPr>
          <w:rFonts w:hint="eastAsia" w:ascii="方正仿宋_GBK" w:hAnsi="宋体" w:eastAsia="方正仿宋_GBK" w:cs="Times New Roman"/>
          <w:kern w:val="2"/>
          <w:sz w:val="32"/>
          <w:szCs w:val="32"/>
          <w:lang w:val="en-US" w:eastAsia="zh-CN" w:bidi="ar-SA"/>
        </w:rPr>
        <w:t>共</w:t>
      </w:r>
      <w:r>
        <w:rPr>
          <w:rFonts w:hint="default" w:ascii="方正仿宋_GBK" w:hAnsi="宋体" w:eastAsia="方正仿宋_GBK" w:cs="Times New Roman"/>
          <w:kern w:val="2"/>
          <w:sz w:val="32"/>
          <w:szCs w:val="32"/>
          <w:lang w:val="en-US" w:eastAsia="zh-CN" w:bidi="ar-SA"/>
        </w:rPr>
        <w:t>检查辖区食品生产单位5家，暂未发现违法违规行为。</w:t>
      </w:r>
    </w:p>
    <w:p w14:paraId="7239EE2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w:t>
      </w:r>
      <w:r>
        <w:rPr>
          <w:rFonts w:hint="default" w:ascii="方正仿宋_GBK" w:hAnsi="宋体" w:eastAsia="方正仿宋_GBK" w:cs="Times New Roman"/>
          <w:kern w:val="2"/>
          <w:sz w:val="32"/>
          <w:szCs w:val="32"/>
          <w:lang w:val="en-US" w:eastAsia="zh-CN" w:bidi="ar-SA"/>
        </w:rPr>
        <w:t>开展秋季开学校园及周边食品流通环节专项整治。重点</w:t>
      </w:r>
      <w:r>
        <w:rPr>
          <w:rFonts w:hint="eastAsia" w:ascii="方正仿宋_GBK" w:hAnsi="宋体" w:eastAsia="方正仿宋_GBK" w:cs="Times New Roman"/>
          <w:kern w:val="2"/>
          <w:sz w:val="32"/>
          <w:szCs w:val="32"/>
          <w:lang w:val="en-US" w:eastAsia="zh-CN" w:bidi="ar-SA"/>
        </w:rPr>
        <w:t>检</w:t>
      </w:r>
      <w:r>
        <w:rPr>
          <w:rFonts w:hint="default" w:ascii="方正仿宋_GBK" w:hAnsi="宋体" w:eastAsia="方正仿宋_GBK" w:cs="Times New Roman"/>
          <w:kern w:val="2"/>
          <w:sz w:val="32"/>
          <w:szCs w:val="32"/>
          <w:lang w:val="en-US" w:eastAsia="zh-CN" w:bidi="ar-SA"/>
        </w:rPr>
        <w:t>查中小学周边食品经营者，包括文具店、超市、食品摊点等，以调味面制品、膨化食品、方便食品、糖果、饮料等为重点品种，检查经营者资质</w:t>
      </w:r>
      <w:r>
        <w:rPr>
          <w:rFonts w:hint="eastAsia" w:ascii="方正仿宋_GBK" w:hAnsi="宋体" w:eastAsia="方正仿宋_GBK" w:cs="Times New Roman"/>
          <w:kern w:val="2"/>
          <w:sz w:val="32"/>
          <w:szCs w:val="32"/>
          <w:lang w:val="en-US" w:eastAsia="zh-CN" w:bidi="ar-SA"/>
        </w:rPr>
        <w:t>及制度落实情况，打击违法经营</w:t>
      </w:r>
      <w:r>
        <w:rPr>
          <w:rFonts w:hint="default" w:ascii="方正仿宋_GBK" w:hAnsi="宋体" w:eastAsia="方正仿宋_GBK" w:cs="Times New Roman"/>
          <w:kern w:val="2"/>
          <w:sz w:val="32"/>
          <w:szCs w:val="32"/>
          <w:lang w:val="en-US" w:eastAsia="zh-CN" w:bidi="ar-SA"/>
        </w:rPr>
        <w:t>行为。检查销售门店49家，发现2家食品流通户销售的食品和非食品混放，要求该店立即整改</w:t>
      </w:r>
      <w:r>
        <w:rPr>
          <w:rFonts w:hint="eastAsia" w:ascii="方正仿宋_GBK" w:hAnsi="宋体" w:eastAsia="方正仿宋_GBK" w:cs="Times New Roman"/>
          <w:kern w:val="2"/>
          <w:sz w:val="32"/>
          <w:szCs w:val="32"/>
          <w:lang w:val="en-US" w:eastAsia="zh-CN" w:bidi="ar-SA"/>
        </w:rPr>
        <w:t>。</w:t>
      </w:r>
    </w:p>
    <w:p w14:paraId="5ED8B2F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开展食用油销售监管专项执法行动。严厉打击食用油经营掺杂掺假违法行为。以食用植物调和油、芝麻油为重点品种，对全县食用植物油销售主体开展全面监督检查。今年以来共抽检了12个批次的食用植物油，暂时未发现有不合格批次。</w:t>
      </w:r>
    </w:p>
    <w:p w14:paraId="7E4C15B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w:t>
      </w:r>
      <w:r>
        <w:rPr>
          <w:rFonts w:hint="default" w:ascii="方正仿宋_GBK" w:hAnsi="宋体" w:eastAsia="方正仿宋_GBK" w:cs="Times New Roman"/>
          <w:kern w:val="2"/>
          <w:sz w:val="32"/>
          <w:szCs w:val="32"/>
          <w:lang w:val="en-US" w:eastAsia="zh-CN" w:bidi="ar-SA"/>
        </w:rPr>
        <w:t>.开展食品安全抽检监测工作。制定了《2022年第一季度食品安全抽检监测计划》《2022年食品安全抽检监测计划》，明确抽检工作安排和工作任务。计划全年抽检1420批次，其中食用农产品专项抽检监测250批次，主要对调味品、米、面、食用油、饮料、水果、畜禽肉、水产品、鲜蛋等食品进行抽检，县食用农产品专项抽检范围包括畜禽肉及副产品、蔬菜、水产品、水果、鲜蛋、豆类、生干坚果与籽类食品。截至目前共完成1400批次抽检任务，完成率98.59%。</w:t>
      </w:r>
    </w:p>
    <w:p w14:paraId="5675F5D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5.开展食品生产领域提质强链专项行动。严格落实“四个最严”要求，坚持一手抓监管、一手促发展，在严把食品安全关的基础上，推进食品生产领域走标准化、品牌化、规模化发展之路。截至目前检查食品生产企业8家，覆盖率66%。实行“一对一”定点帮扶，主动提供服务，帮助企业解决生产工艺、检验检测、质量控制等难题。</w:t>
      </w:r>
    </w:p>
    <w:p w14:paraId="6F115E4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6.强化网络餐饮服务食品安全检查。督促网络餐饮服务提供者全面落实食品安全主体责任，组织召开约谈、培训会议。积极推广外卖食品使用“食安封签”，3月17日，组织辖区网络第三方平台和主要餐饮单位召开餐饮外卖食安封签推介会暨启动仪式会议，对食安封签的推广使用工作进行了安排部署。3月28日，开展“食安封签”宣传活动。现我县282家入网餐饮单位使用食安封签，实现“食安封签”使用率既定目标。</w:t>
      </w:r>
    </w:p>
    <w:p w14:paraId="01B6746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7.开展“你点我检，你我同查”活动。为营造“放心消费”的良好环境，让消费者真正成为食品安全的参与者、见证者和监督者，今年以来我局邀请县人大代表、政协委员、检察院、教体局、新闻媒体、消费者、学生家长等代表分别对锦华街道、庞佐乡、西演乡、小王果庄乡的餐饮单位和学校幼儿园食堂开展“你点我检，你我同查”活动。此项活动现已开展10期。</w:t>
      </w:r>
    </w:p>
    <w:p w14:paraId="53197AB8">
      <w:pPr>
        <w:pStyle w:val="2"/>
        <w:keepNext w:val="0"/>
        <w:keepLines w:val="0"/>
        <w:pageBreakBefore w:val="0"/>
        <w:widowControl w:val="0"/>
        <w:kinsoku/>
        <w:wordWrap/>
        <w:overflowPunct/>
        <w:topLinePunct w:val="0"/>
        <w:autoSpaceDE/>
        <w:autoSpaceDN/>
        <w:bidi w:val="0"/>
        <w:adjustRightInd/>
        <w:snapToGrid/>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六、药品药械化妆品安全监管</w:t>
      </w:r>
    </w:p>
    <w:p w14:paraId="3A54C09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一）加大药品医疗器械化妆品经营使用环节监管力度。以非法渠道购销药品专项整治、特殊药品专项检查、严厉打击违法违规经营使用医疗器械专项整治、化妆品进货查验专项整治为重点，重点检查企业购进渠道、验收记录、处方药销售、药师在岗、药品挂靠经营、超范围经营情况，加强年度药品流通使用环节日常监管效能，遏制药品经营使用质量安全风险。</w:t>
      </w:r>
    </w:p>
    <w:p w14:paraId="2C49450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（二）加强疫苗全流程监管。</w:t>
      </w:r>
      <w:r>
        <w:rPr>
          <w:rFonts w:hint="default" w:ascii="方正仿宋_GBK" w:hAnsi="宋体" w:eastAsia="方正仿宋_GBK" w:cs="Times New Roman"/>
          <w:kern w:val="2"/>
          <w:sz w:val="32"/>
          <w:szCs w:val="32"/>
          <w:lang w:val="en-US" w:eastAsia="zh-CN" w:bidi="ar-SA"/>
        </w:rPr>
        <w:t>加强疫苗采购、接收、储存、运输、预防接种全流程监管，加强对辖区内疾控机构、常规疫苗接种单位和固定新冠疫苗接种单位的检查，监督指导疾病预防控制机构、接种单位完善破损、报废疫苗的登记上报管理制度，如实记录、上报破损及报废疫苗处置情况，严防疫苗非法流出、非法贩卖，坚决杜绝非法疫苗流入合法渠道。今年以来，对常规疫苗接种单位检查33家次，对固定新冠疫苗接种单位检查28家次。</w:t>
      </w:r>
    </w:p>
    <w:p w14:paraId="7B3874A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（三）开展全县药品、医疗器械、化妆品不良反应监测上报工作。截至目前</w:t>
      </w:r>
      <w:r>
        <w:rPr>
          <w:rFonts w:hint="default" w:ascii="方正仿宋_GBK" w:hAnsi="宋体" w:eastAsia="方正仿宋_GBK" w:cs="Times New Roman"/>
          <w:kern w:val="2"/>
          <w:sz w:val="32"/>
          <w:szCs w:val="32"/>
          <w:lang w:val="en-US" w:eastAsia="zh-CN" w:bidi="ar-SA"/>
        </w:rPr>
        <w:t>，药品不良反应已上报569例，已完成年初任务的103%，医疗器械不良反应已上报248例，已完成年初任务的124%，化妆品不良反应60例，已完成年初任务的109%，正在完成第四季度新增加一般和严重不良反应报告数量。</w:t>
      </w:r>
    </w:p>
    <w:p w14:paraId="3CC3387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（四）加强药械妆监管信息化建设。</w:t>
      </w:r>
      <w:r>
        <w:rPr>
          <w:rFonts w:hint="default" w:ascii="方正仿宋_GBK" w:hAnsi="宋体" w:eastAsia="方正仿宋_GBK" w:cs="Times New Roman"/>
          <w:kern w:val="2"/>
          <w:sz w:val="32"/>
          <w:szCs w:val="32"/>
          <w:lang w:val="en-US" w:eastAsia="zh-CN" w:bidi="ar-SA"/>
        </w:rPr>
        <w:t>提高药品流通领域药品追溯系统建设、医疗器械监管平台和“查安康”APP使用。目前药品零售药店“药品流通追溯系统”入网率及数据上传率达到100%，，及时通过“药安食美”APP上传“四类药品”销售情况，目前174家化妆品经营使用单位已入驻“查安康”APP，完成20个化妆品示范店创建工作，提高查验信息在智慧监管中的作用。</w:t>
      </w:r>
    </w:p>
    <w:p w14:paraId="168C10B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五）健全药品安全基层监管网络建设，完善治理体系。聚焦基层药品监管薄弱点，将药品安全治理触角向基层延伸，药安办部署了在乡镇（街道）设立药品安全议事协调机构，组建监督员和信息员队伍事宜，已在乡镇成立药品议事机构数量8个，组建信息员、监督员数量165个，进一步完善我县药品安全治理体系建设。</w:t>
      </w:r>
    </w:p>
    <w:p w14:paraId="6A68D73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七、知识产权保护工作</w:t>
      </w:r>
    </w:p>
    <w:p w14:paraId="5FA3E1B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（一）基本情况</w:t>
      </w:r>
    </w:p>
    <w:p w14:paraId="7AD5B768">
      <w:pPr>
        <w:pStyle w:val="12"/>
        <w:keepNext w:val="0"/>
        <w:keepLines w:val="0"/>
        <w:pageBreakBefore w:val="0"/>
        <w:widowControl w:val="0"/>
        <w:kinsoku/>
        <w:wordWrap/>
        <w:overflowPunct/>
        <w:topLinePunct w:val="0"/>
        <w:autoSpaceDE/>
        <w:autoSpaceDN/>
        <w:bidi w:val="0"/>
        <w:adjustRightInd/>
        <w:snapToGrid/>
        <w:spacing w:after="0" w:line="560" w:lineRule="exact"/>
        <w:ind w:left="0" w:firstLine="640"/>
        <w:textAlignment w:val="auto"/>
        <w:rPr>
          <w:rFonts w:hint="default"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w:t>
      </w:r>
      <w:r>
        <w:rPr>
          <w:rFonts w:hint="default" w:ascii="方正仿宋_GBK" w:hAnsi="宋体" w:eastAsia="方正仿宋_GBK" w:cs="Times New Roman"/>
          <w:kern w:val="2"/>
          <w:sz w:val="32"/>
          <w:szCs w:val="32"/>
          <w:lang w:val="en-US" w:eastAsia="zh-CN" w:bidi="ar-SA"/>
        </w:rPr>
        <w:t>专利情况：截至9月份发明专利63项，每万人发明专利拥有量达到1.96项。</w:t>
      </w:r>
    </w:p>
    <w:p w14:paraId="3B36C7CB">
      <w:pPr>
        <w:pStyle w:val="12"/>
        <w:keepNext w:val="0"/>
        <w:keepLines w:val="0"/>
        <w:pageBreakBefore w:val="0"/>
        <w:widowControl w:val="0"/>
        <w:kinsoku/>
        <w:wordWrap/>
        <w:overflowPunct/>
        <w:topLinePunct w:val="0"/>
        <w:autoSpaceDE/>
        <w:autoSpaceDN/>
        <w:bidi w:val="0"/>
        <w:adjustRightInd/>
        <w:snapToGrid/>
        <w:spacing w:after="0" w:line="560" w:lineRule="exact"/>
        <w:ind w:left="0" w:firstLine="640"/>
        <w:textAlignment w:val="auto"/>
        <w:rPr>
          <w:rFonts w:hint="default"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w:t>
      </w:r>
      <w:r>
        <w:rPr>
          <w:rFonts w:hint="default" w:ascii="方正仿宋_GBK" w:hAnsi="宋体" w:eastAsia="方正仿宋_GBK" w:cs="Times New Roman"/>
          <w:kern w:val="2"/>
          <w:sz w:val="32"/>
          <w:szCs w:val="32"/>
          <w:lang w:val="en-US" w:eastAsia="zh-CN" w:bidi="ar-SA"/>
        </w:rPr>
        <w:t>商标注册情况：截至2022年第一季度我县有效注册商标12644件，驰名商标5件（三利集团有限公司、河北瑞春纺织有限公司、保定智阳纺织品有限公司、永亮纺织品有限公司、保定燕赵制香有限公司）。</w:t>
      </w:r>
    </w:p>
    <w:p w14:paraId="3FDB7F29">
      <w:pPr>
        <w:pStyle w:val="12"/>
        <w:keepNext w:val="0"/>
        <w:keepLines w:val="0"/>
        <w:pageBreakBefore w:val="0"/>
        <w:widowControl w:val="0"/>
        <w:kinsoku/>
        <w:wordWrap/>
        <w:overflowPunct/>
        <w:topLinePunct w:val="0"/>
        <w:autoSpaceDE/>
        <w:autoSpaceDN/>
        <w:bidi w:val="0"/>
        <w:adjustRightInd/>
        <w:snapToGrid/>
        <w:spacing w:after="0" w:line="560" w:lineRule="exact"/>
        <w:ind w:left="0" w:firstLine="640"/>
        <w:textAlignment w:val="auto"/>
        <w:rPr>
          <w:rFonts w:hint="default"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w:t>
      </w:r>
      <w:r>
        <w:rPr>
          <w:rFonts w:hint="default" w:ascii="方正仿宋_GBK" w:hAnsi="宋体" w:eastAsia="方正仿宋_GBK" w:cs="Times New Roman"/>
          <w:kern w:val="2"/>
          <w:sz w:val="32"/>
          <w:szCs w:val="32"/>
          <w:lang w:val="en-US" w:eastAsia="zh-CN" w:bidi="ar-SA"/>
        </w:rPr>
        <w:t>查办案件情况：共办理侵犯注册商标专用权案件19件，罚款85.9738万元。</w:t>
      </w:r>
    </w:p>
    <w:p w14:paraId="082B3CA5">
      <w:pPr>
        <w:pStyle w:val="12"/>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二）开展奥运标识保护专项行动。根据省局和市局相关的文件要求，制定工作方案，重点对我县商场、超市、金店、家具卖场等经营场所针对印有奥林匹克标志的纪念币、纪念章、毛绒玩具、体育用品、饰品、运动服装、鞋帽、文具广告展板、物品包装宣传、家具摆件等产品进行检查。截至目前，共办理2起销售侵犯奥林匹克标志专有权案件，共罚款1.6万元。</w:t>
      </w:r>
    </w:p>
    <w:p w14:paraId="42088640">
      <w:pPr>
        <w:pStyle w:val="12"/>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八、广告监管</w:t>
      </w:r>
    </w:p>
    <w:p w14:paraId="4BDE4EA7">
      <w:pPr>
        <w:pStyle w:val="12"/>
        <w:keepNext w:val="0"/>
        <w:keepLines w:val="0"/>
        <w:pageBreakBefore w:val="0"/>
        <w:widowControl w:val="0"/>
        <w:kinsoku/>
        <w:wordWrap/>
        <w:overflowPunct/>
        <w:topLinePunct w:val="0"/>
        <w:autoSpaceDE/>
        <w:autoSpaceDN/>
        <w:bidi w:val="0"/>
        <w:adjustRightInd/>
        <w:snapToGrid/>
        <w:spacing w:after="0" w:line="560" w:lineRule="exact"/>
        <w:ind w:left="0" w:firstLine="640"/>
        <w:textAlignment w:val="auto"/>
        <w:rPr>
          <w:rFonts w:hint="default"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（一）加强互联网广告监管。</w:t>
      </w:r>
      <w:r>
        <w:rPr>
          <w:rFonts w:hint="default" w:ascii="方正仿宋_GBK" w:hAnsi="宋体" w:eastAsia="方正仿宋_GBK" w:cs="Times New Roman"/>
          <w:kern w:val="2"/>
          <w:sz w:val="32"/>
          <w:szCs w:val="32"/>
          <w:lang w:val="en-US" w:eastAsia="zh-CN" w:bidi="ar-SA"/>
        </w:rPr>
        <w:t>依托总局和省局的互联网广告监测平台，以社会影响大、活跃度高的网站、搜索引擎、移动客户端和新媒体账户等互联网媒介为重点，指导电视台切实履行责任，净化互联网广告环境。截至目前共检测违法广告1条，已经</w:t>
      </w:r>
      <w:r>
        <w:rPr>
          <w:rFonts w:hint="eastAsia" w:ascii="方正仿宋_GBK" w:hAnsi="宋体" w:eastAsia="方正仿宋_GBK" w:cs="Times New Roman"/>
          <w:kern w:val="2"/>
          <w:sz w:val="32"/>
          <w:szCs w:val="32"/>
          <w:lang w:val="en-US" w:eastAsia="zh-CN" w:bidi="ar-SA"/>
        </w:rPr>
        <w:t>由执法部门进行后</w:t>
      </w:r>
      <w:r>
        <w:rPr>
          <w:rFonts w:hint="default" w:ascii="方正仿宋_GBK" w:hAnsi="宋体" w:eastAsia="方正仿宋_GBK" w:cs="Times New Roman"/>
          <w:kern w:val="2"/>
          <w:sz w:val="32"/>
          <w:szCs w:val="32"/>
          <w:lang w:val="en-US" w:eastAsia="zh-CN" w:bidi="ar-SA"/>
        </w:rPr>
        <w:t>处理。</w:t>
      </w:r>
    </w:p>
    <w:p w14:paraId="47EEBEFE">
      <w:pPr>
        <w:pStyle w:val="12"/>
        <w:keepNext w:val="0"/>
        <w:keepLines w:val="0"/>
        <w:pageBreakBefore w:val="0"/>
        <w:widowControl w:val="0"/>
        <w:kinsoku/>
        <w:wordWrap/>
        <w:overflowPunct/>
        <w:topLinePunct w:val="0"/>
        <w:autoSpaceDE/>
        <w:autoSpaceDN/>
        <w:bidi w:val="0"/>
        <w:adjustRightInd/>
        <w:snapToGrid/>
        <w:spacing w:after="0" w:line="560" w:lineRule="exact"/>
        <w:ind w:left="0" w:firstLine="640"/>
        <w:textAlignment w:val="auto"/>
        <w:rPr>
          <w:rFonts w:hint="default"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（二）开展重点领域监管。</w:t>
      </w:r>
      <w:r>
        <w:rPr>
          <w:rFonts w:hint="default" w:ascii="方正仿宋_GBK" w:hAnsi="宋体" w:eastAsia="方正仿宋_GBK" w:cs="Times New Roman"/>
          <w:kern w:val="2"/>
          <w:sz w:val="32"/>
          <w:szCs w:val="32"/>
          <w:lang w:val="en-US" w:eastAsia="zh-CN" w:bidi="ar-SA"/>
        </w:rPr>
        <w:t>开展“2022年整治虚假违法广告”和“违法违规商业营销宣传集中整治行动”，对食品、药品、保健食品、医疗、医疗器械、房地产、投资理财等事关人民群众健康财产安全的虚假违法广告开展集中整治，对损害群众利益的违法者“零容忍”，综合运用行政指导、行政处罚、曝光典型案例等手段，形成有效的震慑。确保传统媒体广告条次违法率不超过1％。</w:t>
      </w:r>
      <w:r>
        <w:rPr>
          <w:rFonts w:hint="eastAsia" w:ascii="方正仿宋_GBK" w:hAnsi="宋体" w:eastAsia="方正仿宋_GBK" w:cs="Times New Roman"/>
          <w:kern w:val="2"/>
          <w:sz w:val="32"/>
          <w:szCs w:val="32"/>
          <w:lang w:val="en-US" w:eastAsia="zh-CN" w:bidi="ar-SA"/>
        </w:rPr>
        <w:t>截至目前</w:t>
      </w:r>
      <w:r>
        <w:rPr>
          <w:rFonts w:hint="default" w:ascii="方正仿宋_GBK" w:hAnsi="宋体" w:eastAsia="方正仿宋_GBK" w:cs="Times New Roman"/>
          <w:kern w:val="2"/>
          <w:sz w:val="32"/>
          <w:szCs w:val="32"/>
          <w:lang w:val="en-US" w:eastAsia="zh-CN" w:bidi="ar-SA"/>
        </w:rPr>
        <w:t>共查办广告案件7起，罚没款7.01万元。</w:t>
      </w:r>
    </w:p>
    <w:p w14:paraId="693AD550">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九、检验检定工作</w:t>
      </w:r>
    </w:p>
    <w:p w14:paraId="7780ECBD">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default"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（一）纺织品检验。</w:t>
      </w:r>
      <w:r>
        <w:rPr>
          <w:rFonts w:hint="default" w:ascii="方正仿宋_GBK" w:hAnsi="宋体" w:eastAsia="方正仿宋_GBK" w:cs="Times New Roman"/>
          <w:kern w:val="2"/>
          <w:sz w:val="32"/>
          <w:szCs w:val="32"/>
          <w:lang w:val="en-US" w:eastAsia="zh-CN" w:bidi="ar-SA"/>
        </w:rPr>
        <w:t>目前共计检验纺织品657批次，其中监督检验325批次，委托检验332批次。不合格33批次，合格率为90%（仅统计监督检验合格率）。其中纤维含量20批次不合格、脱毛率3批次不合格、吸水性5批次不合格、耐皂洗色牢度3批次不合格、耐摩擦色牢度1批次不合格、纱线千米棉结1批次不合格。</w:t>
      </w:r>
    </w:p>
    <w:p w14:paraId="5BD3CC75">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default"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（二）计量检定。截至</w:t>
      </w:r>
      <w:r>
        <w:rPr>
          <w:rFonts w:hint="default" w:ascii="方正仿宋_GBK" w:hAnsi="宋体" w:eastAsia="方正仿宋_GBK" w:cs="Times New Roman"/>
          <w:kern w:val="2"/>
          <w:sz w:val="32"/>
          <w:szCs w:val="32"/>
          <w:lang w:val="en-US" w:eastAsia="zh-CN" w:bidi="ar-SA"/>
        </w:rPr>
        <w:t>目前共计检定计量器具2290台件，其中加油机296台558枪，压力表679块，血压计5台，燃气表752块，电子汽车衡23台，电子计价称273台。</w:t>
      </w:r>
    </w:p>
    <w:p w14:paraId="6CD378CE">
      <w:pPr>
        <w:pStyle w:val="12"/>
        <w:keepNext w:val="0"/>
        <w:keepLines w:val="0"/>
        <w:pageBreakBefore w:val="0"/>
        <w:numPr>
          <w:ilvl w:val="0"/>
          <w:numId w:val="0"/>
        </w:numPr>
        <w:kinsoku/>
        <w:wordWrap/>
        <w:overflowPunct/>
        <w:topLinePunct w:val="0"/>
        <w:autoSpaceDE/>
        <w:bidi w:val="0"/>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十、特种设备监管</w:t>
      </w:r>
    </w:p>
    <w:p w14:paraId="7DC0C760">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（一）特种设备检验检测情况</w:t>
      </w:r>
    </w:p>
    <w:p w14:paraId="06B9A47C">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default" w:ascii="方正仿宋_GBK" w:hAnsi="宋体" w:eastAsia="方正仿宋_GBK" w:cs="Times New Roman"/>
          <w:kern w:val="2"/>
          <w:sz w:val="32"/>
          <w:szCs w:val="32"/>
          <w:lang w:val="en-US" w:eastAsia="zh-CN" w:bidi="ar-SA"/>
        </w:rPr>
      </w:pPr>
      <w:r>
        <w:rPr>
          <w:rFonts w:hint="default" w:ascii="方正仿宋_GBK" w:hAnsi="宋体" w:eastAsia="方正仿宋_GBK" w:cs="Times New Roman"/>
          <w:kern w:val="2"/>
          <w:sz w:val="32"/>
          <w:szCs w:val="32"/>
          <w:lang w:val="en-US" w:eastAsia="zh-CN" w:bidi="ar-SA"/>
        </w:rPr>
        <w:t>1</w:t>
      </w:r>
      <w:r>
        <w:rPr>
          <w:rFonts w:hint="eastAsia" w:ascii="方正仿宋_GBK" w:hAnsi="宋体" w:eastAsia="方正仿宋_GBK" w:cs="Times New Roman"/>
          <w:kern w:val="2"/>
          <w:sz w:val="32"/>
          <w:szCs w:val="32"/>
          <w:lang w:val="en-US" w:eastAsia="zh-CN" w:bidi="ar-SA"/>
        </w:rPr>
        <w:t>.</w:t>
      </w:r>
      <w:r>
        <w:rPr>
          <w:rFonts w:hint="default" w:ascii="方正仿宋_GBK" w:hAnsi="宋体" w:eastAsia="方正仿宋_GBK" w:cs="Times New Roman"/>
          <w:kern w:val="2"/>
          <w:sz w:val="32"/>
          <w:szCs w:val="32"/>
          <w:lang w:val="en-US" w:eastAsia="zh-CN" w:bidi="ar-SA"/>
        </w:rPr>
        <w:t>定期检验：今年共检验在用设备920台，其中锅炉39台，电梯751台，起重机械29台，厂（场）内机动车辆101台。</w:t>
      </w:r>
    </w:p>
    <w:p w14:paraId="1923039D">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default" w:ascii="方正仿宋_GBK" w:hAnsi="宋体" w:eastAsia="方正仿宋_GBK" w:cs="Times New Roman"/>
          <w:kern w:val="2"/>
          <w:sz w:val="32"/>
          <w:szCs w:val="32"/>
          <w:lang w:val="en-US" w:eastAsia="zh-CN" w:bidi="ar-SA"/>
        </w:rPr>
      </w:pPr>
      <w:r>
        <w:rPr>
          <w:rFonts w:hint="default" w:ascii="方正仿宋_GBK" w:hAnsi="宋体" w:eastAsia="方正仿宋_GBK" w:cs="Times New Roman"/>
          <w:kern w:val="2"/>
          <w:sz w:val="32"/>
          <w:szCs w:val="32"/>
          <w:lang w:val="en-US" w:eastAsia="zh-CN" w:bidi="ar-SA"/>
        </w:rPr>
        <w:t>2</w:t>
      </w:r>
      <w:r>
        <w:rPr>
          <w:rFonts w:hint="eastAsia" w:ascii="方正仿宋_GBK" w:hAnsi="宋体" w:eastAsia="方正仿宋_GBK" w:cs="Times New Roman"/>
          <w:kern w:val="2"/>
          <w:sz w:val="32"/>
          <w:szCs w:val="32"/>
          <w:lang w:val="en-US" w:eastAsia="zh-CN" w:bidi="ar-SA"/>
        </w:rPr>
        <w:t>.</w:t>
      </w:r>
      <w:r>
        <w:rPr>
          <w:rFonts w:hint="default" w:ascii="方正仿宋_GBK" w:hAnsi="宋体" w:eastAsia="方正仿宋_GBK" w:cs="Times New Roman"/>
          <w:kern w:val="2"/>
          <w:sz w:val="32"/>
          <w:szCs w:val="32"/>
          <w:lang w:val="en-US" w:eastAsia="zh-CN" w:bidi="ar-SA"/>
        </w:rPr>
        <w:t>安装监检：今年共实施安装监检196台，其中锅炉2台，电梯49台，起重机械（含停车设备）43台，厂（场）内机动车辆102台。</w:t>
      </w:r>
    </w:p>
    <w:p w14:paraId="45DACEBD">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default"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（二）特种设备安全监察工作。</w:t>
      </w:r>
      <w:r>
        <w:rPr>
          <w:rFonts w:hint="default" w:ascii="方正仿宋_GBK" w:hAnsi="宋体" w:eastAsia="方正仿宋_GBK" w:cs="Times New Roman"/>
          <w:kern w:val="2"/>
          <w:sz w:val="32"/>
          <w:szCs w:val="32"/>
          <w:lang w:val="en-US" w:eastAsia="zh-CN" w:bidi="ar-SA"/>
        </w:rPr>
        <w:t>制定印发《2022年高阳县特种设备安全监察工作要点》《2022年特种设备安全执法检查计划》，组织开展特种设备“打非治违”和隐患排查治理集中行动、特种设备安全专项整治三年行动、市场监管领域安全生产大检查、燃气行业领域安全排查整治、特种设备超期未检专项整治行动、电梯质量安全提升行动、“黑气瓶”整治巩固提升行动以及冬奥会、高中考、节日期间、二十大期间等重要时间节点的专项检查，已超额提前完成全年目标。</w:t>
      </w:r>
    </w:p>
    <w:p w14:paraId="6E1ECDAD">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（三）开展重点项目专项行动</w:t>
      </w:r>
    </w:p>
    <w:p w14:paraId="43CB2C33">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default" w:ascii="方正仿宋_GBK" w:hAnsi="宋体" w:eastAsia="方正仿宋_GBK" w:cs="Times New Roman"/>
          <w:kern w:val="2"/>
          <w:sz w:val="32"/>
          <w:szCs w:val="32"/>
          <w:lang w:val="en-US" w:eastAsia="zh-CN" w:bidi="ar-SA"/>
        </w:rPr>
      </w:pPr>
      <w:r>
        <w:rPr>
          <w:rFonts w:hint="default" w:ascii="方正仿宋_GBK" w:hAnsi="宋体" w:eastAsia="方正仿宋_GBK" w:cs="Times New Roman"/>
          <w:kern w:val="2"/>
          <w:sz w:val="32"/>
          <w:szCs w:val="32"/>
          <w:lang w:val="en-US" w:eastAsia="zh-CN" w:bidi="ar-SA"/>
        </w:rPr>
        <w:t>1.</w:t>
      </w:r>
      <w:r>
        <w:rPr>
          <w:rFonts w:hint="eastAsia" w:ascii="方正仿宋_GBK" w:hAnsi="宋体" w:eastAsia="方正仿宋_GBK" w:cs="Times New Roman"/>
          <w:kern w:val="2"/>
          <w:sz w:val="32"/>
          <w:szCs w:val="32"/>
          <w:lang w:val="en-US" w:eastAsia="zh-CN" w:bidi="ar-SA"/>
        </w:rPr>
        <w:t>开展</w:t>
      </w:r>
      <w:r>
        <w:rPr>
          <w:rFonts w:hint="default" w:ascii="方正仿宋_GBK" w:hAnsi="宋体" w:eastAsia="方正仿宋_GBK" w:cs="Times New Roman"/>
          <w:kern w:val="2"/>
          <w:sz w:val="32"/>
          <w:szCs w:val="32"/>
          <w:lang w:val="en-US" w:eastAsia="zh-CN" w:bidi="ar-SA"/>
        </w:rPr>
        <w:t>电梯安全隐患大排查大整治专项行动。开展电梯质量安全提升行动和民生领域案件查办“铁拳”行动，出动执法人员175人次，检查电梯526部，督促使用单位对2处电梯安全注意事项张贴位置不规范的问题进行了现场整改。</w:t>
      </w:r>
    </w:p>
    <w:p w14:paraId="66750C38">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default" w:ascii="方正仿宋_GBK" w:hAnsi="宋体" w:eastAsia="方正仿宋_GBK" w:cs="Times New Roman"/>
          <w:kern w:val="2"/>
          <w:sz w:val="32"/>
          <w:szCs w:val="32"/>
          <w:lang w:val="en-US" w:eastAsia="zh-CN" w:bidi="ar-SA"/>
        </w:rPr>
      </w:pPr>
      <w:r>
        <w:rPr>
          <w:rFonts w:hint="default" w:ascii="方正仿宋_GBK" w:hAnsi="宋体" w:eastAsia="方正仿宋_GBK" w:cs="Times New Roman"/>
          <w:kern w:val="2"/>
          <w:sz w:val="32"/>
          <w:szCs w:val="32"/>
          <w:lang w:val="en-US" w:eastAsia="zh-CN" w:bidi="ar-SA"/>
        </w:rPr>
        <w:t>2.认真开展起重机械隐患排查治理工作。我县共有起重机械177台在用起重机械，全部加装了“双限位”装置。</w:t>
      </w:r>
    </w:p>
    <w:p w14:paraId="6CE783E1">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default" w:ascii="方正仿宋_GBK" w:hAnsi="宋体" w:eastAsia="方正仿宋_GBK" w:cs="Times New Roman"/>
          <w:kern w:val="2"/>
          <w:sz w:val="32"/>
          <w:szCs w:val="32"/>
          <w:lang w:val="en-US" w:eastAsia="zh-CN" w:bidi="ar-SA"/>
        </w:rPr>
      </w:pPr>
      <w:r>
        <w:rPr>
          <w:rFonts w:hint="default" w:ascii="方正仿宋_GBK" w:hAnsi="宋体" w:eastAsia="方正仿宋_GBK" w:cs="Times New Roman"/>
          <w:kern w:val="2"/>
          <w:sz w:val="32"/>
          <w:szCs w:val="32"/>
          <w:lang w:val="en-US" w:eastAsia="zh-CN" w:bidi="ar-SA"/>
        </w:rPr>
        <w:t>3.开展燃气安全排查整治。在全县深入开展燃气行业领域全链条全覆盖排查整治。出动执法检查人员75人次，检查燃气充装单位8家（次），未发现安全隐患。</w:t>
      </w:r>
    </w:p>
    <w:p w14:paraId="2EDC1DC3">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default"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w:t>
      </w:r>
      <w:r>
        <w:rPr>
          <w:rFonts w:hint="default" w:ascii="方正仿宋_GBK" w:hAnsi="宋体" w:eastAsia="方正仿宋_GBK" w:cs="Times New Roman"/>
          <w:kern w:val="2"/>
          <w:sz w:val="32"/>
          <w:szCs w:val="32"/>
          <w:lang w:val="en-US" w:eastAsia="zh-CN" w:bidi="ar-SA"/>
        </w:rPr>
        <w:t>.全面完成电梯使用标志换新工作。加强与电梯维保单位的沟通协调，督促其领取、更换所维保电梯的使用标志，已于8月份全部完成了803部在用电梯使用标志换新工作。</w:t>
      </w:r>
    </w:p>
    <w:p w14:paraId="68673DE3">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default"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5</w:t>
      </w:r>
      <w:r>
        <w:rPr>
          <w:rFonts w:hint="default" w:ascii="方正仿宋_GBK" w:hAnsi="宋体" w:eastAsia="方正仿宋_GBK" w:cs="Times New Roman"/>
          <w:kern w:val="2"/>
          <w:sz w:val="32"/>
          <w:szCs w:val="32"/>
          <w:lang w:val="en-US" w:eastAsia="zh-CN" w:bidi="ar-SA"/>
        </w:rPr>
        <w:t>.</w:t>
      </w:r>
      <w:r>
        <w:rPr>
          <w:rFonts w:hint="eastAsia" w:ascii="方正仿宋_GBK" w:hAnsi="宋体" w:eastAsia="方正仿宋_GBK" w:cs="Times New Roman"/>
          <w:kern w:val="2"/>
          <w:sz w:val="32"/>
          <w:szCs w:val="32"/>
          <w:lang w:val="en-US" w:eastAsia="zh-CN" w:bidi="ar-SA"/>
        </w:rPr>
        <w:t>发挥平台作用。</w:t>
      </w:r>
      <w:r>
        <w:rPr>
          <w:rFonts w:hint="default" w:ascii="方正仿宋_GBK" w:hAnsi="宋体" w:eastAsia="方正仿宋_GBK" w:cs="Times New Roman"/>
          <w:kern w:val="2"/>
          <w:sz w:val="32"/>
          <w:szCs w:val="32"/>
          <w:lang w:val="en-US" w:eastAsia="zh-CN" w:bidi="ar-SA"/>
        </w:rPr>
        <w:t>充分发挥特种设备综合管理系统和保定市电梯信息监管平台作用，为基层特种设备安全监察工作提供参考。共受理安装告知229次，录入叉车信息141台。</w:t>
      </w:r>
    </w:p>
    <w:p w14:paraId="23E44078">
      <w:pPr>
        <w:keepNext w:val="0"/>
        <w:keepLines w:val="0"/>
        <w:pageBreakBefore w:val="0"/>
        <w:widowControl w:val="0"/>
        <w:kinsoku/>
        <w:wordWrap/>
        <w:overflowPunct/>
        <w:topLinePunct w:val="0"/>
        <w:autoSpaceDE/>
        <w:autoSpaceDN w:val="0"/>
        <w:bidi w:val="0"/>
        <w:adjustRightInd/>
        <w:snapToGrid/>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十一、网络交易监管工作</w:t>
      </w:r>
    </w:p>
    <w:p w14:paraId="3EB0C191">
      <w:pPr>
        <w:keepNext w:val="0"/>
        <w:keepLines w:val="0"/>
        <w:pageBreakBefore w:val="0"/>
        <w:widowControl w:val="0"/>
        <w:kinsoku/>
        <w:wordWrap/>
        <w:overflowPunct/>
        <w:topLinePunct w:val="0"/>
        <w:autoSpaceDE/>
        <w:autoSpaceDN w:val="0"/>
        <w:bidi w:val="0"/>
        <w:adjustRightInd/>
        <w:snapToGrid/>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对全国网络交易平台监管服务系统进行更新系统学习，并对系统内1575家网店、297家网站、65家公众号、575家外卖数据根据执法所、队所在辖区进行划分，明确责任。对65家公众号是否正常运行进行查验，对涉黄涉赌的</w:t>
      </w:r>
      <w:r>
        <w:rPr>
          <w:rFonts w:hint="default" w:ascii="方正仿宋_GBK" w:hAnsi="宋体" w:eastAsia="方正仿宋_GBK" w:cs="Times New Roman"/>
          <w:kern w:val="2"/>
          <w:sz w:val="32"/>
          <w:szCs w:val="32"/>
          <w:lang w:val="en-US" w:eastAsia="zh-CN" w:bidi="ar-SA"/>
        </w:rPr>
        <w:t>16</w:t>
      </w:r>
      <w:r>
        <w:rPr>
          <w:rFonts w:hint="eastAsia" w:ascii="方正仿宋_GBK" w:hAnsi="宋体" w:eastAsia="方正仿宋_GBK" w:cs="Times New Roman"/>
          <w:kern w:val="2"/>
          <w:sz w:val="32"/>
          <w:szCs w:val="32"/>
          <w:lang w:val="en-US" w:eastAsia="zh-CN" w:bidi="ar-SA"/>
        </w:rPr>
        <w:t>家网站移交给网信办进行核查处置。组织开展“亮照亮证”现场培训讲解活动，并对网店进行“亮照亮证”情况进行网上随机抽查。</w:t>
      </w:r>
    </w:p>
    <w:p w14:paraId="53E941D2">
      <w:pPr>
        <w:pStyle w:val="2"/>
        <w:keepNext w:val="0"/>
        <w:keepLines w:val="0"/>
        <w:pageBreakBefore w:val="0"/>
        <w:numPr>
          <w:ilvl w:val="0"/>
          <w:numId w:val="0"/>
        </w:numPr>
        <w:kinsoku/>
        <w:wordWrap/>
        <w:overflowPunct/>
        <w:topLinePunct w:val="0"/>
        <w:autoSpaceDE/>
        <w:bidi w:val="0"/>
        <w:spacing w:line="560" w:lineRule="exact"/>
        <w:ind w:left="63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十二、消费者保护工作</w:t>
      </w:r>
    </w:p>
    <w:p w14:paraId="0888377C">
      <w:pPr>
        <w:pStyle w:val="10"/>
        <w:keepNext w:val="0"/>
        <w:keepLines w:val="0"/>
        <w:pageBreakBefore w:val="0"/>
        <w:widowControl/>
        <w:kinsoku/>
        <w:wordWrap/>
        <w:overflowPunct/>
        <w:topLinePunct w:val="0"/>
        <w:autoSpaceDE/>
        <w:bidi w:val="0"/>
        <w:spacing w:beforeAutospacing="0" w:afterAutospacing="0"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一）投诉举办理情况。截至目前，共接收12315平台转办单2022个，完成初查反馈量1992个；共接收12345平台转办单384个，已全部完反馈；各种移送交办40个，电话接诉200余个。核查反馈和电话回访情况抽查均为100%。做到有诉必接、有接必查、有查必果、有果必复。</w:t>
      </w:r>
    </w:p>
    <w:p w14:paraId="5F8D720F">
      <w:pPr>
        <w:pStyle w:val="10"/>
        <w:keepNext w:val="0"/>
        <w:keepLines w:val="0"/>
        <w:pageBreakBefore w:val="0"/>
        <w:widowControl/>
        <w:kinsoku/>
        <w:wordWrap/>
        <w:overflowPunct/>
        <w:topLinePunct w:val="0"/>
        <w:autoSpaceDE/>
        <w:bidi w:val="0"/>
        <w:spacing w:beforeAutospacing="0" w:afterAutospacing="0"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二）“3·15”国际消费者权益日活动情况。“3·15”活动围绕“共促消费公平”年主题活动，宣传以“共促消费公平”为主题，立足职能、结合实际组织开展形式多样的宣传和咨询服务活动。设立咨询台与群众开展面对面消费维权法律知识的宣传教育，对食品、药品、特设、知识产权、质量、标准、计量等消费知识盲区进行答疑解惑，增强群众鉴假维权能力。</w:t>
      </w:r>
    </w:p>
    <w:p w14:paraId="3AD6AAFC">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十三、“</w:t>
      </w:r>
      <w:bookmarkStart w:id="0" w:name="_GoBack"/>
      <w:bookmarkEnd w:id="0"/>
      <w:r>
        <w:rPr>
          <w:rFonts w:hint="eastAsia" w:ascii="方正仿宋_GBK" w:hAnsi="宋体" w:eastAsia="方正仿宋_GBK" w:cs="Times New Roman"/>
          <w:kern w:val="2"/>
          <w:sz w:val="32"/>
          <w:szCs w:val="32"/>
          <w:lang w:val="en-US" w:eastAsia="zh-CN" w:bidi="ar-SA"/>
        </w:rPr>
        <w:t>双随机、一公开”监管工作</w:t>
      </w:r>
    </w:p>
    <w:p w14:paraId="40C0F2F8">
      <w:pPr>
        <w:keepNext w:val="0"/>
        <w:keepLines w:val="0"/>
        <w:pageBreakBefore w:val="0"/>
        <w:kinsoku/>
        <w:wordWrap/>
        <w:overflowPunct/>
        <w:topLinePunct w:val="0"/>
        <w:autoSpaceDE/>
        <w:bidi w:val="0"/>
        <w:spacing w:line="560" w:lineRule="exact"/>
        <w:ind w:firstLine="640"/>
        <w:jc w:val="both"/>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开展跨部门抽查情况。2022年1月至12月底，“双随机、一公开”各成员部门按照双随机抽查计划，依托“河北省双随机监管工作平台”共开展抽查32次。其中组织内部联合抽查25次，检查市场主体338户，发现问题69户，抽查结果已全部公示；开展跨部门联合抽查检查7次，抽查市场主体79户，发现问题22户，抽查结果已全部公示。</w:t>
      </w:r>
    </w:p>
    <w:p w14:paraId="5C33087D">
      <w:pPr>
        <w:keepNext w:val="0"/>
        <w:keepLines w:val="0"/>
        <w:pageBreakBefore w:val="0"/>
        <w:kinsoku/>
        <w:wordWrap/>
        <w:overflowPunct/>
        <w:topLinePunct w:val="0"/>
        <w:autoSpaceDE/>
        <w:bidi w:val="0"/>
        <w:spacing w:line="560" w:lineRule="exact"/>
        <w:ind w:firstLine="640"/>
        <w:jc w:val="both"/>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运用信用风险分级分类开展随机抽查26次，抽查市场主体401户，占总抽查次数比例100%，发现问题91户，抽查结果已全部公示。</w:t>
      </w:r>
    </w:p>
    <w:p w14:paraId="7E60C9FA">
      <w:pPr>
        <w:keepNext w:val="0"/>
        <w:keepLines w:val="0"/>
        <w:pageBreakBefore w:val="0"/>
        <w:kinsoku/>
        <w:wordWrap/>
        <w:overflowPunct/>
        <w:topLinePunct w:val="0"/>
        <w:autoSpaceDE/>
        <w:bidi w:val="0"/>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十四、投资类企业金融风险排查工作情况</w:t>
      </w:r>
    </w:p>
    <w:p w14:paraId="00CDC75C">
      <w:pPr>
        <w:keepNext w:val="0"/>
        <w:keepLines w:val="0"/>
        <w:pageBreakBefore w:val="0"/>
        <w:kinsoku/>
        <w:wordWrap/>
        <w:overflowPunct/>
        <w:topLinePunct w:val="0"/>
        <w:autoSpaceDE/>
        <w:bidi w:val="0"/>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制定了《高阳县市场监督管理局开展非法集资排查整治专项行动实施方案》，通过多次排查，扎实开展工作，年初共有投资类企业29户，列入经营异常名录5户，列入严重违法失信企业名单2户，吊销营业执照15户，未发现问题7户。</w:t>
      </w:r>
    </w:p>
    <w:p w14:paraId="690703F4">
      <w:pPr>
        <w:keepNext w:val="0"/>
        <w:keepLines w:val="0"/>
        <w:pageBreakBefore w:val="0"/>
        <w:numPr>
          <w:ilvl w:val="0"/>
          <w:numId w:val="0"/>
        </w:numPr>
        <w:kinsoku/>
        <w:wordWrap/>
        <w:overflowPunct/>
        <w:topLinePunct w:val="0"/>
        <w:autoSpaceDE/>
        <w:bidi w:val="0"/>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十五、市场主体工作</w:t>
      </w:r>
    </w:p>
    <w:p w14:paraId="59A16C0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一）年报工作情况及经营异常名录情况。2022年1月至10月，我局指导个体工商户和企业进行年报以及补报年报，并指导列异个体工商户和企业填写移出经营异常名录申请表及相关移出审批表，信用修复申请移出异常名录1115户；经审核各监管所提交的相关列异材料，列入异常180户。截至6月30日，企业年报率：73.47%，农民专业合作社年报率：52.6%，个体户年报率：33.63%。</w:t>
      </w:r>
    </w:p>
    <w:p w14:paraId="24F76015">
      <w:pPr>
        <w:keepNext w:val="0"/>
        <w:keepLines w:val="0"/>
        <w:pageBreakBefore w:val="0"/>
        <w:kinsoku/>
        <w:wordWrap/>
        <w:overflowPunct/>
        <w:topLinePunct w:val="0"/>
        <w:autoSpaceDE/>
        <w:bidi w:val="0"/>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二）查处无照生产经营。为进一步规范市场经营秩序，营造公平竞争的市场环境，制定了《高阳县市场监督管理局查处无照生产经营专项行动工作方案》，2022年1月至9月14日，共检查生产经营主体608户次，查处无照生产经营85户，查处无照生产经营案件84件，罚没金额106.491171万元，责令补办营业执照85户。</w:t>
      </w:r>
    </w:p>
    <w:p w14:paraId="69B5E074">
      <w:pPr>
        <w:pStyle w:val="2"/>
        <w:keepNext w:val="0"/>
        <w:keepLines w:val="0"/>
        <w:pageBreakBefore w:val="0"/>
        <w:kinsoku/>
        <w:wordWrap/>
        <w:overflowPunct/>
        <w:topLinePunct w:val="0"/>
        <w:autoSpaceDE/>
        <w:bidi w:val="0"/>
        <w:spacing w:line="560" w:lineRule="exact"/>
        <w:ind w:firstLine="640"/>
        <w:textAlignment w:val="auto"/>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三）市场主体提质增量工作情况。2022年市场主体增量任务总量为2645户，其中企业增长目标数为982户，个体增长目标数为1663户。截至2022年10月17日，市场主体总量增长为1775户，其中企业净增长为140户，个体净增长为1635户。目前距离年终任务目标相差870户。市场主体增量任务分解到各乡镇，其中锦华200户，庞口200户，邢南100户，晋庄100户，西演100户，小王果庄70户，蒲口70户，庞佐60户。确保11月底完成。净增长市场主体数据要保持到2022年12月26日。</w:t>
      </w:r>
    </w:p>
    <w:p w14:paraId="63225FF3">
      <w:pPr>
        <w:rPr>
          <w:rFonts w:hint="default"/>
          <w:lang w:val="en-US" w:eastAsia="zh-CN"/>
        </w:rPr>
      </w:pPr>
      <w:r>
        <w:rPr>
          <w:rFonts w:hint="eastAsia" w:ascii="方正仿宋_GBK" w:hAnsi="宋体" w:eastAsia="方正仿宋_GBK" w:cs="Times New Roman"/>
          <w:kern w:val="2"/>
          <w:sz w:val="32"/>
          <w:szCs w:val="32"/>
          <w:lang w:val="en-US" w:eastAsia="zh-CN" w:bidi="ar-SA"/>
        </w:rPr>
        <w:t xml:space="preserve">    十六、配合全县完成疫情防控工作。配合县级各单位完成防疫物资采购发放工作。确保疫情防控工作圆满完成。</w:t>
      </w:r>
    </w:p>
    <w:p w14:paraId="55B4114F">
      <w:pPr>
        <w:snapToGrid w:val="0"/>
        <w:spacing w:line="580" w:lineRule="exact"/>
        <w:ind w:firstLine="640"/>
        <w:rPr>
          <w:rFonts w:ascii="方正黑体_GBK" w:hAnsi="宋体" w:eastAsia="方正黑体_GBK"/>
          <w:sz w:val="32"/>
          <w:szCs w:val="32"/>
        </w:rPr>
      </w:pPr>
      <w:r>
        <w:rPr>
          <w:rFonts w:hint="eastAsia" w:ascii="方正黑体_GBK" w:hAnsi="宋体" w:eastAsia="方正黑体_GBK"/>
          <w:sz w:val="32"/>
          <w:szCs w:val="32"/>
        </w:rPr>
        <w:t>三、绩效目标设定质量情况</w:t>
      </w:r>
    </w:p>
    <w:p w14:paraId="7DBBE316">
      <w:pPr>
        <w:snapToGrid w:val="0"/>
        <w:spacing w:line="580" w:lineRule="exact"/>
        <w:ind w:firstLine="640"/>
        <w:rPr>
          <w:rFonts w:hint="eastAsia" w:ascii="方正仿宋_GBK" w:hAnsi="宋体" w:eastAsia="方正仿宋_GBK" w:cs="Times New Roman"/>
          <w:sz w:val="32"/>
          <w:szCs w:val="32"/>
          <w:lang w:eastAsia="zh-CN"/>
        </w:rPr>
      </w:pPr>
      <w:r>
        <w:rPr>
          <w:rFonts w:hint="eastAsia" w:ascii="方正仿宋_GBK" w:hAnsi="宋体" w:eastAsia="方正仿宋_GBK" w:cs="Times New Roman"/>
          <w:sz w:val="32"/>
          <w:szCs w:val="32"/>
          <w:lang w:val="en-US" w:eastAsia="zh-CN"/>
        </w:rPr>
        <w:t>2022年度，本部门预算整体支出绩效运行总体较好，项目经费按专项进行明细核算，做到了专款专用。本部门实施通过动态监控中也发现一些问题：个别项目支付进度缓慢，是由于项目审核过程复杂。在下一步的工作中，我局将按财政</w:t>
      </w:r>
      <w:r>
        <w:rPr>
          <w:rFonts w:hint="eastAsia" w:ascii="方正仿宋_GBK" w:hAnsi="宋体" w:eastAsia="方正仿宋_GBK" w:cs="Times New Roman"/>
          <w:sz w:val="32"/>
          <w:szCs w:val="32"/>
        </w:rPr>
        <w:t>部门有关动态监管管理的要求，逐项整改完善，充分发挥部门预算资金的整体效益</w:t>
      </w:r>
      <w:r>
        <w:rPr>
          <w:rFonts w:hint="eastAsia" w:ascii="方正仿宋_GBK" w:hAnsi="宋体" w:eastAsia="方正仿宋_GBK" w:cs="Times New Roman"/>
          <w:sz w:val="32"/>
          <w:szCs w:val="32"/>
          <w:lang w:eastAsia="zh-CN"/>
        </w:rPr>
        <w:t>。</w:t>
      </w:r>
    </w:p>
    <w:p w14:paraId="6DB377F4">
      <w:pPr>
        <w:snapToGrid w:val="0"/>
        <w:spacing w:line="580" w:lineRule="exact"/>
        <w:ind w:firstLine="64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一是运用行政与法律手段，对市场经营主体及市场行为进行行政指导、监督管理。建立和维护市场秩序，服务地方经济发展。</w:t>
      </w:r>
    </w:p>
    <w:p w14:paraId="3CA55BA4">
      <w:pPr>
        <w:snapToGrid w:val="0"/>
        <w:spacing w:line="580" w:lineRule="exact"/>
        <w:ind w:firstLine="64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二是依法规范和维护全县各类市场经营秩序，监督管理市场交易行为和网络商品交易及有关服务的行为。</w:t>
      </w:r>
    </w:p>
    <w:p w14:paraId="5A1F9BAE">
      <w:pPr>
        <w:snapToGrid w:val="0"/>
        <w:spacing w:line="580" w:lineRule="exact"/>
        <w:ind w:firstLine="64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三是依法查处取缔无照经营，组织指导全县企业、个体工商户、商品交易市场信用分类管理。</w:t>
      </w:r>
    </w:p>
    <w:p w14:paraId="593DB694">
      <w:pPr>
        <w:snapToGrid w:val="0"/>
        <w:spacing w:line="580" w:lineRule="exact"/>
        <w:ind w:firstLine="64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四是依法对流通领域商品质量（不含食品、农资、成品油）进行抽查检验，开展对生产资料、农资、化肥、成品油等进行分批次抽检。通过开展抽检工作，不断提升我县流通领域商品质量水平。保护农民利益，更好的维护正常的市场经济秩序。</w:t>
      </w:r>
    </w:p>
    <w:p w14:paraId="41EB42C9">
      <w:pPr>
        <w:snapToGrid w:val="0"/>
        <w:spacing w:line="580" w:lineRule="exact"/>
        <w:ind w:firstLine="64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五是依法保护商标专用权和查处商标侵权行为。</w:t>
      </w:r>
    </w:p>
    <w:p w14:paraId="1FAD2865">
      <w:pPr>
        <w:snapToGrid w:val="0"/>
        <w:spacing w:line="580" w:lineRule="exact"/>
        <w:ind w:firstLine="64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六是依法查处违法直销和传销行为，依法监督管理直销企业和直销员及其直销活动。</w:t>
      </w:r>
    </w:p>
    <w:p w14:paraId="440A59B1">
      <w:pPr>
        <w:snapToGrid w:val="0"/>
        <w:spacing w:line="580" w:lineRule="exact"/>
        <w:ind w:firstLine="64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七是依法查处各类违法行为。</w:t>
      </w:r>
    </w:p>
    <w:p w14:paraId="2DD66BB8">
      <w:pPr>
        <w:snapToGrid w:val="0"/>
        <w:spacing w:line="580" w:lineRule="exact"/>
        <w:ind w:firstLine="64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八是组织全县消费者权益保护工作。</w:t>
      </w:r>
    </w:p>
    <w:p w14:paraId="2C0C687C">
      <w:pPr>
        <w:snapToGrid w:val="0"/>
        <w:spacing w:line="580" w:lineRule="exact"/>
        <w:ind w:firstLine="64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九是深入开展食品药品日常监督检查及专项工作。</w:t>
      </w:r>
    </w:p>
    <w:p w14:paraId="36C30EC8">
      <w:pPr>
        <w:snapToGrid w:val="0"/>
        <w:spacing w:line="580" w:lineRule="exact"/>
        <w:ind w:firstLine="64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十是规范和监督商品计量和市场计量行为。</w:t>
      </w:r>
    </w:p>
    <w:p w14:paraId="718DBCC6">
      <w:pPr>
        <w:snapToGrid w:val="0"/>
        <w:spacing w:line="580" w:lineRule="exact"/>
        <w:ind w:firstLine="64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十一是管理全县产品质量安全强制检验、监督抽查等工作，承担纤维、棉花、工业产品、计量器具及设备、食品相关产品、特种设备检验检测，环境质量、环保产品质量检测。</w:t>
      </w:r>
    </w:p>
    <w:p w14:paraId="3A6938AE">
      <w:pPr>
        <w:snapToGrid w:val="0"/>
        <w:spacing w:line="580" w:lineRule="exact"/>
        <w:ind w:firstLine="640"/>
        <w:rPr>
          <w:rFonts w:hint="eastAsia"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val="en-US" w:eastAsia="zh-CN"/>
        </w:rPr>
        <w:t xml:space="preserve">十二是严格督促商超、饭店、药店落实通风、消毒、测温、验码、登记、戴口罩防控措施，配合相关部门做好疫情防控工作。      </w:t>
      </w:r>
    </w:p>
    <w:p w14:paraId="3667CFBA">
      <w:pPr>
        <w:snapToGrid w:val="0"/>
        <w:spacing w:line="580" w:lineRule="exact"/>
        <w:ind w:firstLine="640"/>
        <w:rPr>
          <w:rFonts w:ascii="方正黑体_GBK" w:hAnsi="宋体" w:eastAsia="方正黑体_GBK"/>
          <w:sz w:val="32"/>
          <w:szCs w:val="32"/>
        </w:rPr>
      </w:pPr>
      <w:r>
        <w:rPr>
          <w:rFonts w:hint="eastAsia" w:ascii="方正黑体_GBK" w:hAnsi="宋体" w:eastAsia="方正黑体_GBK"/>
          <w:sz w:val="32"/>
          <w:szCs w:val="32"/>
        </w:rPr>
        <w:t>四、整改措施及结果应用</w:t>
      </w:r>
    </w:p>
    <w:p w14:paraId="726CD5EA">
      <w:pPr>
        <w:snapToGrid w:val="0"/>
        <w:spacing w:line="580" w:lineRule="exact"/>
        <w:ind w:firstLine="64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lang w:val="en-US" w:eastAsia="zh-CN"/>
        </w:rPr>
        <w:t>1.</w:t>
      </w:r>
      <w:r>
        <w:rPr>
          <w:rFonts w:hint="eastAsia" w:ascii="方正仿宋_GBK" w:hAnsi="宋体" w:eastAsia="方正仿宋_GBK" w:cs="Times New Roman"/>
          <w:sz w:val="32"/>
          <w:szCs w:val="32"/>
        </w:rPr>
        <w:t>加强日常监控工作</w:t>
      </w: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rPr>
        <w:t>保证资金高效使用，加快审核速度，日常巡查、月度考核结果及时汇总，提升工作效率，把握经费支付进度，同时还需要进一步合理、精准、科学的编制预算，从实际需求出发，严谨把握，协同加强资金管理，控制资金结余率，有效提高项目实施效率。对所有项目实施监管不能松懈，督促养护和施工单位提高专业技能水平，提升工作效率，保质保量完成各项目工作。</w:t>
      </w:r>
    </w:p>
    <w:p w14:paraId="2D092716">
      <w:pPr>
        <w:snapToGrid w:val="0"/>
        <w:spacing w:line="580" w:lineRule="exact"/>
        <w:ind w:firstLine="640"/>
        <w:rPr>
          <w:rFonts w:hint="eastAsia"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val="en-US" w:eastAsia="zh-CN"/>
        </w:rPr>
        <w:t>2.发挥职能作用，积极搭建银企对接平台；加强商标、广告监管工作；加强抽检力度，确保流通领域商品质量；加强网络市场监管、开展专项整治；继续优化经营环境认真开展“善美保定 诚信商家”放心消费创建示范活动；开展防范和处置非法集资工作，做好经济领域风险；防范加大扫黑除恶线索排查力度，共创安全市场环境。</w:t>
      </w:r>
    </w:p>
    <w:p w14:paraId="1464B926">
      <w:pPr>
        <w:snapToGrid w:val="0"/>
        <w:spacing w:line="580" w:lineRule="exact"/>
        <w:ind w:firstLine="640"/>
        <w:rPr>
          <w:rFonts w:hint="eastAsia"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val="en-US" w:eastAsia="zh-CN"/>
        </w:rPr>
        <w:t>3.大巡防大督查，促市场监管、队伍建设双提升。进一步提高市场监管支出的针对性、有效性，有力推进重点工作落实，全面提升队伍素质用“巡防”和“督查”两种手段，发现问题，解决问题，防范风险，推动工作。</w:t>
      </w:r>
    </w:p>
    <w:p w14:paraId="0E7B866B">
      <w:pPr>
        <w:snapToGrid w:val="0"/>
        <w:spacing w:line="580" w:lineRule="exact"/>
        <w:ind w:firstLine="640"/>
        <w:rPr>
          <w:rFonts w:hint="eastAsia"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val="en-US" w:eastAsia="zh-CN"/>
        </w:rPr>
        <w:t>4.进一步开展食品（含保健食品、酒类）、药品、医疗器材及化妆品安全违法案件的稽查工作，并对违法生产、经营、使用药品、医疗器械案件以及违法生产、经营食品的案件进行查处，保障人民群众用药饮食和器械安全，维持正常市场经济秩序。</w:t>
      </w:r>
    </w:p>
    <w:p w14:paraId="4556F21D">
      <w:pPr>
        <w:snapToGrid w:val="0"/>
        <w:spacing w:line="580" w:lineRule="exact"/>
        <w:ind w:firstLine="640"/>
        <w:rPr>
          <w:rFonts w:hint="eastAsia"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val="en-US" w:eastAsia="zh-CN"/>
        </w:rPr>
        <w:t>综上所述，2022年高阳县市场监督管理局较好的完成了我局各项工作任务，实现了年初既定整体支出的绩效目标。</w:t>
      </w:r>
    </w:p>
    <w:p w14:paraId="0AAD9ED8">
      <w:pPr>
        <w:snapToGrid w:val="0"/>
        <w:spacing w:line="580" w:lineRule="exact"/>
        <w:ind w:firstLine="420"/>
        <w:jc w:val="right"/>
        <w:rPr>
          <w:rFonts w:ascii="方正仿宋_GBK" w:eastAsia="方正仿宋_GBK"/>
        </w:rPr>
      </w:pPr>
    </w:p>
    <w:p w14:paraId="68E1CF5F">
      <w:pPr>
        <w:snapToGrid w:val="0"/>
        <w:spacing w:line="580" w:lineRule="exact"/>
        <w:ind w:firstLine="420"/>
        <w:jc w:val="right"/>
        <w:rPr>
          <w:rFonts w:ascii="方正仿宋_GBK" w:eastAsia="方正仿宋_GBK"/>
        </w:rPr>
      </w:pPr>
    </w:p>
    <w:p w14:paraId="4E1FB842">
      <w:pPr>
        <w:snapToGrid w:val="0"/>
        <w:spacing w:line="580" w:lineRule="exact"/>
        <w:ind w:firstLine="640"/>
        <w:jc w:val="right"/>
        <w:rPr>
          <w:rFonts w:hint="eastAsia"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val="en-US" w:eastAsia="zh-CN"/>
        </w:rPr>
        <w:t>高阳县市场监督管理局</w:t>
      </w:r>
    </w:p>
    <w:p w14:paraId="253BD07A">
      <w:pPr>
        <w:snapToGrid w:val="0"/>
        <w:spacing w:line="580" w:lineRule="exact"/>
        <w:ind w:firstLine="640"/>
        <w:jc w:val="right"/>
        <w:rPr>
          <w:rFonts w:hint="default"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val="en-US" w:eastAsia="zh-CN"/>
        </w:rPr>
        <w:t>2023年3月10日</w:t>
      </w:r>
    </w:p>
    <w:sectPr>
      <w:pgSz w:w="11906" w:h="16838"/>
      <w:pgMar w:top="2098" w:right="1418" w:bottom="153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50A512-31C5-4590-82CE-F5681A7D2B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202E1B1-8A0D-4BFA-92B1-7D6E06469F58}"/>
  </w:font>
  <w:font w:name="方正小标宋_GBK">
    <w:panose1 w:val="02000000000000000000"/>
    <w:charset w:val="86"/>
    <w:family w:val="script"/>
    <w:pitch w:val="default"/>
    <w:sig w:usb0="A00002BF" w:usb1="38CF7CFA" w:usb2="00082016" w:usb3="00000000" w:csb0="00040001" w:csb1="00000000"/>
    <w:embedRegular r:id="rId3" w:fontKey="{CBF7E43E-B15B-4771-9520-7ECA20270E8E}"/>
  </w:font>
  <w:font w:name="Tahoma">
    <w:panose1 w:val="020B0604030504040204"/>
    <w:charset w:val="00"/>
    <w:family w:val="swiss"/>
    <w:pitch w:val="default"/>
    <w:sig w:usb0="E1002EFF" w:usb1="C000605B" w:usb2="00000029" w:usb3="00000000" w:csb0="200101FF" w:csb1="20280000"/>
    <w:embedRegular r:id="rId4" w:fontKey="{087132F4-30CA-4B73-BF95-144D1F0E5798}"/>
  </w:font>
  <w:font w:name="仿宋">
    <w:panose1 w:val="02010609060101010101"/>
    <w:charset w:val="86"/>
    <w:family w:val="auto"/>
    <w:pitch w:val="default"/>
    <w:sig w:usb0="800002BF" w:usb1="38CF7CFA" w:usb2="00000016" w:usb3="00000000" w:csb0="00040001" w:csb1="00000000"/>
    <w:embedRegular r:id="rId5" w:fontKey="{E38B6BF0-E5CF-4357-A095-4DA442678CAC}"/>
  </w:font>
  <w:font w:name="方正仿宋_GBK">
    <w:panose1 w:val="02000000000000000000"/>
    <w:charset w:val="86"/>
    <w:family w:val="script"/>
    <w:pitch w:val="default"/>
    <w:sig w:usb0="A00002BF" w:usb1="38CF7CFA" w:usb2="00082016" w:usb3="00000000" w:csb0="00040001" w:csb1="00000000"/>
    <w:embedRegular r:id="rId6" w:fontKey="{1B555C64-8A06-496A-9F20-8628AA7E0F18}"/>
  </w:font>
  <w:font w:name="方正黑体_GBK">
    <w:altName w:val="微软雅黑"/>
    <w:panose1 w:val="03000509000000000000"/>
    <w:charset w:val="86"/>
    <w:family w:val="script"/>
    <w:pitch w:val="default"/>
    <w:sig w:usb0="00000000" w:usb1="00000000" w:usb2="00000010" w:usb3="00000000" w:csb0="00040000" w:csb1="00000000"/>
    <w:embedRegular r:id="rId7" w:fontKey="{E3088F9C-3CCA-430C-8DC0-4186F90D1F9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MWE4NDc1YTBiMDdmYjYzNzUwMTg4YjMzZGNiNTUifQ=="/>
  </w:docVars>
  <w:rsids>
    <w:rsidRoot w:val="00EF16A3"/>
    <w:rsid w:val="0003266D"/>
    <w:rsid w:val="000B5213"/>
    <w:rsid w:val="001627CF"/>
    <w:rsid w:val="00172022"/>
    <w:rsid w:val="00176210"/>
    <w:rsid w:val="001D2D4C"/>
    <w:rsid w:val="002B509A"/>
    <w:rsid w:val="003444DB"/>
    <w:rsid w:val="00383AC5"/>
    <w:rsid w:val="003A03E0"/>
    <w:rsid w:val="003B412A"/>
    <w:rsid w:val="00432709"/>
    <w:rsid w:val="0047487F"/>
    <w:rsid w:val="00491FCD"/>
    <w:rsid w:val="004E6C05"/>
    <w:rsid w:val="004F6F9F"/>
    <w:rsid w:val="00546BCB"/>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F5C06"/>
    <w:rsid w:val="00B0713E"/>
    <w:rsid w:val="00B20499"/>
    <w:rsid w:val="00B27489"/>
    <w:rsid w:val="00B8177D"/>
    <w:rsid w:val="00B86365"/>
    <w:rsid w:val="00BA723B"/>
    <w:rsid w:val="00BE032C"/>
    <w:rsid w:val="00BE07DC"/>
    <w:rsid w:val="00C242EC"/>
    <w:rsid w:val="00CE156F"/>
    <w:rsid w:val="00D23678"/>
    <w:rsid w:val="00D43ED6"/>
    <w:rsid w:val="00DA1AC7"/>
    <w:rsid w:val="00DC2768"/>
    <w:rsid w:val="00DE50A2"/>
    <w:rsid w:val="00DF6FF4"/>
    <w:rsid w:val="00E57322"/>
    <w:rsid w:val="00E841B7"/>
    <w:rsid w:val="00E963F0"/>
    <w:rsid w:val="00ED5E84"/>
    <w:rsid w:val="00EE0B52"/>
    <w:rsid w:val="00EF16A3"/>
    <w:rsid w:val="00F57E52"/>
    <w:rsid w:val="02A2344A"/>
    <w:rsid w:val="1C085922"/>
    <w:rsid w:val="22F850EA"/>
    <w:rsid w:val="23101558"/>
    <w:rsid w:val="23DF3274"/>
    <w:rsid w:val="2565282D"/>
    <w:rsid w:val="28EC743C"/>
    <w:rsid w:val="2CD6033C"/>
    <w:rsid w:val="34B41F40"/>
    <w:rsid w:val="43857DDA"/>
    <w:rsid w:val="46C978C9"/>
    <w:rsid w:val="7EE83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Theme="minorHAnsi" w:eastAsiaTheme="minorEastAsia" w:cstheme="minorBidi"/>
    </w:rPr>
  </w:style>
  <w:style w:type="paragraph" w:styleId="3">
    <w:name w:val="heading 1"/>
    <w:basedOn w:val="1"/>
    <w:qFormat/>
    <w:uiPriority w:val="0"/>
    <w:pPr>
      <w:spacing w:before="480"/>
    </w:pPr>
    <w:rPr>
      <w:b/>
      <w:color w:val="345A8A"/>
      <w:sz w:val="32"/>
    </w:rPr>
  </w:style>
  <w:style w:type="paragraph" w:styleId="4">
    <w:name w:val="heading 2"/>
    <w:basedOn w:val="1"/>
    <w:uiPriority w:val="0"/>
    <w:pPr>
      <w:spacing w:before="200"/>
    </w:pPr>
    <w:rPr>
      <w:b/>
      <w:color w:val="4F81BD"/>
      <w:sz w:val="26"/>
    </w:rPr>
  </w:style>
  <w:style w:type="paragraph" w:styleId="5">
    <w:name w:val="heading 3"/>
    <w:basedOn w:val="1"/>
    <w:uiPriority w:val="0"/>
    <w:pPr>
      <w:spacing w:before="200"/>
    </w:pPr>
    <w:rPr>
      <w:b/>
      <w:color w:val="4F81BD"/>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32"/>
      <w:szCs w:val="32"/>
    </w:rPr>
  </w:style>
  <w:style w:type="paragraph" w:styleId="6">
    <w:name w:val="Body Text Indent"/>
    <w:basedOn w:val="1"/>
    <w:qFormat/>
    <w:uiPriority w:val="0"/>
    <w:pPr>
      <w:spacing w:after="120"/>
      <w:ind w:left="42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qFormat/>
    <w:uiPriority w:val="0"/>
    <w:rPr>
      <w:i/>
      <w:color w:val="4F81BD"/>
      <w:sz w:val="24"/>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qFormat/>
    <w:uiPriority w:val="0"/>
    <w:pPr>
      <w:spacing w:after="300"/>
    </w:pPr>
    <w:rPr>
      <w:color w:val="17365D"/>
      <w:sz w:val="52"/>
    </w:rPr>
  </w:style>
  <w:style w:type="paragraph" w:styleId="12">
    <w:name w:val="Body Text First Indent 2"/>
    <w:basedOn w:val="6"/>
    <w:unhideWhenUsed/>
    <w:qFormat/>
    <w:uiPriority w:val="99"/>
    <w:pPr>
      <w:ind w:firstLine="420"/>
    </w:pPr>
    <w:rPr>
      <w:rFonts w:ascii="Times New Roman" w:hAnsi="Times New Roman" w:eastAsia="宋体" w:cs="Times New Roman"/>
      <w:lang w:val="en-US" w:eastAsia="zh-CN" w:bidi="ar-SA"/>
    </w:rPr>
  </w:style>
  <w:style w:type="character" w:customStyle="1" w:styleId="15">
    <w:name w:val="页眉 Char"/>
    <w:basedOn w:val="14"/>
    <w:link w:val="8"/>
    <w:uiPriority w:val="99"/>
    <w:rPr>
      <w:sz w:val="18"/>
      <w:szCs w:val="18"/>
    </w:rPr>
  </w:style>
  <w:style w:type="character" w:customStyle="1" w:styleId="16">
    <w:name w:val="页脚 Char"/>
    <w:basedOn w:val="14"/>
    <w:link w:val="7"/>
    <w:qFormat/>
    <w:uiPriority w:val="99"/>
    <w:rPr>
      <w:sz w:val="18"/>
      <w:szCs w:val="18"/>
    </w:rPr>
  </w:style>
  <w:style w:type="paragraph" w:styleId="17">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18</Pages>
  <Words>9143</Words>
  <Characters>9582</Characters>
  <Lines>3</Lines>
  <Paragraphs>1</Paragraphs>
  <TotalTime>32</TotalTime>
  <ScaleCrop>false</ScaleCrop>
  <LinksUpToDate>false</LinksUpToDate>
  <CharactersWithSpaces>9593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wzy</cp:lastModifiedBy>
  <cp:lastPrinted>2020-01-06T00:47:00Z</cp:lastPrinted>
  <dcterms:modified xsi:type="dcterms:W3CDTF">2025-11-26T07:04:20Z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D10DEFDA51AA4C3C9783DF86A5254487_13</vt:lpwstr>
  </property>
  <property fmtid="{D5CDD505-2E9C-101B-9397-08002B2CF9AE}" pid="4" name="KSOTemplateDocerSaveRecord">
    <vt:lpwstr>eyJoZGlkIjoiMTVmMWE4NDc1YTBiMDdmYjYzNzUwMTg4YjMzZGNiNTUiLCJ1c2VySWQiOiIxMzczNzE3Mjk0In0=</vt:lpwstr>
  </property>
</Properties>
</file>