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2022年度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高阳县医疗保障局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580" w:lineRule="exact"/>
        <w:jc w:val="center"/>
        <w:rPr>
          <w:rFonts w:ascii="方正仿宋_GBK" w:hAnsi="宋体" w:eastAsia="方正仿宋_GBK"/>
          <w:sz w:val="32"/>
          <w:szCs w:val="32"/>
        </w:rPr>
      </w:pP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为提高财政资金使用效益，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高阳县财政局关于做好2022年度县级预算项目绩效自评工作的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通知》（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高财稽查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〔202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color="000000"/>
        </w:rPr>
        <w:t>的</w:t>
      </w:r>
      <w:r>
        <w:rPr>
          <w:rFonts w:hint="eastAsia" w:ascii="仿宋_GB2312" w:eastAsia="仿宋_GB2312" w:cs="Times New Roman"/>
          <w:color w:val="000000"/>
          <w:sz w:val="32"/>
          <w:szCs w:val="32"/>
          <w:u w:color="000000"/>
          <w:lang w:val="en-US" w:eastAsia="zh-CN"/>
        </w:rPr>
        <w:t>文件要求，</w:t>
      </w:r>
      <w:r>
        <w:rPr>
          <w:rFonts w:hint="eastAsia" w:ascii="仿宋_GB2312" w:hAnsi="Times New Roman" w:eastAsia="仿宋_GB2312" w:cs="Times New Roman"/>
          <w:sz w:val="32"/>
          <w:szCs w:val="32"/>
          <w:lang w:val="zh-TW" w:eastAsia="zh-TW"/>
        </w:rPr>
        <w:t>遵循“明确主体、科学公正、公开透明、激励约束”基本原则。</w:t>
      </w:r>
      <w:r>
        <w:rPr>
          <w:rFonts w:hint="eastAsia" w:ascii="仿宋" w:hAnsi="仿宋" w:eastAsia="仿宋" w:cs="仿宋"/>
          <w:sz w:val="32"/>
          <w:szCs w:val="32"/>
        </w:rPr>
        <w:t>我局高度重视，对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所有的预算项目支出资金进行了</w:t>
      </w:r>
      <w:r>
        <w:rPr>
          <w:rFonts w:hint="eastAsia" w:ascii="仿宋" w:hAnsi="仿宋" w:eastAsia="仿宋" w:cs="仿宋"/>
          <w:sz w:val="32"/>
          <w:szCs w:val="32"/>
        </w:rPr>
        <w:t>绩效自评。从预算编制、预算执行、绩效目标完成情况、绩效目标设置质量、基本支出、项目支出及内部控制制度建设等方面，采用定量分析和定性分析相结合的方法进行了综合评价。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u w:color="000000"/>
          <w:lang w:val="en-US" w:eastAsia="zh-CN"/>
        </w:rPr>
        <w:t>本单位抓紧组织开展绩效自评工作。全面收集、系统整理各预算项目绩效完成信息，确认各项绩效指标实际完成值和实现程度，我局从预算配置、预算执行、预算管理、履职效益等方面对2022年预算项目支出绩效开展了评价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围绕部门职责、行业发展规划，以预算资金管理为主线，统筹考虑资产和业务活动，从运行成本、管理效率、履职效能、社会效应、可持续发展能力和服务对象满意度等方面，衡量部门整体及核心业务实施效果，强化部门整体支出绩效管理责任，推动提高部门整体绩效管理水平。</w:t>
      </w:r>
    </w:p>
    <w:p>
      <w:pPr>
        <w:ind w:firstLine="594" w:firstLineChars="198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（一）绩效自评的组织工作</w:t>
      </w:r>
    </w:p>
    <w:p>
      <w:pPr>
        <w:ind w:firstLine="633" w:firstLineChars="198"/>
        <w:rPr>
          <w:bCs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为保证绩效评价工作顺利开展，我单位成立了绩效评价工作小组，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房红云</w:t>
      </w:r>
      <w:r>
        <w:rPr>
          <w:rFonts w:hint="eastAsia" w:ascii="仿宋" w:hAnsi="仿宋" w:eastAsia="仿宋" w:cs="仿宋"/>
          <w:sz w:val="32"/>
          <w:szCs w:val="32"/>
        </w:rPr>
        <w:t>为组长，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韩凤臣</w:t>
      </w:r>
      <w:r>
        <w:rPr>
          <w:rFonts w:hint="eastAsia" w:ascii="仿宋" w:hAnsi="仿宋" w:eastAsia="仿宋" w:cs="仿宋"/>
          <w:sz w:val="32"/>
          <w:szCs w:val="32"/>
        </w:rPr>
        <w:t>为副组长，各科室负责人为成员，负责绩效评价的组织管理和实施工作。工作小组下设绩效评价办公室，陈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思媛</w:t>
      </w:r>
      <w:r>
        <w:rPr>
          <w:rFonts w:hint="eastAsia" w:ascii="仿宋" w:hAnsi="仿宋" w:eastAsia="仿宋" w:cs="仿宋"/>
          <w:sz w:val="32"/>
          <w:szCs w:val="32"/>
        </w:rPr>
        <w:t>为主任，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李岩、齐雨娇</w:t>
      </w:r>
      <w:r>
        <w:rPr>
          <w:rFonts w:hint="eastAsia" w:ascii="仿宋" w:hAnsi="仿宋" w:eastAsia="仿宋" w:cs="仿宋"/>
          <w:sz w:val="32"/>
          <w:szCs w:val="32"/>
        </w:rPr>
        <w:t>为组员，负责日常工作。</w:t>
      </w:r>
    </w:p>
    <w:p>
      <w:pPr>
        <w:ind w:firstLine="594" w:firstLineChars="198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（二）实施过程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自评工作组对照工作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坚持以资金使用效果为导向，逐个对项目进行考核评价。本次绩效评价工作过程包括前期准备、组织实施、撰写评价报告三个阶段。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前期准备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先按照绩效评价工作要求，明确绩效评价的内容和范围，初步制定绩效评价工作方案。其次召开座谈会，对工作方案进行反复讨论并广泛征求相关部门和有关人员意见。三是在资料收集、信息核实、现场调研、访谈沟通等工作的基础上，对我单位各预算项目单独进行打分自评，各项目自评工作为实施全局年度绩效评价工作奠定了基础。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组织实施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评价工作小组对我单位年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预算项目</w:t>
      </w:r>
      <w:r>
        <w:rPr>
          <w:rFonts w:hint="eastAsia" w:ascii="仿宋" w:hAnsi="仿宋" w:eastAsia="仿宋" w:cs="仿宋"/>
          <w:sz w:val="32"/>
          <w:szCs w:val="32"/>
        </w:rPr>
        <w:t>的相关资料进行收集、整理。首先通过分析、核实、确保所收集的资料和数据真实、可靠。其次逐一梳理各文件内容，将存在的问题以批注形式予以说明，形成清单。最后，在与相关人员沟通过程中，直接对照资料清单进行核实，确保已提交和待补充的资料名称、存在的问题及重点信息同时展现。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撰写绩效评价报告</w:t>
      </w:r>
    </w:p>
    <w:p>
      <w:pPr>
        <w:ind w:firstLine="633" w:firstLineChars="1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小组成员在对收集的数据、资料进行核实、比较、计算的基础上，对比年度绩效目标，形成评价结论，根据评价结论撰写评价报告，并形成绩效评价档案。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（一）总体绩效目标</w:t>
      </w:r>
    </w:p>
    <w:p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以习近平新时代中国特色社会主义思想为指导，认真贯彻落实党中央、省委和市委关于医疗保障工作的方针政策和决策部署，立足发展阶段，继续深化医保改革，拟订完善医疗保障政策，加强关于医疗保障政策法规的宣传、推动和实施工作。加快转变职能，保障资金稳定可持续，合理使用，安全可控，保障人民群众就医需求，减轻医药费用负担。保障人民群众就医需求，减轻医药费用负担，提高医疗保障水平。加强医保基金监管力度，全力维护医疗基金运行安全，防范基金风险，实现收支平衡。进一步保障参保人员医疗保险待遇，保障参保人员基本医疗保险门诊特殊疾病的医疗需求。简化办公手续，提高参保率，确保参保人员享受医疗保障待遇，提高医疗资源使用效率和医疗保障水平，确保参保人员享受医疗保障待遇。优化程序，加快信息化建设，全力推进“一站式”即时结算服务，确保困难群众及时得到有效救助。及时完成下达的各项医疗保障任务，积极扩大医疗保险的覆盖面，按时足额发放医疗保险待遇，实现医疗保险应收尽收，切实保障参保人员的合法权益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（二）预算执行情况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年度项目支出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1702.91</w:t>
      </w:r>
      <w:r>
        <w:rPr>
          <w:rFonts w:hint="eastAsia" w:ascii="仿宋" w:hAnsi="仿宋" w:eastAsia="仿宋" w:cs="仿宋"/>
          <w:sz w:val="32"/>
          <w:szCs w:val="32"/>
        </w:rPr>
        <w:t>万元。其中一般公共预算财政拨款项目支出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1692.91</w:t>
      </w:r>
      <w:r>
        <w:rPr>
          <w:rFonts w:hint="eastAsia" w:ascii="仿宋" w:hAnsi="仿宋" w:eastAsia="仿宋" w:cs="仿宋"/>
          <w:sz w:val="32"/>
          <w:szCs w:val="32"/>
        </w:rPr>
        <w:t>万元，基金拨款支出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万元。项目支出主要是卫生健康支出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社会保障和就业支出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评价结论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年项目均根据绩效目标表设立了绩效目标，并且细化、量化、可衡量；绩效目标设置较科学、合理，绩效目标与资金匹配度高。各项目细化、量化、可衡量的绩效目标表，逐步实施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我局项目资金全部到位，资金到位率100%。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年单位积极履职，通过加强预算收支管理，不断梳理内部管理流程，建立健全内部管理制度，部门整体支出管理水平得到提升。经自评，项目自评得分均在</w:t>
      </w:r>
      <w:r>
        <w:rPr>
          <w:rFonts w:ascii="仿宋" w:hAnsi="仿宋" w:eastAsia="仿宋" w:cs="仿宋"/>
          <w:sz w:val="32"/>
          <w:szCs w:val="32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分以上，较好的完成了年度工作目标。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在执行过程中公严格按照相关财务要求，资金使用合规，项目管理规范，保证了财政资金的安全性，项目的顺利实施，</w:t>
      </w:r>
      <w:r>
        <w:rPr>
          <w:rFonts w:hint="eastAsia" w:ascii="仿宋" w:hAnsi="仿宋" w:eastAsia="仿宋" w:cs="仿宋"/>
          <w:sz w:val="32"/>
          <w:szCs w:val="32"/>
        </w:rPr>
        <w:t>但也存在个别项目预算执行率低的情况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：医保局城乡居民意外伤害调查界定服务费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该预算项目</w:t>
      </w:r>
      <w:r>
        <w:rPr>
          <w:rFonts w:hint="eastAsia" w:ascii="仿宋" w:hAnsi="仿宋" w:eastAsia="仿宋" w:cs="仿宋"/>
          <w:sz w:val="32"/>
          <w:szCs w:val="32"/>
        </w:rPr>
        <w:t>经核实产生原因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年底财政资金紧张，申请资金不及时，导致部分工作的开展受到影响，</w:t>
      </w:r>
      <w:r>
        <w:rPr>
          <w:rFonts w:hint="eastAsia" w:ascii="仿宋" w:hAnsi="仿宋" w:eastAsia="仿宋" w:cs="仿宋"/>
          <w:sz w:val="32"/>
          <w:szCs w:val="32"/>
        </w:rPr>
        <w:t>造成预算执行率低。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医保局医疗保障经费（劳务派遣）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该预算项目</w:t>
      </w:r>
      <w:r>
        <w:rPr>
          <w:rFonts w:hint="eastAsia" w:ascii="仿宋" w:hAnsi="仿宋" w:eastAsia="仿宋" w:cs="仿宋"/>
          <w:sz w:val="32"/>
          <w:szCs w:val="32"/>
        </w:rPr>
        <w:t>经核实产生原因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为2022年调整工资拨付方式，由上发薪改为下发薪，导致预算执行率低。</w:t>
      </w:r>
      <w:r>
        <w:rPr>
          <w:rFonts w:hint="eastAsia" w:ascii="仿宋" w:hAnsi="仿宋" w:eastAsia="仿宋" w:cs="仿宋"/>
          <w:sz w:val="32"/>
          <w:szCs w:val="32"/>
        </w:rPr>
        <w:t>通过这些存在的问题我局将在以后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预算执行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z w:val="32"/>
          <w:szCs w:val="32"/>
        </w:rPr>
        <w:t>中力求准确，排除特殊影响因素，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预算执行率。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我局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严格执行绩效评价报告的编报要求。先由项目承担股室对项目绩效目标完成情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进行自评并提出绩效报告;再由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工作小组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对我局项目绩效目标完成情况进行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复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核,按照有关规定组织绩效评价,编写项目绩效评价报告。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年设立的绩效目标符合部门“三定”方案确定的职能职责，符合部门中长期实施规划。绩效指标清晰、可量化，与部门年度的任务数相对应，与202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预算资金相匹配。项目资金配置科学合理，项目执行积极有效，项目管理透明规范。通过比对年初设立设立的绩效目标与年终执行情况，总体绩效目标设定合理，清晰准确，科学合理，绩效标准恰当适。也发现部分绩效指标不够全面完整，不易于评价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评价结果为大部分专项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绩效目标设定和预算编制情况较好，总体得分较高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效目标设定清晰准确，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预算编制合理，决策程序较为规范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绩效指标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大部分</w:t>
      </w:r>
      <w:r>
        <w:rPr>
          <w:rFonts w:hint="eastAsia" w:ascii="仿宋" w:hAnsi="仿宋" w:eastAsia="仿宋" w:cs="仿宋"/>
          <w:sz w:val="32"/>
          <w:szCs w:val="32"/>
        </w:rPr>
        <w:t>全面完整、科学合理，绩效标准恰当适宜、易于评价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在评价过程中发现以下问题需进一步完善：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（一）精细管理预算编制。一是要及时做好预算编制。严格按照预算管理要求，进行预算编制。二是要严格遵循预算编制口径的一惯性及可比性。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积极推动预算执行。一是深化预算控制层级，要真实准确的进行核算，按预算编制内容保证预算支出进度，提高财政资金利用率。二是要切实加强财务分析。要善于发现问题，管控风险。通过全面、系统、深入的财务分析，及时通报预算执行情况，及时发现预算管理中的问题，及时采取预警、调整、纠偏方式进行完善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（三）规范专项资金使用。加快预算执行进度，确保及时将资金拨付到基金专户，完善内控制度及专线资金管理制度，做到考核有目标，执行有细则，将资金管好用好，提高财政资金的安全性和效益性。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建立全过程绩效管理。进一步细化量化资金使用绩效目标，树立现代绩效管理理念。设立科学合理的绩效目标和指标，增强目标约束力和执行力。强化绩效结果应用，建立绩效评价结果应用机制及评价结果整改机制。对于评级结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</w:t>
      </w:r>
      <w:r>
        <w:rPr>
          <w:rFonts w:hint="eastAsia" w:ascii="仿宋" w:hAnsi="仿宋" w:eastAsia="仿宋" w:cs="仿宋"/>
          <w:sz w:val="32"/>
          <w:szCs w:val="32"/>
        </w:rPr>
        <w:t>差的，要求及时整改或调整预算。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对相关人员加强培训,特别是针对《中华人民共和国预算法》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、《行政事业单位会计制度》等学习培训,规范部门预算收支核算,切实提高部门预算收支管理水平。积极与财政部门对接，尽量做到预算编制更科学、更规范。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高阳县医疗保障局</w:t>
      </w:r>
    </w:p>
    <w:p>
      <w:pPr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2023年02月23日</w:t>
      </w:r>
    </w:p>
    <w:p>
      <w:pPr>
        <w:snapToGrid w:val="0"/>
        <w:spacing w:line="580" w:lineRule="exact"/>
        <w:ind w:firstLine="420" w:firstLineChars="200"/>
        <w:rPr>
          <w:rFonts w:ascii="方正仿宋_GBK" w:eastAsia="方正仿宋_GBK"/>
        </w:rPr>
      </w:pPr>
    </w:p>
    <w:sectPr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M1MWZmNGE0NzkzZWJiMzVkYzNiNDQ4OWFmYzU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51576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E032C"/>
    <w:rsid w:val="00BE07DC"/>
    <w:rsid w:val="00C242EC"/>
    <w:rsid w:val="00CE156F"/>
    <w:rsid w:val="00D23678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02B345C9"/>
    <w:rsid w:val="1B4D67D5"/>
    <w:rsid w:val="28EC743C"/>
    <w:rsid w:val="35917684"/>
    <w:rsid w:val="5C4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插入文本样式-插入部门职责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1502</Words>
  <Characters>1537</Characters>
  <Lines>3</Lines>
  <Paragraphs>1</Paragraphs>
  <TotalTime>113</TotalTime>
  <ScaleCrop>false</ScaleCrop>
  <LinksUpToDate>false</LinksUpToDate>
  <CharactersWithSpaces>1537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Administrator</cp:lastModifiedBy>
  <cp:lastPrinted>2020-01-06T00:47:00Z</cp:lastPrinted>
  <dcterms:modified xsi:type="dcterms:W3CDTF">2024-01-10T08:56:36Z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0BDC11376A5F49BDBDD25F079130463C</vt:lpwstr>
  </property>
</Properties>
</file>