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/>
          <w:sz w:val="44"/>
          <w:szCs w:val="44"/>
        </w:rPr>
      </w:pPr>
      <w:r>
        <w:rPr>
          <w:rFonts w:hint="eastAsia" w:ascii="宋体"/>
          <w:sz w:val="44"/>
          <w:szCs w:val="44"/>
        </w:rPr>
        <w:t>高阳县庞家佐镇人民政府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宋体"/>
          <w:sz w:val="44"/>
          <w:szCs w:val="44"/>
        </w:rPr>
        <w:t>2022年绩效自评报告</w:t>
      </w:r>
    </w:p>
    <w:p>
      <w:pPr>
        <w:spacing w:line="520" w:lineRule="exact"/>
        <w:rPr>
          <w:sz w:val="32"/>
          <w:szCs w:val="32"/>
        </w:rPr>
      </w:pPr>
    </w:p>
    <w:p>
      <w:pPr>
        <w:pStyle w:val="11"/>
        <w:snapToGrid w:val="0"/>
        <w:spacing w:line="580" w:lineRule="exact"/>
        <w:ind w:firstLine="0" w:firstLineChars="0"/>
        <w:jc w:val="left"/>
        <w:rPr>
          <w:rFonts w:ascii="黑体" w:eastAsia="黑体"/>
          <w:sz w:val="32"/>
          <w:szCs w:val="32"/>
        </w:rPr>
      </w:pPr>
      <w:r>
        <w:rPr>
          <w:rFonts w:hint="eastAsia" w:ascii="仿宋" w:eastAsia="仿宋"/>
          <w:b/>
          <w:sz w:val="32"/>
          <w:szCs w:val="32"/>
        </w:rPr>
        <w:t xml:space="preserve">    </w:t>
      </w:r>
      <w:r>
        <w:rPr>
          <w:rFonts w:hint="eastAsia" w:ascii="黑体" w:eastAsia="黑体"/>
          <w:sz w:val="32"/>
          <w:szCs w:val="32"/>
        </w:rPr>
        <w:t>一、绩效自评工作组织开展情况</w:t>
      </w:r>
    </w:p>
    <w:p>
      <w:pPr>
        <w:snapToGrid w:val="0"/>
        <w:spacing w:line="580" w:lineRule="exact"/>
        <w:ind w:firstLine="640" w:firstLineChars="200"/>
        <w:rPr>
          <w:rFonts w:hint="eastAsia" w:ascii="楷体" w:eastAsia="楷体" w:cs="仿宋"/>
          <w:sz w:val="32"/>
          <w:szCs w:val="30"/>
        </w:rPr>
      </w:pPr>
      <w:r>
        <w:rPr>
          <w:rFonts w:hint="eastAsia" w:ascii="楷体" w:eastAsia="楷体" w:cs="仿宋"/>
          <w:sz w:val="32"/>
          <w:szCs w:val="30"/>
        </w:rPr>
        <w:t>（一）绩效自评工作开展情况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根据《高阳县县级部门预算项目绩效自评管理办法》（高财监[2020]6号）文件要求，</w:t>
      </w:r>
      <w:r>
        <w:rPr>
          <w:rFonts w:hint="eastAsia" w:ascii="仿宋_GB2312" w:eastAsia="仿宋_GB2312" w:cs="仿宋"/>
          <w:sz w:val="32"/>
          <w:szCs w:val="30"/>
        </w:rPr>
        <w:t>我单位按照县财政局安排部署，集中对202</w:t>
      </w:r>
      <w:r>
        <w:rPr>
          <w:rFonts w:ascii="仿宋_GB2312" w:eastAsia="仿宋_GB2312" w:cs="仿宋"/>
          <w:sz w:val="32"/>
          <w:szCs w:val="30"/>
        </w:rPr>
        <w:t>2</w:t>
      </w:r>
      <w:r>
        <w:rPr>
          <w:rFonts w:hint="eastAsia" w:ascii="仿宋_GB2312" w:eastAsia="仿宋_GB2312" w:cs="仿宋"/>
          <w:sz w:val="32"/>
          <w:szCs w:val="30"/>
        </w:rPr>
        <w:t>年预算项目绩效目标实现程度和预算执行情况开展了绩效自评工作，成</w:t>
      </w:r>
      <w:r>
        <w:rPr>
          <w:rFonts w:hint="eastAsia" w:ascii="仿宋_GB2312" w:eastAsia="仿宋_GB2312"/>
          <w:sz w:val="32"/>
          <w:szCs w:val="32"/>
        </w:rPr>
        <w:t>立了绩效自评工作小组，负责预算项目绩效评价工作。我单位及时全面收集、系统整理预算项目绩效完成信息，确认了各项绩效指标实际完成值和实现程度。</w:t>
      </w:r>
    </w:p>
    <w:p>
      <w:pPr>
        <w:snapToGrid w:val="0"/>
        <w:spacing w:line="580" w:lineRule="exact"/>
        <w:ind w:firstLine="640" w:firstLineChars="200"/>
        <w:rPr>
          <w:rFonts w:hint="eastAsia" w:ascii="楷体" w:eastAsia="楷体" w:cs="仿宋"/>
          <w:sz w:val="32"/>
          <w:szCs w:val="30"/>
        </w:rPr>
      </w:pPr>
      <w:r>
        <w:rPr>
          <w:rFonts w:hint="eastAsia" w:ascii="楷体" w:eastAsia="楷体" w:cs="仿宋"/>
          <w:sz w:val="32"/>
          <w:szCs w:val="30"/>
        </w:rPr>
        <w:t>（二）项目基本情况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eastAsia="仿宋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根据预算绩效管理要求，本部门组织对202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hint="eastAsia" w:ascii="仿宋_GB2312" w:eastAsia="仿宋_GB2312" w:cs="仿宋_GB2312"/>
          <w:sz w:val="32"/>
          <w:szCs w:val="32"/>
        </w:rPr>
        <w:t>年度项目支出全面开展绩效自评，其中，一般公共预算一级项目1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hint="eastAsia" w:ascii="仿宋_GB2312" w:eastAsia="仿宋_GB2312" w:cs="仿宋_GB2312"/>
          <w:sz w:val="32"/>
          <w:szCs w:val="32"/>
        </w:rPr>
        <w:t>个，二级项目0个，共涉及资金</w:t>
      </w:r>
      <w:r>
        <w:rPr>
          <w:rFonts w:ascii="仿宋_GB2312" w:eastAsia="仿宋_GB2312" w:cs="仿宋_GB2312"/>
          <w:sz w:val="32"/>
          <w:szCs w:val="32"/>
        </w:rPr>
        <w:t>511.49</w:t>
      </w:r>
      <w:r>
        <w:rPr>
          <w:rFonts w:hint="eastAsia" w:ascii="仿宋_GB2312" w:eastAsia="仿宋_GB2312" w:cs="仿宋_GB2312"/>
          <w:sz w:val="32"/>
          <w:szCs w:val="32"/>
        </w:rPr>
        <w:t>万元，占一般公共预算项目支出总额的</w:t>
      </w:r>
      <w:r>
        <w:rPr>
          <w:rFonts w:ascii="仿宋_GB2312" w:eastAsia="仿宋_GB2312" w:cs="仿宋_GB2312"/>
          <w:sz w:val="32"/>
          <w:szCs w:val="32"/>
        </w:rPr>
        <w:t>100</w:t>
      </w:r>
      <w:r>
        <w:rPr>
          <w:rFonts w:hint="eastAsia" w:ascii="仿宋_GB2312" w:eastAsia="仿宋_GB2312" w:cs="仿宋_GB2312"/>
          <w:sz w:val="32"/>
          <w:szCs w:val="32"/>
        </w:rPr>
        <w:t>%；政府性基金预算一级项目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个，二级项目0个,共涉及资金</w:t>
      </w:r>
      <w:r>
        <w:rPr>
          <w:rFonts w:ascii="仿宋_GB2312" w:eastAsia="仿宋_GB2312" w:cs="仿宋_GB2312"/>
          <w:sz w:val="32"/>
          <w:szCs w:val="32"/>
        </w:rPr>
        <w:t>412.5266</w:t>
      </w:r>
      <w:r>
        <w:rPr>
          <w:rFonts w:hint="eastAsia" w:ascii="仿宋_GB2312" w:eastAsia="仿宋_GB2312" w:cs="仿宋_GB2312"/>
          <w:sz w:val="32"/>
          <w:szCs w:val="32"/>
        </w:rPr>
        <w:t>万元，占政府性基金预算项目支出总额的</w:t>
      </w:r>
      <w:r>
        <w:rPr>
          <w:rFonts w:ascii="仿宋_GB2312" w:eastAsia="仿宋_GB2312" w:cs="仿宋_GB2312"/>
          <w:sz w:val="32"/>
          <w:szCs w:val="32"/>
        </w:rPr>
        <w:t>100</w:t>
      </w:r>
      <w:r>
        <w:rPr>
          <w:rFonts w:hint="eastAsia" w:ascii="仿宋_GB2312" w:eastAsia="仿宋_GB2312" w:cs="仿宋_GB2312"/>
          <w:sz w:val="32"/>
          <w:szCs w:val="32"/>
        </w:rPr>
        <w:t>%。</w:t>
      </w:r>
      <w:r>
        <w:rPr>
          <w:rFonts w:hint="eastAsia" w:ascii="仿宋" w:eastAsia="仿宋" w:cs="仿宋_GB2312"/>
          <w:sz w:val="32"/>
          <w:szCs w:val="32"/>
        </w:rPr>
        <w:t>从评价情况来看，项目绩效目标管理较好，目标内容与实际执行吻合度较高。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>我单位严格按规定用途编制预算项目，按相关费用标准计算安排预算项目金额，按支出用途确定经济分类，经济分类细化、可执行。预算项目建立管理办法、财务制度等。资金开支按规定标准执行，单独核算。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" w:eastAsia="仿宋"/>
          <w:sz w:val="32"/>
        </w:rPr>
        <w:t xml:space="preserve"> </w:t>
      </w:r>
      <w:r>
        <w:rPr>
          <w:rFonts w:hint="eastAsia" w:ascii="仿宋_GB2312" w:eastAsia="仿宋_GB2312" w:cs="仿宋"/>
          <w:sz w:val="32"/>
          <w:szCs w:val="30"/>
        </w:rPr>
        <w:t>在日常财务管理过程中，当财务收到项目资金申请后，查看审核提交的资料是否完备，诸如合同、发票、项目进展情况及负责人意见等，在符合支付条件的情况下安排支付。</w:t>
      </w:r>
    </w:p>
    <w:p>
      <w:pPr>
        <w:pStyle w:val="11"/>
        <w:snapToGrid w:val="0"/>
        <w:spacing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二、绩效目标实现情况</w:t>
      </w:r>
    </w:p>
    <w:p>
      <w:pPr>
        <w:snapToGrid w:val="0"/>
        <w:spacing w:line="58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按照绩效自评表的格式和要求，将每个预算项目各绩效指标实际完成值与年初设定的预期值相比较，逐项评定每项指标得分，汇总形成预算项目自评最终得分。</w:t>
      </w:r>
    </w:p>
    <w:p>
      <w:pPr>
        <w:snapToGrid w:val="0"/>
        <w:spacing w:line="580" w:lineRule="exact"/>
        <w:ind w:firstLine="640" w:firstLineChars="200"/>
        <w:rPr>
          <w:rFonts w:hint="eastAsia" w:ascii="仿宋" w:eastAsia="仿宋"/>
          <w:sz w:val="32"/>
          <w:szCs w:val="32"/>
          <w:lang w:eastAsia="zh-CN"/>
        </w:rPr>
      </w:pPr>
      <w:r>
        <w:rPr>
          <w:rFonts w:hint="eastAsia" w:ascii="仿宋" w:eastAsia="仿宋"/>
          <w:sz w:val="32"/>
          <w:szCs w:val="32"/>
        </w:rPr>
        <w:t>全年开展1</w:t>
      </w:r>
      <w:r>
        <w:rPr>
          <w:rFonts w:ascii="仿宋" w:eastAsia="仿宋"/>
          <w:sz w:val="32"/>
          <w:szCs w:val="32"/>
        </w:rPr>
        <w:t>9</w:t>
      </w:r>
      <w:r>
        <w:rPr>
          <w:rFonts w:hint="eastAsia" w:ascii="仿宋" w:eastAsia="仿宋"/>
          <w:sz w:val="32"/>
          <w:szCs w:val="32"/>
        </w:rPr>
        <w:t>个项目全部完成，这些项目符合国家、省、市、</w:t>
      </w:r>
      <w:bookmarkStart w:id="0" w:name="_GoBack"/>
      <w:bookmarkEnd w:id="0"/>
      <w:r>
        <w:rPr>
          <w:rFonts w:hint="eastAsia" w:ascii="仿宋" w:eastAsia="仿宋"/>
          <w:sz w:val="32"/>
          <w:szCs w:val="32"/>
          <w:lang w:eastAsia="zh-CN"/>
        </w:rPr>
        <w:t>县委、县政府</w:t>
      </w:r>
    </w:p>
    <w:p>
      <w:pPr>
        <w:snapToGrid w:val="0"/>
        <w:spacing w:line="580" w:lineRule="exact"/>
        <w:ind w:firstLine="640" w:firstLineChars="200"/>
        <w:rPr>
          <w:rFonts w:ascii="仿宋" w:eastAsia="仿宋"/>
          <w:b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战略部署和发展规划，与国家、省、市、县宏观政策、行业政策一致。与部门职责、工作规划和重点工作相关。确定的预算项目合理，预算项目与工作活动密切相关；项目预算安排和工作活动合理。预算项目有明确的绩效目标，绩效目标与部门职责目标、工作活动、部门年度工作目标一致，能体现预算项目的产出和效果。预算项目按规定用途编制预算，按相关费用标准计算预算安排金额，支出明确、细化。经济分类按支出用途确定支出经济分类，经济分类细化、可执行。预算项目建立管理办法、实施方案（规划）、财务制度等。不存在截留、挤占、挪用专项资金。提供了合法票据，不存在虚列项目成本，没有大额现金支付等。资金开支按规定标准执行，单独核算。项目单位据实填报财务会计资料，不存在虚报财务会计资料和不符合申报条件等情况。项目计划实施进度明确。目标内容与实际执行的吻合度高。项目按规定向主管部门申报并得到批准。其管理程序、招投标、合同管理、一事一议等相关制度均是严格执行。分项目综合得分都在90分以上。</w:t>
      </w:r>
    </w:p>
    <w:p>
      <w:pPr>
        <w:pStyle w:val="11"/>
        <w:snapToGrid w:val="0"/>
        <w:spacing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三、绩效目标设定质量情况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ascii="仿宋_GB2312" w:eastAsia="仿宋_GB2312" w:cs="仿宋"/>
          <w:sz w:val="32"/>
          <w:szCs w:val="30"/>
        </w:rPr>
        <w:t>（一）</w:t>
      </w:r>
      <w:r>
        <w:rPr>
          <w:rFonts w:hint="eastAsia" w:ascii="仿宋_GB2312" w:eastAsia="仿宋_GB2312" w:cs="仿宋"/>
          <w:sz w:val="32"/>
          <w:szCs w:val="30"/>
        </w:rPr>
        <w:t>部门职责相关性，预算项目与部门职责、工作规划和重点工作相关。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ascii="仿宋_GB2312" w:eastAsia="仿宋_GB2312" w:cs="仿宋"/>
          <w:sz w:val="32"/>
          <w:szCs w:val="30"/>
        </w:rPr>
        <w:t>（二）</w:t>
      </w:r>
      <w:r>
        <w:rPr>
          <w:rFonts w:hint="eastAsia" w:ascii="仿宋_GB2312" w:eastAsia="仿宋_GB2312" w:cs="仿宋"/>
          <w:sz w:val="32"/>
          <w:szCs w:val="30"/>
        </w:rPr>
        <w:t>预算项目相关性，确定的预算项目合理，预算项目与工作活动密切相关；项目预算安排和工作活动合理。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ascii="仿宋_GB2312" w:eastAsia="仿宋_GB2312" w:cs="仿宋"/>
          <w:sz w:val="32"/>
          <w:szCs w:val="30"/>
        </w:rPr>
        <w:t>（三）</w:t>
      </w:r>
      <w:r>
        <w:rPr>
          <w:rFonts w:hint="eastAsia" w:ascii="仿宋_GB2312" w:eastAsia="仿宋_GB2312" w:cs="仿宋"/>
          <w:sz w:val="32"/>
          <w:szCs w:val="30"/>
        </w:rPr>
        <w:t>绩效目标设立科学性，预算项目有明确的绩效目标，绩效目标与部门职责目标、工作活动、部门年度工作目标一致，能体现预算项目的产出和效果。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ascii="仿宋_GB2312" w:eastAsia="仿宋_GB2312" w:cs="仿宋"/>
          <w:sz w:val="32"/>
          <w:szCs w:val="30"/>
        </w:rPr>
        <w:t>（四）</w:t>
      </w:r>
      <w:r>
        <w:rPr>
          <w:rFonts w:hint="eastAsia" w:ascii="仿宋_GB2312" w:eastAsia="仿宋_GB2312" w:cs="仿宋"/>
          <w:sz w:val="32"/>
          <w:szCs w:val="30"/>
        </w:rPr>
        <w:t>绩效指标设立科学性，预算项目有明确的绩效指标，指标设置能准确反映项目目标完成情况，可细化量化，可衡量。</w:t>
      </w:r>
    </w:p>
    <w:p>
      <w:pPr>
        <w:pStyle w:val="11"/>
        <w:snapToGrid w:val="0"/>
        <w:spacing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四、整改措施及结果应用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ascii="仿宋_GB2312" w:eastAsia="仿宋_GB2312" w:cs="仿宋"/>
          <w:sz w:val="32"/>
          <w:szCs w:val="30"/>
        </w:rPr>
        <w:t>（一）</w:t>
      </w:r>
      <w:r>
        <w:rPr>
          <w:rFonts w:hint="eastAsia" w:ascii="仿宋_GB2312" w:eastAsia="仿宋_GB2312" w:cs="仿宋"/>
          <w:sz w:val="32"/>
          <w:szCs w:val="30"/>
        </w:rPr>
        <w:t>存在的问题：预算编制按照年度内可预见性的工作任务确定年度预算项目，但在实际支付实行中存在一定的差异。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ascii="仿宋_GB2312" w:eastAsia="仿宋_GB2312" w:cs="仿宋"/>
          <w:sz w:val="32"/>
          <w:szCs w:val="30"/>
        </w:rPr>
        <w:t>（二）</w:t>
      </w:r>
      <w:r>
        <w:rPr>
          <w:rFonts w:hint="eastAsia" w:ascii="仿宋_GB2312" w:eastAsia="仿宋_GB2312" w:cs="仿宋"/>
          <w:sz w:val="32"/>
          <w:szCs w:val="30"/>
        </w:rPr>
        <w:t>整改思路和工作措施：加强学习，提高思想认识，组织人员认真学习预算法等相关法律法规，提高单位领导对全面预算管理的重视程度，增强财务人员的预算意识，严格管理控制经费支出。规范财务运行，加强预算支出管理，严格在财政局批复资金范围内使用，建立健全各项财务制度，加强内部控制，确保支出合法、真实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 w:cs="仿宋"/>
          <w:sz w:val="32"/>
          <w:szCs w:val="30"/>
        </w:rPr>
      </w:pPr>
      <w:r>
        <w:rPr>
          <w:rFonts w:ascii="仿宋_GB2312" w:eastAsia="仿宋_GB2312" w:cs="仿宋"/>
          <w:sz w:val="32"/>
          <w:szCs w:val="30"/>
        </w:rPr>
        <w:t>（三）</w:t>
      </w:r>
      <w:r>
        <w:rPr>
          <w:rFonts w:hint="eastAsia" w:ascii="仿宋_GB2312" w:eastAsia="仿宋_GB2312" w:cs="仿宋"/>
          <w:sz w:val="32"/>
          <w:szCs w:val="30"/>
        </w:rPr>
        <w:t>经验和做法应用：对项目进行及时整理归纳分析，将其作为改善预算管理的工作和安排以后年度预算的依据。同时不断完善绩效评价指标体系，逐步建立适合我单位特点的绩效评价体系。在绩效自评工作中树立科学规范、公开刚正、绩效相关的原则。在实施过程中严格执行规定程序，评价符合真实、客观、公正的要求。对自评中发现的问题及时整改，为预算管理提供坚实保障。</w:t>
      </w:r>
    </w:p>
    <w:p>
      <w:pPr>
        <w:pStyle w:val="8"/>
        <w:snapToGrid w:val="0"/>
        <w:spacing w:line="580" w:lineRule="exact"/>
        <w:rPr>
          <w:rFonts w:ascii="仿宋_GB2312" w:eastAsia="仿宋_GB2312" w:cs="仿宋"/>
          <w:sz w:val="32"/>
          <w:szCs w:val="30"/>
        </w:rPr>
      </w:pPr>
      <w:r>
        <w:rPr>
          <w:rFonts w:hint="eastAsia" w:ascii="仿宋_GB2312" w:eastAsia="仿宋_GB2312" w:cs="仿宋"/>
          <w:sz w:val="32"/>
          <w:szCs w:val="30"/>
        </w:rPr>
        <w:t xml:space="preserve">                              </w:t>
      </w:r>
    </w:p>
    <w:p>
      <w:pPr>
        <w:pStyle w:val="8"/>
        <w:snapToGrid w:val="0"/>
        <w:spacing w:line="580" w:lineRule="exact"/>
        <w:rPr>
          <w:rFonts w:ascii="仿宋_GB2312" w:eastAsia="仿宋_GB2312" w:cs="仿宋"/>
          <w:sz w:val="32"/>
          <w:szCs w:val="30"/>
        </w:rPr>
      </w:pPr>
    </w:p>
    <w:p>
      <w:pPr>
        <w:pStyle w:val="8"/>
        <w:snapToGrid w:val="0"/>
        <w:spacing w:line="580" w:lineRule="exact"/>
        <w:ind w:firstLine="3680" w:firstLineChars="1150"/>
        <w:rPr>
          <w:rFonts w:eastAsia="仿宋_GB2312"/>
        </w:rPr>
      </w:pPr>
      <w:r>
        <w:rPr>
          <w:rFonts w:hint="eastAsia" w:ascii="仿宋_GB2312" w:eastAsia="仿宋_GB2312" w:cs="仿宋"/>
          <w:sz w:val="32"/>
          <w:szCs w:val="30"/>
        </w:rPr>
        <w:t xml:space="preserve">  </w:t>
      </w:r>
      <w:r>
        <w:rPr>
          <w:rFonts w:ascii="仿宋_GB2312" w:eastAsia="仿宋_GB2312" w:cs="仿宋"/>
          <w:sz w:val="32"/>
          <w:szCs w:val="30"/>
        </w:rPr>
        <w:t xml:space="preserve">       </w:t>
      </w:r>
      <w:r>
        <w:rPr>
          <w:rFonts w:hint="eastAsia" w:ascii="仿宋_GB2312" w:eastAsia="仿宋_GB2312" w:cs="仿宋"/>
          <w:sz w:val="32"/>
          <w:szCs w:val="30"/>
        </w:rPr>
        <w:t>高阳县庞家佐镇人民政府</w:t>
      </w:r>
    </w:p>
    <w:p>
      <w:pPr>
        <w:snapToGrid w:val="0"/>
        <w:spacing w:line="580" w:lineRule="exact"/>
        <w:ind w:firstLine="640" w:firstLineChars="200"/>
        <w:rPr>
          <w:rFonts w:asci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814" w:right="1474" w:bottom="136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DM0NmM1MWZmNGE0NzkzZWJiMzVkYzNiNDQ4OWFmYzUifQ=="/>
  </w:docVars>
  <w:rsids>
    <w:rsidRoot w:val="00000000"/>
    <w:rsid w:val="34942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iPriority w:val="0"/>
    <w:pPr>
      <w:ind w:left="280"/>
      <w:jc w:val="left"/>
    </w:pPr>
    <w:rPr>
      <w:rFonts w:cs="黑体"/>
      <w:smallCaps/>
      <w:sz w:val="20"/>
      <w:szCs w:val="20"/>
    </w:rPr>
  </w:style>
  <w:style w:type="paragraph" w:customStyle="1" w:styleId="11">
    <w:name w:val="列出段落1"/>
    <w:basedOn w:val="1"/>
    <w:uiPriority w:val="0"/>
    <w:pPr>
      <w:ind w:firstLine="200" w:firstLineChars="200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shenduxitong</Company>
  <Pages>4</Pages>
  <Words>1685</Words>
  <Characters>1724</Characters>
  <Lines>77</Lines>
  <Paragraphs>23</Paragraphs>
  <TotalTime>1826</TotalTime>
  <ScaleCrop>false</ScaleCrop>
  <LinksUpToDate>false</LinksUpToDate>
  <CharactersWithSpaces>1801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2022-04-13T02:10:00Z</dcterms:created>
  <dc:creator>shendu</dc:creator>
  <cp:lastModifiedBy>Administrator</cp:lastModifiedBy>
  <dcterms:modified xsi:type="dcterms:W3CDTF">2023-12-29T03:26:18Z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D59B79D26C3D4A628DFB76858763AE70_12</vt:lpwstr>
  </property>
</Properties>
</file>