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ascii="微软雅黑" w:eastAsia="微软雅黑" w:cs="微软雅黑"/>
          <w:sz w:val="44"/>
          <w:szCs w:val="44"/>
        </w:rPr>
      </w:pPr>
      <w:r>
        <w:rPr>
          <w:rFonts w:hint="eastAsia" w:ascii="微软雅黑" w:eastAsia="微软雅黑" w:cs="微软雅黑"/>
          <w:sz w:val="44"/>
          <w:szCs w:val="44"/>
        </w:rPr>
        <w:t>高阳县市场建设服务中心</w:t>
      </w:r>
    </w:p>
    <w:p>
      <w:pPr>
        <w:jc w:val="center"/>
        <w:rPr>
          <w:rFonts w:ascii="微软雅黑" w:eastAsia="微软雅黑" w:cs="微软雅黑"/>
          <w:sz w:val="44"/>
          <w:szCs w:val="44"/>
        </w:rPr>
      </w:pPr>
      <w:r>
        <w:rPr>
          <w:rFonts w:hint="eastAsia" w:ascii="黑体" w:hAnsi="黑体" w:eastAsia="黑体"/>
          <w:sz w:val="44"/>
          <w:szCs w:val="44"/>
        </w:rPr>
        <w:t>2022年部门整体支出绩效自评工作报告</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为深入贯彻《关于全面实施预算绩效管理的意见》（中发[2018]34号）、《河北省财政厅关于加强和改进预算绩效重点评价工作进一步提高评价质量的意见》（冀财绩[2020]3号）、《高阳县县级部门预算绩效自评管理办法》（高财监[2020]6号）、《高阳县县级预算绩效重点评价管理办法》（高财监[2020]7号）等文件要求，加快建成全方位、全过程、全覆盖的预算绩效管理体系，根据《高阳县财政局关于印发2023年县级部门重点绩效评价计划的通知》（高财稽查[2023]15号）文件精神，对高阳县市场建设服务中心-市场建设整治专项经费项目进行了重点绩效评价，现将评价情况及结果报告如下：</w:t>
      </w:r>
    </w:p>
    <w:p>
      <w:pPr>
        <w:numPr>
          <w:ilvl w:val="0"/>
          <w:numId w:val="1"/>
        </w:numPr>
        <w:spacing w:line="480" w:lineRule="exact"/>
        <w:ind w:left="560"/>
        <w:rPr>
          <w:rFonts w:ascii="仿宋" w:hAnsi="仿宋" w:eastAsia="仿宋" w:cs="仿宋"/>
          <w:b/>
          <w:bCs/>
          <w:sz w:val="32"/>
          <w:szCs w:val="32"/>
        </w:rPr>
      </w:pPr>
      <w:r>
        <w:rPr>
          <w:rFonts w:hint="eastAsia" w:ascii="仿宋" w:hAnsi="仿宋" w:eastAsia="仿宋" w:cs="仿宋"/>
          <w:b/>
          <w:bCs/>
          <w:sz w:val="32"/>
          <w:szCs w:val="32"/>
        </w:rPr>
        <w:t>基本情况</w:t>
      </w:r>
    </w:p>
    <w:p>
      <w:pPr>
        <w:ind w:firstLine="320" w:firstLineChars="100"/>
        <w:rPr>
          <w:rFonts w:ascii="仿宋" w:eastAsia="仿宋"/>
          <w:sz w:val="32"/>
          <w:szCs w:val="32"/>
        </w:rPr>
      </w:pPr>
      <w:r>
        <w:rPr>
          <w:rFonts w:hint="eastAsia" w:ascii="仿宋" w:eastAsia="仿宋"/>
          <w:sz w:val="32"/>
          <w:szCs w:val="32"/>
        </w:rPr>
        <w:t>（一）项目单位概况：</w:t>
      </w:r>
    </w:p>
    <w:p>
      <w:pPr>
        <w:spacing w:line="560" w:lineRule="exact"/>
        <w:ind w:firstLine="640" w:firstLineChars="200"/>
        <w:rPr>
          <w:rFonts w:ascii="仿宋" w:eastAsia="仿宋"/>
          <w:sz w:val="32"/>
          <w:szCs w:val="32"/>
        </w:rPr>
      </w:pPr>
      <w:r>
        <w:rPr>
          <w:rFonts w:hint="eastAsia" w:ascii="仿宋" w:eastAsia="仿宋"/>
          <w:sz w:val="32"/>
          <w:szCs w:val="32"/>
        </w:rPr>
        <w:t>市场建设服务中心是县政府直属机构，主要职责是：</w:t>
      </w:r>
      <w:r>
        <w:rPr>
          <w:rFonts w:hint="eastAsia" w:ascii="仿宋_GB2312" w:eastAsia="仿宋_GB2312"/>
          <w:sz w:val="32"/>
          <w:szCs w:val="32"/>
        </w:rPr>
        <w:t>（</w:t>
      </w:r>
      <w:r>
        <w:rPr>
          <w:rFonts w:hint="eastAsia" w:ascii="仿宋_GB2312" w:hAnsi="Times New Roman" w:eastAsia="仿宋_GB2312" w:cs="Times New Roman"/>
          <w:sz w:val="32"/>
          <w:szCs w:val="32"/>
        </w:rPr>
        <w:t>1） 市场的规划与建设，组织市场论证，适时提出市场建设的意见，搞好市场的规划与建设、培育和发展市场。（2） 负责全县市场的登记、统计与分析，掌握市场动态，收集信息，搞好市场预测。（3）负责市场的资产经营。管理市场物业，提供有偿服务，收取设施租赁费和其他费用。（4） 负</w:t>
      </w:r>
      <w:r>
        <w:rPr>
          <w:rFonts w:hint="eastAsia" w:ascii="仿宋_GB2312" w:eastAsia="仿宋_GB2312" w:cs="Times New Roman"/>
          <w:sz w:val="32"/>
          <w:szCs w:val="32"/>
        </w:rPr>
        <w:t>责</w:t>
      </w:r>
      <w:r>
        <w:rPr>
          <w:rFonts w:hint="eastAsia" w:ascii="仿宋_GB2312" w:hAnsi="Times New Roman" w:eastAsia="仿宋_GB2312" w:cs="Times New Roman"/>
          <w:sz w:val="32"/>
          <w:szCs w:val="32"/>
        </w:rPr>
        <w:t>市场的管理；组织好市场各项检查、评比和验收工作。（5） 组织各种类型的</w:t>
      </w:r>
      <w:r>
        <w:rPr>
          <w:rFonts w:hint="eastAsia" w:ascii="仿宋_GB2312" w:eastAsia="仿宋_GB2312" w:cs="Times New Roman"/>
          <w:sz w:val="32"/>
          <w:szCs w:val="32"/>
        </w:rPr>
        <w:t>庙</w:t>
      </w:r>
      <w:r>
        <w:rPr>
          <w:rFonts w:hint="eastAsia" w:ascii="仿宋_GB2312" w:hAnsi="Times New Roman" w:eastAsia="仿宋_GB2312" w:cs="Times New Roman"/>
          <w:sz w:val="32"/>
          <w:szCs w:val="32"/>
        </w:rPr>
        <w:t>会、商品交易会。（6） 协助有关部门查处经营户违法行为，做好文明市场的建设工作。（7） 承担县政府交办的其它事项。</w:t>
      </w:r>
      <w:r>
        <w:rPr>
          <w:rFonts w:ascii="仿宋" w:eastAsia="仿宋"/>
          <w:sz w:val="32"/>
          <w:szCs w:val="32"/>
        </w:rPr>
        <w:t>高阳县</w:t>
      </w:r>
      <w:r>
        <w:rPr>
          <w:rFonts w:hint="eastAsia" w:ascii="仿宋" w:eastAsia="仿宋"/>
          <w:sz w:val="32"/>
          <w:szCs w:val="32"/>
        </w:rPr>
        <w:t>市场建设服务中心主要负责菜市场、农贸市场、东关市场、平安路市场的管理。</w:t>
      </w:r>
      <w:r>
        <w:rPr>
          <w:rFonts w:ascii="仿宋" w:eastAsia="仿宋"/>
          <w:sz w:val="32"/>
          <w:szCs w:val="32"/>
        </w:rPr>
        <w:t>根据</w:t>
      </w:r>
      <w:r>
        <w:rPr>
          <w:rFonts w:hint="eastAsia" w:ascii="仿宋" w:eastAsia="仿宋"/>
          <w:sz w:val="32"/>
          <w:szCs w:val="32"/>
        </w:rPr>
        <w:t>市场建设服务中心</w:t>
      </w:r>
      <w:r>
        <w:rPr>
          <w:rFonts w:ascii="仿宋" w:eastAsia="仿宋"/>
          <w:sz w:val="32"/>
          <w:szCs w:val="32"/>
        </w:rPr>
        <w:t>的职责，确定安排实施202</w:t>
      </w:r>
      <w:r>
        <w:rPr>
          <w:rFonts w:hint="eastAsia" w:ascii="仿宋" w:eastAsia="仿宋"/>
          <w:sz w:val="32"/>
          <w:szCs w:val="32"/>
        </w:rPr>
        <w:t>2</w:t>
      </w:r>
      <w:r>
        <w:rPr>
          <w:rFonts w:ascii="仿宋" w:eastAsia="仿宋"/>
          <w:sz w:val="32"/>
          <w:szCs w:val="32"/>
        </w:rPr>
        <w:t>年该项目预算。</w:t>
      </w:r>
    </w:p>
    <w:p>
      <w:pPr>
        <w:pStyle w:val="2"/>
        <w:ind w:firstLine="640"/>
      </w:pPr>
      <w:r>
        <w:rPr>
          <w:rFonts w:hint="eastAsia" w:ascii="仿宋" w:eastAsia="仿宋" w:cs="仿宋"/>
          <w:sz w:val="32"/>
          <w:szCs w:val="32"/>
        </w:rPr>
        <w:t>（二）</w:t>
      </w:r>
      <w:r>
        <w:rPr>
          <w:rFonts w:hint="eastAsia" w:ascii="仿宋" w:hAnsi="仿宋" w:eastAsia="仿宋" w:cs="仿宋"/>
          <w:sz w:val="32"/>
          <w:szCs w:val="32"/>
        </w:rPr>
        <w:t>项目建设的必要性</w:t>
      </w:r>
    </w:p>
    <w:p>
      <w:pPr>
        <w:ind w:firstLine="640" w:firstLineChars="200"/>
        <w:rPr>
          <w:rFonts w:ascii="仿宋" w:eastAsia="仿宋"/>
          <w:sz w:val="32"/>
          <w:szCs w:val="32"/>
        </w:rPr>
      </w:pPr>
      <w:r>
        <w:rPr>
          <w:rFonts w:hint="eastAsia" w:ascii="仿宋" w:eastAsia="仿宋"/>
          <w:sz w:val="32"/>
          <w:szCs w:val="32"/>
        </w:rPr>
        <w:t>菜市场基础设施陈旧老化，</w:t>
      </w:r>
      <w:r>
        <w:rPr>
          <w:rFonts w:ascii="仿宋" w:eastAsia="仿宋"/>
          <w:sz w:val="32"/>
          <w:szCs w:val="32"/>
        </w:rPr>
        <w:t>严重影响</w:t>
      </w:r>
      <w:r>
        <w:rPr>
          <w:rFonts w:hint="eastAsia" w:ascii="仿宋" w:eastAsia="仿宋"/>
          <w:sz w:val="32"/>
          <w:szCs w:val="32"/>
        </w:rPr>
        <w:t>市场</w:t>
      </w:r>
      <w:r>
        <w:rPr>
          <w:rFonts w:ascii="仿宋" w:eastAsia="仿宋"/>
          <w:sz w:val="32"/>
          <w:szCs w:val="32"/>
        </w:rPr>
        <w:t>建设</w:t>
      </w:r>
      <w:r>
        <w:rPr>
          <w:rFonts w:hint="eastAsia" w:ascii="仿宋" w:eastAsia="仿宋"/>
          <w:sz w:val="32"/>
          <w:szCs w:val="32"/>
        </w:rPr>
        <w:t>整体</w:t>
      </w:r>
      <w:r>
        <w:rPr>
          <w:rFonts w:ascii="仿宋" w:eastAsia="仿宋"/>
          <w:sz w:val="32"/>
          <w:szCs w:val="32"/>
        </w:rPr>
        <w:t>形象，急需</w:t>
      </w:r>
      <w:r>
        <w:rPr>
          <w:rFonts w:hint="eastAsia" w:ascii="仿宋" w:eastAsia="仿宋"/>
          <w:sz w:val="32"/>
          <w:szCs w:val="32"/>
        </w:rPr>
        <w:t>提升基础设施建设，改善市场硬件设施，消除安全隐患，使市场整体形象更加美观，对市场内部整体环境、卫生等进行综合整治，做好创建国家卫生县城和疫情防控等工作。按照县委、县政府的工作要求，及市场建设服务中心的部门职责，</w:t>
      </w:r>
      <w:r>
        <w:rPr>
          <w:rFonts w:ascii="仿宋" w:eastAsia="仿宋"/>
          <w:sz w:val="32"/>
          <w:szCs w:val="32"/>
        </w:rPr>
        <w:t>202</w:t>
      </w:r>
      <w:r>
        <w:rPr>
          <w:rFonts w:hint="eastAsia" w:ascii="仿宋" w:eastAsia="仿宋"/>
          <w:sz w:val="32"/>
          <w:szCs w:val="32"/>
        </w:rPr>
        <w:t>2</w:t>
      </w:r>
      <w:r>
        <w:rPr>
          <w:rFonts w:ascii="仿宋" w:eastAsia="仿宋"/>
          <w:sz w:val="32"/>
          <w:szCs w:val="32"/>
        </w:rPr>
        <w:t>年</w:t>
      </w:r>
      <w:r>
        <w:rPr>
          <w:rFonts w:hint="eastAsia" w:ascii="仿宋" w:eastAsia="仿宋"/>
          <w:sz w:val="32"/>
          <w:szCs w:val="32"/>
        </w:rPr>
        <w:t>安排此项目预算。此项目对市场商户影响巨大，可以为市场商户提供良好的经营经商环境，提升生态环境指标，提升市场实力，扩大市场影响力</w:t>
      </w:r>
      <w:r>
        <w:rPr>
          <w:rFonts w:ascii="仿宋" w:eastAsia="仿宋"/>
          <w:sz w:val="32"/>
          <w:szCs w:val="32"/>
        </w:rPr>
        <w:t>；</w:t>
      </w:r>
      <w:r>
        <w:rPr>
          <w:rFonts w:hint="eastAsia" w:ascii="仿宋" w:eastAsia="仿宋"/>
          <w:sz w:val="32"/>
          <w:szCs w:val="32"/>
        </w:rPr>
        <w:t>经济效益，社会效益，可持续效益明显提高。</w:t>
      </w:r>
    </w:p>
    <w:p>
      <w:pPr>
        <w:ind w:firstLine="640" w:firstLineChars="200"/>
        <w:jc w:val="left"/>
        <w:rPr>
          <w:rFonts w:ascii="仿宋" w:hAnsi="仿宋" w:eastAsia="仿宋" w:cs="仿宋"/>
          <w:sz w:val="30"/>
          <w:szCs w:val="30"/>
        </w:rPr>
      </w:pPr>
      <w:r>
        <w:rPr>
          <w:rFonts w:hint="eastAsia" w:ascii="仿宋" w:hAnsi="仿宋" w:eastAsia="仿宋" w:cs="仿宋"/>
          <w:sz w:val="32"/>
          <w:szCs w:val="32"/>
        </w:rPr>
        <w:t>（三）项目概况、</w:t>
      </w:r>
      <w:r>
        <w:rPr>
          <w:rFonts w:hint="eastAsia" w:ascii="仿宋" w:eastAsia="仿宋" w:cs="仿宋"/>
          <w:sz w:val="32"/>
          <w:szCs w:val="32"/>
        </w:rPr>
        <w:t>实施过程及资金使用情况</w:t>
      </w:r>
    </w:p>
    <w:p>
      <w:pPr>
        <w:pStyle w:val="2"/>
        <w:ind w:firstLine="640"/>
        <w:rPr>
          <w:rFonts w:ascii="仿宋" w:eastAsia="仿宋" w:cs="仿宋"/>
          <w:sz w:val="32"/>
          <w:szCs w:val="32"/>
        </w:rPr>
      </w:pPr>
      <w:r>
        <w:rPr>
          <w:rFonts w:hint="eastAsia" w:ascii="仿宋" w:eastAsia="仿宋" w:cs="仿宋"/>
          <w:sz w:val="32"/>
          <w:szCs w:val="32"/>
        </w:rPr>
        <w:t>20</w:t>
      </w:r>
      <w:r>
        <w:rPr>
          <w:rFonts w:ascii="仿宋" w:eastAsia="仿宋" w:cs="仿宋"/>
          <w:sz w:val="32"/>
          <w:szCs w:val="32"/>
        </w:rPr>
        <w:t>2</w:t>
      </w:r>
      <w:r>
        <w:rPr>
          <w:rFonts w:hint="eastAsia" w:ascii="仿宋" w:eastAsia="仿宋" w:cs="仿宋"/>
          <w:sz w:val="32"/>
          <w:szCs w:val="32"/>
        </w:rPr>
        <w:t>2年我单位安排预算项目一个。项目名称为市场建设整治专项经费。项目主要用途是所辖市场内的设施进行日常建设、维修、维护、广告宣传及疫情防控、创城等工作支出。项目政策依据三定方案（高政办[2002]63号文中第一条主要职责（市场的规划与建设，组织市场论证，适时提出市场建设的意见，搞好市场的规划与建设、培育和发展好市场。）</w:t>
      </w:r>
    </w:p>
    <w:p>
      <w:pPr>
        <w:rPr>
          <w:rFonts w:ascii="仿宋" w:eastAsia="仿宋" w:cs="仿宋"/>
          <w:sz w:val="32"/>
          <w:szCs w:val="32"/>
        </w:rPr>
      </w:pPr>
      <w:r>
        <w:rPr>
          <w:rFonts w:hint="eastAsia" w:ascii="仿宋" w:eastAsia="仿宋" w:cs="仿宋"/>
          <w:sz w:val="32"/>
          <w:szCs w:val="32"/>
        </w:rPr>
        <w:t>及2022年市场建设整治专项经费的会议纪要。项目预算资金</w:t>
      </w:r>
      <w:r>
        <w:rPr>
          <w:rFonts w:ascii="仿宋" w:eastAsia="仿宋" w:cs="仿宋"/>
          <w:sz w:val="32"/>
          <w:szCs w:val="32"/>
        </w:rPr>
        <w:t>3</w:t>
      </w:r>
      <w:r>
        <w:rPr>
          <w:rFonts w:hint="eastAsia" w:ascii="仿宋" w:eastAsia="仿宋" w:cs="仿宋"/>
          <w:sz w:val="32"/>
          <w:szCs w:val="32"/>
        </w:rPr>
        <w:t>7万元。实际支付项目款37万元。项目支出进度与预算进度相吻合，预算项目目标内容与实际执行相吻合。</w:t>
      </w:r>
    </w:p>
    <w:p>
      <w:pPr>
        <w:pStyle w:val="2"/>
        <w:numPr>
          <w:ilvl w:val="0"/>
          <w:numId w:val="2"/>
        </w:numPr>
        <w:ind w:firstLine="640"/>
        <w:rPr>
          <w:rFonts w:eastAsia="仿宋"/>
          <w:sz w:val="32"/>
          <w:szCs w:val="32"/>
        </w:rPr>
      </w:pPr>
      <w:r>
        <w:rPr>
          <w:rFonts w:hint="eastAsia" w:eastAsia="仿宋"/>
          <w:sz w:val="32"/>
          <w:szCs w:val="32"/>
        </w:rPr>
        <w:t>项目绩效目标设定</w:t>
      </w:r>
    </w:p>
    <w:tbl>
      <w:tblPr>
        <w:tblW w:w="789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1256"/>
        <w:gridCol w:w="1256"/>
        <w:gridCol w:w="1188"/>
        <w:gridCol w:w="1256"/>
        <w:gridCol w:w="796"/>
        <w:gridCol w:w="877"/>
        <w:gridCol w:w="1267"/>
      </w:tblGrid>
      <w:tr>
        <w:trPr>
          <w:trHeight w:val="600" w:hRule="atLeast"/>
        </w:trPr>
        <w:tc>
          <w:tcPr>
            <w:tcW w:w="125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一级指标</w:t>
            </w:r>
          </w:p>
        </w:tc>
        <w:tc>
          <w:tcPr>
            <w:tcW w:w="125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二级指标</w:t>
            </w:r>
          </w:p>
        </w:tc>
        <w:tc>
          <w:tcPr>
            <w:tcW w:w="118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三级指标</w:t>
            </w:r>
          </w:p>
        </w:tc>
        <w:tc>
          <w:tcPr>
            <w:tcW w:w="125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指标分值</w:t>
            </w:r>
          </w:p>
        </w:tc>
        <w:tc>
          <w:tcPr>
            <w:tcW w:w="294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预期指标值</w:t>
            </w:r>
          </w:p>
        </w:tc>
      </w:tr>
      <w:tr>
        <w:trPr>
          <w:trHeight w:val="600" w:hRule="atLeast"/>
        </w:trPr>
        <w:tc>
          <w:tcPr>
            <w:tcW w:w="125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color w:val="000000"/>
                <w:sz w:val="18"/>
                <w:szCs w:val="18"/>
              </w:rPr>
            </w:pPr>
          </w:p>
        </w:tc>
        <w:tc>
          <w:tcPr>
            <w:tcW w:w="125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color w:val="000000"/>
                <w:sz w:val="18"/>
                <w:szCs w:val="18"/>
              </w:rPr>
            </w:pPr>
          </w:p>
        </w:tc>
        <w:tc>
          <w:tcPr>
            <w:tcW w:w="118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color w:val="000000"/>
                <w:sz w:val="18"/>
                <w:szCs w:val="18"/>
              </w:rPr>
            </w:pPr>
          </w:p>
        </w:tc>
        <w:tc>
          <w:tcPr>
            <w:tcW w:w="125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符号</w:t>
            </w:r>
          </w:p>
        </w:tc>
        <w:tc>
          <w:tcPr>
            <w:tcW w:w="8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值</w:t>
            </w:r>
          </w:p>
        </w:tc>
        <w:tc>
          <w:tcPr>
            <w:tcW w:w="12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单位</w:t>
            </w:r>
            <w:r>
              <w:rPr>
                <w:rFonts w:hint="eastAsia" w:ascii="宋体" w:hAnsi="宋体" w:cs="宋体"/>
                <w:b/>
                <w:bCs/>
                <w:color w:val="000000"/>
                <w:kern w:val="0"/>
                <w:sz w:val="18"/>
                <w:szCs w:val="18"/>
              </w:rPr>
              <w:br/>
            </w:r>
            <w:r>
              <w:rPr>
                <w:rFonts w:hint="eastAsia" w:ascii="宋体" w:hAnsi="宋体" w:cs="宋体"/>
                <w:b/>
                <w:bCs/>
                <w:color w:val="000000"/>
                <w:kern w:val="0"/>
                <w:sz w:val="18"/>
                <w:szCs w:val="18"/>
              </w:rPr>
              <w:t>（文字描述）</w:t>
            </w:r>
          </w:p>
        </w:tc>
      </w:tr>
      <w:tr>
        <w:trPr>
          <w:trHeight w:val="700" w:hRule="atLeast"/>
        </w:trPr>
        <w:tc>
          <w:tcPr>
            <w:tcW w:w="125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产出指标</w:t>
            </w:r>
            <w:r>
              <w:rPr>
                <w:rFonts w:hint="eastAsia" w:ascii="宋体" w:hAnsi="宋体" w:cs="宋体"/>
                <w:b/>
                <w:bCs/>
                <w:color w:val="000000"/>
                <w:kern w:val="0"/>
                <w:sz w:val="18"/>
                <w:szCs w:val="18"/>
              </w:rPr>
              <w:br/>
            </w:r>
            <w:r>
              <w:rPr>
                <w:rFonts w:hint="eastAsia" w:ascii="宋体" w:hAnsi="宋体" w:cs="宋体"/>
                <w:b/>
                <w:bCs/>
                <w:color w:val="000000"/>
                <w:kern w:val="0"/>
                <w:sz w:val="18"/>
                <w:szCs w:val="18"/>
              </w:rPr>
              <w:t>（50）</w:t>
            </w:r>
          </w:p>
        </w:tc>
        <w:tc>
          <w:tcPr>
            <w:tcW w:w="12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数量指标</w:t>
            </w:r>
          </w:p>
        </w:tc>
        <w:tc>
          <w:tcPr>
            <w:tcW w:w="11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维修数量</w:t>
            </w:r>
          </w:p>
        </w:tc>
        <w:tc>
          <w:tcPr>
            <w:tcW w:w="12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100</w:t>
            </w:r>
          </w:p>
        </w:tc>
        <w:tc>
          <w:tcPr>
            <w:tcW w:w="7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8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95</w:t>
            </w:r>
          </w:p>
        </w:tc>
        <w:tc>
          <w:tcPr>
            <w:tcW w:w="12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trPr>
          <w:trHeight w:val="700" w:hRule="atLeast"/>
        </w:trPr>
        <w:tc>
          <w:tcPr>
            <w:tcW w:w="125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color w:val="000000"/>
                <w:sz w:val="18"/>
                <w:szCs w:val="18"/>
              </w:rPr>
            </w:pPr>
          </w:p>
        </w:tc>
        <w:tc>
          <w:tcPr>
            <w:tcW w:w="12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质量指标</w:t>
            </w:r>
          </w:p>
        </w:tc>
        <w:tc>
          <w:tcPr>
            <w:tcW w:w="11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清洁质量</w:t>
            </w:r>
          </w:p>
        </w:tc>
        <w:tc>
          <w:tcPr>
            <w:tcW w:w="12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100</w:t>
            </w:r>
          </w:p>
        </w:tc>
        <w:tc>
          <w:tcPr>
            <w:tcW w:w="7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8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90</w:t>
            </w:r>
          </w:p>
        </w:tc>
        <w:tc>
          <w:tcPr>
            <w:tcW w:w="12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p>
        </w:tc>
      </w:tr>
      <w:tr>
        <w:trPr>
          <w:trHeight w:val="700" w:hRule="atLeast"/>
        </w:trPr>
        <w:tc>
          <w:tcPr>
            <w:tcW w:w="125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color w:val="000000"/>
                <w:sz w:val="18"/>
                <w:szCs w:val="18"/>
              </w:rPr>
            </w:pPr>
          </w:p>
        </w:tc>
        <w:tc>
          <w:tcPr>
            <w:tcW w:w="12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时效指标</w:t>
            </w:r>
          </w:p>
        </w:tc>
        <w:tc>
          <w:tcPr>
            <w:tcW w:w="11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及时率</w:t>
            </w:r>
          </w:p>
        </w:tc>
        <w:tc>
          <w:tcPr>
            <w:tcW w:w="12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100</w:t>
            </w:r>
          </w:p>
        </w:tc>
        <w:tc>
          <w:tcPr>
            <w:tcW w:w="7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8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90</w:t>
            </w:r>
          </w:p>
        </w:tc>
        <w:tc>
          <w:tcPr>
            <w:tcW w:w="12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trPr>
          <w:trHeight w:val="700" w:hRule="atLeast"/>
        </w:trPr>
        <w:tc>
          <w:tcPr>
            <w:tcW w:w="125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color w:val="000000"/>
                <w:sz w:val="18"/>
                <w:szCs w:val="18"/>
              </w:rPr>
            </w:pPr>
          </w:p>
        </w:tc>
        <w:tc>
          <w:tcPr>
            <w:tcW w:w="12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成本指标</w:t>
            </w:r>
          </w:p>
        </w:tc>
        <w:tc>
          <w:tcPr>
            <w:tcW w:w="11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预算控制数</w:t>
            </w:r>
          </w:p>
        </w:tc>
        <w:tc>
          <w:tcPr>
            <w:tcW w:w="12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100</w:t>
            </w:r>
          </w:p>
        </w:tc>
        <w:tc>
          <w:tcPr>
            <w:tcW w:w="7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8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37</w:t>
            </w:r>
          </w:p>
        </w:tc>
        <w:tc>
          <w:tcPr>
            <w:tcW w:w="12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万元</w:t>
            </w:r>
          </w:p>
        </w:tc>
      </w:tr>
      <w:tr>
        <w:trPr>
          <w:trHeight w:val="700" w:hRule="atLeast"/>
        </w:trPr>
        <w:tc>
          <w:tcPr>
            <w:tcW w:w="125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效益指标</w:t>
            </w:r>
            <w:r>
              <w:rPr>
                <w:rFonts w:hint="eastAsia" w:ascii="宋体" w:hAnsi="宋体" w:cs="宋体"/>
                <w:b/>
                <w:bCs/>
                <w:color w:val="000000"/>
                <w:kern w:val="0"/>
                <w:sz w:val="18"/>
                <w:szCs w:val="18"/>
              </w:rPr>
              <w:br/>
            </w:r>
            <w:r>
              <w:rPr>
                <w:rFonts w:hint="eastAsia" w:ascii="宋体" w:hAnsi="宋体" w:cs="宋体"/>
                <w:b/>
                <w:bCs/>
                <w:color w:val="000000"/>
                <w:kern w:val="0"/>
                <w:sz w:val="18"/>
                <w:szCs w:val="18"/>
              </w:rPr>
              <w:t>（30）</w:t>
            </w:r>
          </w:p>
        </w:tc>
        <w:tc>
          <w:tcPr>
            <w:tcW w:w="12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社会效益指标</w:t>
            </w:r>
          </w:p>
        </w:tc>
        <w:tc>
          <w:tcPr>
            <w:tcW w:w="11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满意度</w:t>
            </w:r>
          </w:p>
        </w:tc>
        <w:tc>
          <w:tcPr>
            <w:tcW w:w="12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100</w:t>
            </w:r>
          </w:p>
        </w:tc>
        <w:tc>
          <w:tcPr>
            <w:tcW w:w="7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87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12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营造良好的市场环境</w:t>
            </w:r>
          </w:p>
        </w:tc>
      </w:tr>
      <w:tr>
        <w:trPr>
          <w:trHeight w:val="700" w:hRule="atLeast"/>
        </w:trPr>
        <w:tc>
          <w:tcPr>
            <w:tcW w:w="125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color w:val="000000"/>
                <w:sz w:val="18"/>
                <w:szCs w:val="18"/>
              </w:rPr>
            </w:pPr>
          </w:p>
        </w:tc>
        <w:tc>
          <w:tcPr>
            <w:tcW w:w="12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生态效益指标</w:t>
            </w:r>
          </w:p>
        </w:tc>
        <w:tc>
          <w:tcPr>
            <w:tcW w:w="11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满意度</w:t>
            </w:r>
          </w:p>
        </w:tc>
        <w:tc>
          <w:tcPr>
            <w:tcW w:w="12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100</w:t>
            </w:r>
          </w:p>
        </w:tc>
        <w:tc>
          <w:tcPr>
            <w:tcW w:w="7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87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12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营造良好的市场环境</w:t>
            </w:r>
          </w:p>
        </w:tc>
      </w:tr>
      <w:tr>
        <w:trPr>
          <w:trHeight w:val="700" w:hRule="atLeast"/>
        </w:trPr>
        <w:tc>
          <w:tcPr>
            <w:tcW w:w="12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满意度指标</w:t>
            </w:r>
            <w:r>
              <w:rPr>
                <w:rFonts w:hint="eastAsia" w:ascii="宋体" w:hAnsi="宋体" w:cs="宋体"/>
                <w:b/>
                <w:bCs/>
                <w:color w:val="000000"/>
                <w:kern w:val="0"/>
                <w:sz w:val="18"/>
                <w:szCs w:val="18"/>
              </w:rPr>
              <w:br/>
            </w:r>
            <w:r>
              <w:rPr>
                <w:rFonts w:hint="eastAsia" w:ascii="宋体" w:hAnsi="宋体" w:cs="宋体"/>
                <w:b/>
                <w:bCs/>
                <w:color w:val="000000"/>
                <w:kern w:val="0"/>
                <w:sz w:val="18"/>
                <w:szCs w:val="18"/>
              </w:rPr>
              <w:t>（10）</w:t>
            </w:r>
          </w:p>
        </w:tc>
        <w:tc>
          <w:tcPr>
            <w:tcW w:w="12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满意度指标</w:t>
            </w:r>
          </w:p>
        </w:tc>
        <w:tc>
          <w:tcPr>
            <w:tcW w:w="11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满意度</w:t>
            </w:r>
          </w:p>
        </w:tc>
        <w:tc>
          <w:tcPr>
            <w:tcW w:w="12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100</w:t>
            </w:r>
          </w:p>
        </w:tc>
        <w:tc>
          <w:tcPr>
            <w:tcW w:w="7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8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90</w:t>
            </w:r>
          </w:p>
        </w:tc>
        <w:tc>
          <w:tcPr>
            <w:tcW w:w="12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trPr>
          <w:trHeight w:val="700" w:hRule="atLeast"/>
        </w:trPr>
        <w:tc>
          <w:tcPr>
            <w:tcW w:w="12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预算执行率</w:t>
            </w:r>
            <w:r>
              <w:rPr>
                <w:rFonts w:hint="eastAsia" w:ascii="宋体" w:hAnsi="宋体" w:cs="宋体"/>
                <w:b/>
                <w:bCs/>
                <w:color w:val="000000"/>
                <w:kern w:val="0"/>
                <w:sz w:val="18"/>
                <w:szCs w:val="18"/>
              </w:rPr>
              <w:br/>
            </w:r>
            <w:r>
              <w:rPr>
                <w:rFonts w:hint="eastAsia" w:ascii="宋体" w:hAnsi="宋体" w:cs="宋体"/>
                <w:b/>
                <w:bCs/>
                <w:color w:val="000000"/>
                <w:kern w:val="0"/>
                <w:sz w:val="18"/>
                <w:szCs w:val="18"/>
              </w:rPr>
              <w:t>（10）</w:t>
            </w:r>
          </w:p>
        </w:tc>
        <w:tc>
          <w:tcPr>
            <w:tcW w:w="12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预算执行率</w:t>
            </w:r>
          </w:p>
        </w:tc>
        <w:tc>
          <w:tcPr>
            <w:tcW w:w="11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预算数</w:t>
            </w:r>
          </w:p>
        </w:tc>
        <w:tc>
          <w:tcPr>
            <w:tcW w:w="12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100</w:t>
            </w:r>
          </w:p>
        </w:tc>
        <w:tc>
          <w:tcPr>
            <w:tcW w:w="7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8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37</w:t>
            </w:r>
          </w:p>
        </w:tc>
        <w:tc>
          <w:tcPr>
            <w:tcW w:w="12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万元</w:t>
            </w:r>
          </w:p>
        </w:tc>
      </w:tr>
    </w:tbl>
    <w:p>
      <w:pPr>
        <w:pStyle w:val="2"/>
        <w:ind w:left="420" w:leftChars="200" w:firstLine="0" w:firstLineChars="0"/>
        <w:rPr>
          <w:rFonts w:eastAsia="仿宋"/>
          <w:sz w:val="32"/>
          <w:szCs w:val="32"/>
        </w:rPr>
      </w:pPr>
    </w:p>
    <w:p>
      <w:pPr>
        <w:rPr>
          <w:rFonts w:ascii="仿宋" w:eastAsia="仿宋" w:cs="仿宋"/>
          <w:b/>
          <w:bCs/>
          <w:sz w:val="32"/>
          <w:szCs w:val="32"/>
        </w:rPr>
      </w:pPr>
      <w:r>
        <w:rPr>
          <w:rFonts w:hint="eastAsia" w:ascii="仿宋" w:eastAsia="仿宋" w:cs="仿宋"/>
          <w:b/>
          <w:bCs/>
          <w:sz w:val="32"/>
          <w:szCs w:val="32"/>
        </w:rPr>
        <w:t>二、绩效自评工作组织开展情况</w:t>
      </w: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为圆满完成市场建设整治专项经费项目的重点绩效评价工作，我们在成立绩效评价工作小组、明确绩效评价目的和原则的基础上，选定恰当的评价标准和评价重点、并选择合适的评价方式方法，制定了具有可操作性的评价实施方案。</w:t>
      </w: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1.成立绩效评价工作组。根据市场建设整治专项经费项目业务的特点和具体内容，按照具备专业胜任能力、绩效评价经验丰富、遵守职业道德要求、恪守诚信、客观公正的标准，组建绩效评价工作组。</w:t>
      </w: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2.确定绩效评价的目的和原则</w:t>
      </w: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（1）绩效评价目的。以改进预算管理、提升预算绩效为目标，加强财政资金绩效管理，提高项目绩效管理水平，促进财政资金的配置效率、使用效益的提升，提高预算管理水平和政策实施效果。</w:t>
      </w: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（2）绩效评价原则</w:t>
      </w: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①问题导向。以相关法律、法规、规章以及国家、省、市有关文件政策等为依据，分析并抓住存在问题，究其原因、搜其危害、谋划措施、研究解决。</w:t>
      </w: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②突出重点。以绩效导向和成本控制理念为出发点，以投入、产出和效果为评价重点，对资金安排使用的科学性、精准性、及时性、规范性、有效性进行综合评价。</w:t>
      </w: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 3 \* GB3 </w:instrText>
      </w:r>
      <w:r>
        <w:rPr>
          <w:rFonts w:hint="eastAsia" w:ascii="仿宋" w:hAnsi="仿宋" w:eastAsia="仿宋" w:cs="仿宋"/>
          <w:sz w:val="32"/>
          <w:szCs w:val="32"/>
        </w:rPr>
        <w:fldChar w:fldCharType="separate"/>
      </w:r>
      <w:r>
        <w:rPr>
          <w:rFonts w:hint="eastAsia" w:ascii="仿宋" w:hAnsi="仿宋" w:eastAsia="仿宋" w:cs="仿宋"/>
          <w:sz w:val="32"/>
          <w:szCs w:val="32"/>
        </w:rPr>
        <w:t>③</w:t>
      </w:r>
      <w:r>
        <w:rPr>
          <w:rFonts w:hint="eastAsia" w:ascii="仿宋" w:hAnsi="仿宋" w:eastAsia="仿宋" w:cs="仿宋"/>
          <w:sz w:val="32"/>
          <w:szCs w:val="32"/>
        </w:rPr>
        <w:fldChar w:fldCharType="end"/>
      </w:r>
      <w:r>
        <w:rPr>
          <w:rFonts w:hint="eastAsia" w:ascii="仿宋" w:hAnsi="仿宋" w:eastAsia="仿宋" w:cs="仿宋"/>
          <w:sz w:val="32"/>
          <w:szCs w:val="32"/>
        </w:rPr>
        <w:t>科学规范。采用定性与定量相结合的方法，通过多种途径和手段充分收集证据资料，保证评价结论依据充分。</w:t>
      </w: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3.绩效评价标准和评价重点</w:t>
      </w: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（1）此次绩效评价标准主要使用了计划标准，即以预先制定的目标、计划、预算、定额等作为评价标准。</w:t>
      </w: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（2）绩效评价重点内容。重点是对资金安排使用的科学性、精准性、及时性、规范性、有效性等进行综合评价。</w:t>
      </w: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①科学性。主要评价资金安排是否符合财政事权与支出责任相适应的要求，是否建立了规范高效的分配使用机制等。</w:t>
      </w: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②精准性。主要评价资金投向是否与年</w:t>
      </w:r>
      <w:r>
        <w:rPr>
          <w:rFonts w:hint="eastAsia" w:ascii="仿宋" w:eastAsia="仿宋" w:cs="仿宋"/>
          <w:sz w:val="32"/>
          <w:szCs w:val="32"/>
        </w:rPr>
        <w:t>初设定的绩效目标</w:t>
      </w:r>
      <w:r>
        <w:rPr>
          <w:rFonts w:hint="eastAsia" w:ascii="仿宋" w:hAnsi="仿宋" w:eastAsia="仿宋" w:cs="仿宋"/>
          <w:sz w:val="32"/>
          <w:szCs w:val="32"/>
        </w:rPr>
        <w:t>相匹配。</w:t>
      </w: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 3 \* GB3 </w:instrText>
      </w:r>
      <w:r>
        <w:rPr>
          <w:rFonts w:hint="eastAsia" w:ascii="仿宋" w:hAnsi="仿宋" w:eastAsia="仿宋" w:cs="仿宋"/>
          <w:sz w:val="32"/>
          <w:szCs w:val="32"/>
        </w:rPr>
        <w:fldChar w:fldCharType="separate"/>
      </w:r>
      <w:r>
        <w:rPr>
          <w:rFonts w:hint="eastAsia" w:ascii="仿宋" w:hAnsi="仿宋" w:eastAsia="仿宋" w:cs="仿宋"/>
          <w:sz w:val="32"/>
          <w:szCs w:val="32"/>
        </w:rPr>
        <w:t>③</w:t>
      </w:r>
      <w:r>
        <w:rPr>
          <w:rFonts w:hint="eastAsia" w:ascii="仿宋" w:hAnsi="仿宋" w:eastAsia="仿宋" w:cs="仿宋"/>
          <w:sz w:val="32"/>
          <w:szCs w:val="32"/>
        </w:rPr>
        <w:fldChar w:fldCharType="end"/>
      </w:r>
      <w:r>
        <w:rPr>
          <w:rFonts w:hint="eastAsia" w:ascii="仿宋" w:hAnsi="仿宋" w:eastAsia="仿宋" w:cs="仿宋"/>
          <w:sz w:val="32"/>
          <w:szCs w:val="32"/>
        </w:rPr>
        <w:t>及时性。主要评价资金分解下达是否符合预算法规定期限，代编预算细化是否满足相关时限要求，支出进度是否达到既定进度目标要求。</w:t>
      </w: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 4 \* GB3 </w:instrText>
      </w:r>
      <w:r>
        <w:rPr>
          <w:rFonts w:hint="eastAsia" w:ascii="仿宋" w:hAnsi="仿宋" w:eastAsia="仿宋" w:cs="仿宋"/>
          <w:sz w:val="32"/>
          <w:szCs w:val="32"/>
        </w:rPr>
        <w:fldChar w:fldCharType="separate"/>
      </w:r>
      <w:r>
        <w:rPr>
          <w:rFonts w:hint="eastAsia" w:ascii="仿宋" w:hAnsi="仿宋" w:eastAsia="仿宋" w:cs="仿宋"/>
          <w:sz w:val="32"/>
          <w:szCs w:val="32"/>
        </w:rPr>
        <w:t>④</w:t>
      </w:r>
      <w:r>
        <w:rPr>
          <w:rFonts w:hint="eastAsia" w:ascii="仿宋" w:hAnsi="仿宋" w:eastAsia="仿宋" w:cs="仿宋"/>
          <w:sz w:val="32"/>
          <w:szCs w:val="32"/>
        </w:rPr>
        <w:fldChar w:fldCharType="end"/>
      </w:r>
      <w:r>
        <w:rPr>
          <w:rFonts w:hint="eastAsia" w:ascii="仿宋" w:hAnsi="仿宋" w:eastAsia="仿宋" w:cs="仿宋"/>
          <w:sz w:val="32"/>
          <w:szCs w:val="32"/>
        </w:rPr>
        <w:t>规范性。主要评价资金安排、使用是否合法合规，资金用途是否符合项目实施内容和工作任务，资金支出是否履行审批程序和手续，会计信息是否完整准确，是否存在挤占挪用等问题。</w:t>
      </w:r>
    </w:p>
    <w:p>
      <w:pPr>
        <w:pStyle w:val="2"/>
        <w:ind w:firstLine="640"/>
        <w:rPr>
          <w:rFonts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 5 \* GB3 </w:instrText>
      </w:r>
      <w:r>
        <w:rPr>
          <w:rFonts w:hint="eastAsia" w:ascii="仿宋" w:hAnsi="仿宋" w:eastAsia="仿宋" w:cs="仿宋"/>
          <w:sz w:val="32"/>
          <w:szCs w:val="32"/>
        </w:rPr>
        <w:fldChar w:fldCharType="separate"/>
      </w:r>
      <w:r>
        <w:rPr>
          <w:rFonts w:hint="eastAsia" w:ascii="仿宋" w:hAnsi="仿宋" w:eastAsia="仿宋" w:cs="仿宋"/>
          <w:sz w:val="32"/>
          <w:szCs w:val="32"/>
        </w:rPr>
        <w:t>⑤</w:t>
      </w:r>
      <w:r>
        <w:rPr>
          <w:rFonts w:hint="eastAsia" w:ascii="仿宋" w:hAnsi="仿宋" w:eastAsia="仿宋" w:cs="仿宋"/>
          <w:sz w:val="32"/>
          <w:szCs w:val="32"/>
        </w:rPr>
        <w:fldChar w:fldCharType="end"/>
      </w:r>
      <w:r>
        <w:rPr>
          <w:rFonts w:hint="eastAsia" w:ascii="仿宋" w:hAnsi="仿宋" w:eastAsia="仿宋" w:cs="仿宋"/>
          <w:sz w:val="32"/>
          <w:szCs w:val="32"/>
        </w:rPr>
        <w:t>有效性。主要评价项目绩效目标指标是否完成，支出内容是否准确合理，实施方式是否科学高效，资金使用是否厉行节约，是否实现少花钱、多办事，最大程度发挥了资金使用效益。</w:t>
      </w:r>
    </w:p>
    <w:p>
      <w:pPr>
        <w:pStyle w:val="2"/>
        <w:ind w:firstLine="640"/>
        <w:rPr>
          <w:rFonts w:ascii="仿宋" w:hAnsi="仿宋" w:eastAsia="仿宋" w:cs="仿宋"/>
          <w:sz w:val="32"/>
          <w:szCs w:val="32"/>
        </w:rPr>
      </w:pPr>
      <w:r>
        <w:rPr>
          <w:rFonts w:hint="eastAsia" w:ascii="仿宋" w:hAnsi="仿宋" w:eastAsia="仿宋" w:cs="仿宋"/>
          <w:sz w:val="32"/>
          <w:szCs w:val="32"/>
        </w:rPr>
        <w:t>此次评价通过实地核实相关原始账页、支出凭证，管理制度等原始资料、现场查验，按照绩效评价指标体系的评分办法从项目决策、管理、产出、效益等方面进行实地监督评价。项目绩效评价指标体系分值共100分，一级指标4项：决策、管理、产出、效益；二级指标项；三级指标项，各分项指标及分值见附件，评价等级以优、良、中、差四个等级来反映；评价总分设置为100分情况下，一般得分与等级对应关系为：90分以上为优、80-90分为良、60-80分为中、60分以下为差”的规定。</w:t>
      </w:r>
    </w:p>
    <w:p>
      <w:pPr>
        <w:rPr>
          <w:rFonts w:ascii="仿宋" w:eastAsia="仿宋" w:cs="仿宋"/>
          <w:b/>
          <w:bCs/>
          <w:sz w:val="32"/>
          <w:szCs w:val="32"/>
        </w:rPr>
      </w:pPr>
      <w:r>
        <w:rPr>
          <w:rFonts w:hint="eastAsia" w:ascii="仿宋" w:eastAsia="仿宋" w:cs="仿宋"/>
          <w:b/>
          <w:bCs/>
          <w:sz w:val="32"/>
          <w:szCs w:val="32"/>
        </w:rPr>
        <w:t>三、综合评价情况及评价结论</w:t>
      </w:r>
    </w:p>
    <w:p>
      <w:pPr>
        <w:ind w:firstLine="640" w:firstLineChars="200"/>
        <w:rPr>
          <w:rFonts w:ascii="仿宋" w:eastAsia="仿宋" w:cs="仿宋"/>
          <w:sz w:val="32"/>
          <w:szCs w:val="32"/>
        </w:rPr>
      </w:pPr>
      <w:r>
        <w:rPr>
          <w:rFonts w:hint="eastAsia" w:ascii="仿宋" w:eastAsia="仿宋" w:cs="仿宋"/>
          <w:sz w:val="32"/>
          <w:szCs w:val="32"/>
        </w:rPr>
        <w:t>市场建设整治专项经费项目绩效目标：改善市场硬件设施，使市场整体形象更加美观，对市场内部整体环境，卫生等进行综合整治，在创建国家卫生县城工作中取得好成绩；市场范围内老旧设施整改维修，消除安全隐患。通过对市场的全面整治，使市场内的基础设施建设更加完善，市场环境与形象有所提高。做到让食品和蔬菜无害化入市场经营，确保各类食品无污染变质等情况发生，认真落实监管流程和服务水平，协助有关部门查处经营户违法行为，做好文明市场建设工作，提高商户合法经营意识，规范经营活动，做到无违法经营活动，无假冒伪劣三无产品。努力营造一个诚信、文明、开放、繁荣、舒适的经营购物环境。</w:t>
      </w:r>
    </w:p>
    <w:p>
      <w:pPr>
        <w:pStyle w:val="2"/>
        <w:ind w:firstLine="640"/>
        <w:rPr>
          <w:rFonts w:ascii="仿宋" w:hAnsi="仿宋" w:eastAsia="仿宋" w:cs="仿宋"/>
          <w:sz w:val="32"/>
          <w:szCs w:val="32"/>
        </w:rPr>
      </w:pPr>
      <w:r>
        <w:rPr>
          <w:rFonts w:hint="eastAsia" w:ascii="仿宋" w:hAnsi="仿宋" w:eastAsia="仿宋" w:cs="仿宋"/>
          <w:sz w:val="32"/>
          <w:szCs w:val="32"/>
        </w:rPr>
        <w:t>项目绩效评价综合得分90.5分。综合评价结论为“优”。</w:t>
      </w:r>
    </w:p>
    <w:p>
      <w:pPr>
        <w:ind w:firstLine="640" w:firstLineChars="200"/>
        <w:rPr>
          <w:rFonts w:ascii="仿宋" w:eastAsia="仿宋" w:cs="仿宋"/>
          <w:sz w:val="32"/>
          <w:szCs w:val="32"/>
        </w:rPr>
      </w:pPr>
      <w:r>
        <w:rPr>
          <w:rFonts w:ascii="仿宋" w:eastAsia="仿宋" w:cs="仿宋"/>
          <w:sz w:val="32"/>
          <w:szCs w:val="32"/>
        </w:rPr>
        <w:t xml:space="preserve"> </w:t>
      </w:r>
      <w:r>
        <w:rPr>
          <w:rFonts w:hint="eastAsia" w:ascii="仿宋" w:eastAsia="仿宋" w:cs="仿宋"/>
          <w:sz w:val="32"/>
          <w:szCs w:val="32"/>
        </w:rPr>
        <w:t>附：绩效评价具体得分情况表</w:t>
      </w:r>
    </w:p>
    <w:tbl>
      <w:tblPr>
        <w:tblW w:w="8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2911"/>
        <w:gridCol w:w="1092"/>
        <w:gridCol w:w="1111"/>
      </w:tblGrid>
      <w:tr>
        <w:tc>
          <w:tcPr>
            <w:tcW w:w="1704" w:type="dxa"/>
            <w:vAlign w:val="top"/>
          </w:tcPr>
          <w:p>
            <w:pPr>
              <w:pStyle w:val="2"/>
              <w:ind w:firstLine="420"/>
              <w:jc w:val="center"/>
            </w:pPr>
            <w:r>
              <w:rPr>
                <w:rFonts w:hint="eastAsia"/>
              </w:rPr>
              <w:t>一级指标</w:t>
            </w:r>
          </w:p>
        </w:tc>
        <w:tc>
          <w:tcPr>
            <w:tcW w:w="1704" w:type="dxa"/>
            <w:vAlign w:val="top"/>
          </w:tcPr>
          <w:p>
            <w:pPr>
              <w:pStyle w:val="2"/>
              <w:ind w:firstLine="420"/>
              <w:jc w:val="center"/>
            </w:pPr>
            <w:r>
              <w:rPr>
                <w:rFonts w:hint="eastAsia"/>
              </w:rPr>
              <w:t>二级指标</w:t>
            </w:r>
          </w:p>
        </w:tc>
        <w:tc>
          <w:tcPr>
            <w:tcW w:w="2911" w:type="dxa"/>
            <w:vAlign w:val="top"/>
          </w:tcPr>
          <w:p>
            <w:pPr>
              <w:pStyle w:val="2"/>
              <w:ind w:firstLine="420"/>
              <w:jc w:val="center"/>
            </w:pPr>
            <w:r>
              <w:rPr>
                <w:rFonts w:hint="eastAsia"/>
              </w:rPr>
              <w:t>三级指标</w:t>
            </w:r>
          </w:p>
        </w:tc>
        <w:tc>
          <w:tcPr>
            <w:tcW w:w="1092" w:type="dxa"/>
            <w:vAlign w:val="top"/>
          </w:tcPr>
          <w:p>
            <w:pPr>
              <w:pStyle w:val="2"/>
              <w:ind w:firstLine="210" w:firstLineChars="100"/>
            </w:pPr>
            <w:r>
              <w:rPr>
                <w:rFonts w:hint="eastAsia"/>
              </w:rPr>
              <w:t>分值</w:t>
            </w:r>
          </w:p>
        </w:tc>
        <w:tc>
          <w:tcPr>
            <w:tcW w:w="1111" w:type="dxa"/>
            <w:vAlign w:val="top"/>
          </w:tcPr>
          <w:p>
            <w:pPr>
              <w:pStyle w:val="2"/>
              <w:ind w:firstLine="210" w:firstLineChars="100"/>
            </w:pPr>
            <w:r>
              <w:rPr>
                <w:rFonts w:hint="eastAsia"/>
              </w:rPr>
              <w:t>得分</w:t>
            </w:r>
          </w:p>
        </w:tc>
      </w:tr>
      <w:tr>
        <w:tc>
          <w:tcPr>
            <w:tcW w:w="1704" w:type="dxa"/>
            <w:vAlign w:val="top"/>
          </w:tcPr>
          <w:p>
            <w:pPr>
              <w:pStyle w:val="2"/>
              <w:ind w:firstLine="420"/>
              <w:jc w:val="center"/>
            </w:pPr>
            <w:r>
              <w:rPr>
                <w:rFonts w:hint="eastAsia"/>
              </w:rPr>
              <w:t>决策（5分）</w:t>
            </w:r>
          </w:p>
        </w:tc>
        <w:tc>
          <w:tcPr>
            <w:tcW w:w="1704" w:type="dxa"/>
            <w:vAlign w:val="top"/>
          </w:tcPr>
          <w:p>
            <w:pPr>
              <w:pStyle w:val="2"/>
              <w:ind w:firstLine="420"/>
              <w:jc w:val="center"/>
            </w:pPr>
            <w:r>
              <w:rPr>
                <w:rFonts w:hint="eastAsia"/>
              </w:rPr>
              <w:t>项目立项</w:t>
            </w:r>
          </w:p>
        </w:tc>
        <w:tc>
          <w:tcPr>
            <w:tcW w:w="2911" w:type="dxa"/>
            <w:vAlign w:val="top"/>
          </w:tcPr>
          <w:p>
            <w:pPr>
              <w:pStyle w:val="2"/>
              <w:ind w:firstLine="420"/>
              <w:jc w:val="center"/>
            </w:pPr>
            <w:r>
              <w:rPr>
                <w:rFonts w:hint="eastAsia"/>
              </w:rPr>
              <w:t>立项依据充分性</w:t>
            </w:r>
          </w:p>
        </w:tc>
        <w:tc>
          <w:tcPr>
            <w:tcW w:w="1092" w:type="dxa"/>
            <w:vAlign w:val="top"/>
          </w:tcPr>
          <w:p>
            <w:pPr>
              <w:pStyle w:val="2"/>
              <w:ind w:firstLine="420"/>
              <w:jc w:val="center"/>
            </w:pPr>
            <w:r>
              <w:rPr>
                <w:rFonts w:hint="eastAsia"/>
              </w:rPr>
              <w:t>5</w:t>
            </w:r>
          </w:p>
        </w:tc>
        <w:tc>
          <w:tcPr>
            <w:tcW w:w="1111" w:type="dxa"/>
            <w:vAlign w:val="top"/>
          </w:tcPr>
          <w:p>
            <w:pPr>
              <w:pStyle w:val="2"/>
              <w:ind w:firstLine="420"/>
              <w:jc w:val="center"/>
            </w:pPr>
            <w:r>
              <w:rPr>
                <w:rFonts w:hint="eastAsia"/>
              </w:rPr>
              <w:t>5</w:t>
            </w:r>
          </w:p>
        </w:tc>
      </w:tr>
      <w:tr>
        <w:tc>
          <w:tcPr>
            <w:tcW w:w="6319" w:type="dxa"/>
            <w:gridSpan w:val="3"/>
            <w:vAlign w:val="top"/>
          </w:tcPr>
          <w:p>
            <w:pPr>
              <w:pStyle w:val="2"/>
              <w:ind w:firstLine="420"/>
              <w:jc w:val="left"/>
            </w:pPr>
            <w:r>
              <w:rPr>
                <w:rFonts w:hint="eastAsia"/>
              </w:rPr>
              <w:t>合计</w:t>
            </w:r>
          </w:p>
        </w:tc>
        <w:tc>
          <w:tcPr>
            <w:tcW w:w="1092" w:type="dxa"/>
            <w:vAlign w:val="top"/>
          </w:tcPr>
          <w:p>
            <w:pPr>
              <w:pStyle w:val="2"/>
              <w:ind w:firstLine="420"/>
              <w:jc w:val="center"/>
            </w:pPr>
            <w:r>
              <w:rPr>
                <w:rFonts w:hint="eastAsia"/>
              </w:rPr>
              <w:t>5</w:t>
            </w:r>
          </w:p>
        </w:tc>
        <w:tc>
          <w:tcPr>
            <w:tcW w:w="1111" w:type="dxa"/>
            <w:vAlign w:val="top"/>
          </w:tcPr>
          <w:p>
            <w:pPr>
              <w:pStyle w:val="2"/>
              <w:ind w:firstLine="420"/>
              <w:jc w:val="center"/>
            </w:pPr>
            <w:r>
              <w:rPr>
                <w:rFonts w:hint="eastAsia"/>
              </w:rPr>
              <w:t>5</w:t>
            </w:r>
          </w:p>
        </w:tc>
      </w:tr>
      <w:tr>
        <w:tc>
          <w:tcPr>
            <w:tcW w:w="1704" w:type="dxa"/>
            <w:vMerge w:val="restart"/>
            <w:vAlign w:val="top"/>
          </w:tcPr>
          <w:p>
            <w:pPr>
              <w:pStyle w:val="2"/>
              <w:ind w:firstLine="420"/>
              <w:jc w:val="center"/>
            </w:pPr>
          </w:p>
          <w:p>
            <w:pPr>
              <w:pStyle w:val="2"/>
              <w:ind w:firstLine="0" w:firstLineChars="0"/>
            </w:pPr>
            <w:r>
              <w:rPr>
                <w:rFonts w:hint="eastAsia"/>
              </w:rPr>
              <w:t>管理（15分）</w:t>
            </w:r>
          </w:p>
        </w:tc>
        <w:tc>
          <w:tcPr>
            <w:tcW w:w="1704" w:type="dxa"/>
            <w:vMerge w:val="restart"/>
            <w:vAlign w:val="top"/>
          </w:tcPr>
          <w:p>
            <w:pPr>
              <w:pStyle w:val="2"/>
              <w:ind w:firstLine="420"/>
              <w:jc w:val="center"/>
            </w:pPr>
          </w:p>
          <w:p>
            <w:pPr>
              <w:pStyle w:val="2"/>
              <w:ind w:firstLine="420"/>
            </w:pPr>
            <w:r>
              <w:rPr>
                <w:rFonts w:hint="eastAsia"/>
              </w:rPr>
              <w:t>组织实施</w:t>
            </w:r>
          </w:p>
        </w:tc>
        <w:tc>
          <w:tcPr>
            <w:tcW w:w="2911" w:type="dxa"/>
            <w:vAlign w:val="top"/>
          </w:tcPr>
          <w:p>
            <w:pPr>
              <w:pStyle w:val="2"/>
              <w:ind w:firstLine="420"/>
              <w:jc w:val="center"/>
            </w:pPr>
            <w:r>
              <w:rPr>
                <w:rFonts w:hint="eastAsia"/>
              </w:rPr>
              <w:t>内控制度健全性</w:t>
            </w:r>
          </w:p>
        </w:tc>
        <w:tc>
          <w:tcPr>
            <w:tcW w:w="1092" w:type="dxa"/>
            <w:vAlign w:val="top"/>
          </w:tcPr>
          <w:p>
            <w:pPr>
              <w:pStyle w:val="2"/>
              <w:ind w:firstLine="420"/>
              <w:jc w:val="center"/>
            </w:pPr>
            <w:r>
              <w:rPr>
                <w:rFonts w:hint="eastAsia"/>
              </w:rPr>
              <w:t>5</w:t>
            </w:r>
          </w:p>
        </w:tc>
        <w:tc>
          <w:tcPr>
            <w:tcW w:w="1111" w:type="dxa"/>
            <w:vAlign w:val="top"/>
          </w:tcPr>
          <w:p>
            <w:pPr>
              <w:pStyle w:val="2"/>
              <w:ind w:firstLine="420"/>
              <w:jc w:val="center"/>
            </w:pPr>
            <w:r>
              <w:rPr>
                <w:rFonts w:hint="eastAsia"/>
              </w:rPr>
              <w:t>5</w:t>
            </w:r>
          </w:p>
        </w:tc>
      </w:tr>
      <w:tr>
        <w:tc>
          <w:tcPr>
            <w:tcW w:w="1704" w:type="dxa"/>
            <w:vMerge w:val="continue"/>
            <w:vAlign w:val="top"/>
          </w:tcPr>
          <w:p>
            <w:pPr>
              <w:pStyle w:val="2"/>
              <w:ind w:firstLine="420"/>
              <w:jc w:val="center"/>
            </w:pPr>
          </w:p>
        </w:tc>
        <w:tc>
          <w:tcPr>
            <w:tcW w:w="1704" w:type="dxa"/>
            <w:vMerge w:val="continue"/>
            <w:vAlign w:val="top"/>
          </w:tcPr>
          <w:p>
            <w:pPr>
              <w:pStyle w:val="2"/>
              <w:ind w:firstLine="420"/>
              <w:jc w:val="center"/>
            </w:pPr>
          </w:p>
        </w:tc>
        <w:tc>
          <w:tcPr>
            <w:tcW w:w="2911" w:type="dxa"/>
            <w:vAlign w:val="top"/>
          </w:tcPr>
          <w:p>
            <w:pPr>
              <w:pStyle w:val="2"/>
              <w:ind w:firstLine="420"/>
              <w:jc w:val="center"/>
            </w:pPr>
            <w:r>
              <w:rPr>
                <w:rFonts w:hint="eastAsia"/>
              </w:rPr>
              <w:t>制度执行有效性</w:t>
            </w:r>
          </w:p>
        </w:tc>
        <w:tc>
          <w:tcPr>
            <w:tcW w:w="1092" w:type="dxa"/>
            <w:vAlign w:val="top"/>
          </w:tcPr>
          <w:p>
            <w:pPr>
              <w:pStyle w:val="2"/>
              <w:ind w:firstLine="420"/>
              <w:jc w:val="center"/>
            </w:pPr>
            <w:r>
              <w:rPr>
                <w:rFonts w:hint="eastAsia"/>
              </w:rPr>
              <w:t>5</w:t>
            </w:r>
          </w:p>
        </w:tc>
        <w:tc>
          <w:tcPr>
            <w:tcW w:w="1111" w:type="dxa"/>
            <w:vAlign w:val="top"/>
          </w:tcPr>
          <w:p>
            <w:pPr>
              <w:pStyle w:val="2"/>
              <w:ind w:firstLine="420"/>
              <w:jc w:val="center"/>
            </w:pPr>
            <w:r>
              <w:rPr>
                <w:rFonts w:hint="eastAsia"/>
              </w:rPr>
              <w:t>4</w:t>
            </w:r>
          </w:p>
        </w:tc>
      </w:tr>
      <w:tr>
        <w:tc>
          <w:tcPr>
            <w:tcW w:w="1704" w:type="dxa"/>
            <w:vMerge w:val="continue"/>
            <w:vAlign w:val="top"/>
          </w:tcPr>
          <w:p>
            <w:pPr>
              <w:pStyle w:val="2"/>
              <w:ind w:firstLine="420"/>
              <w:jc w:val="center"/>
            </w:pPr>
          </w:p>
        </w:tc>
        <w:tc>
          <w:tcPr>
            <w:tcW w:w="1704" w:type="dxa"/>
            <w:vMerge w:val="continue"/>
            <w:vAlign w:val="top"/>
          </w:tcPr>
          <w:p>
            <w:pPr>
              <w:pStyle w:val="2"/>
              <w:ind w:firstLine="420"/>
              <w:jc w:val="center"/>
            </w:pPr>
          </w:p>
        </w:tc>
        <w:tc>
          <w:tcPr>
            <w:tcW w:w="2911" w:type="dxa"/>
            <w:vAlign w:val="top"/>
          </w:tcPr>
          <w:p>
            <w:pPr>
              <w:pStyle w:val="2"/>
              <w:ind w:firstLine="420"/>
              <w:jc w:val="center"/>
            </w:pPr>
            <w:r>
              <w:rPr>
                <w:rFonts w:hint="eastAsia"/>
              </w:rPr>
              <w:t>招标采购合规性</w:t>
            </w:r>
          </w:p>
        </w:tc>
        <w:tc>
          <w:tcPr>
            <w:tcW w:w="1092" w:type="dxa"/>
            <w:vAlign w:val="top"/>
          </w:tcPr>
          <w:p>
            <w:pPr>
              <w:pStyle w:val="2"/>
              <w:ind w:firstLine="420"/>
              <w:jc w:val="center"/>
            </w:pPr>
            <w:r>
              <w:rPr>
                <w:rFonts w:hint="eastAsia"/>
              </w:rPr>
              <w:t>5</w:t>
            </w:r>
          </w:p>
        </w:tc>
        <w:tc>
          <w:tcPr>
            <w:tcW w:w="1111" w:type="dxa"/>
            <w:vAlign w:val="top"/>
          </w:tcPr>
          <w:p>
            <w:pPr>
              <w:pStyle w:val="2"/>
              <w:ind w:firstLine="420"/>
              <w:jc w:val="center"/>
            </w:pPr>
            <w:r>
              <w:rPr>
                <w:rFonts w:hint="eastAsia"/>
              </w:rPr>
              <w:t>5</w:t>
            </w:r>
          </w:p>
        </w:tc>
      </w:tr>
      <w:tr>
        <w:tc>
          <w:tcPr>
            <w:tcW w:w="6319" w:type="dxa"/>
            <w:gridSpan w:val="3"/>
            <w:vAlign w:val="top"/>
          </w:tcPr>
          <w:p>
            <w:pPr>
              <w:pStyle w:val="2"/>
              <w:ind w:firstLine="420"/>
            </w:pPr>
            <w:r>
              <w:rPr>
                <w:rFonts w:hint="eastAsia"/>
              </w:rPr>
              <w:t>合计</w:t>
            </w:r>
          </w:p>
        </w:tc>
        <w:tc>
          <w:tcPr>
            <w:tcW w:w="1092" w:type="dxa"/>
            <w:vAlign w:val="top"/>
          </w:tcPr>
          <w:p>
            <w:pPr>
              <w:pStyle w:val="2"/>
              <w:ind w:firstLine="420"/>
              <w:jc w:val="center"/>
            </w:pPr>
            <w:r>
              <w:rPr>
                <w:rFonts w:hint="eastAsia"/>
              </w:rPr>
              <w:t>15</w:t>
            </w:r>
          </w:p>
        </w:tc>
        <w:tc>
          <w:tcPr>
            <w:tcW w:w="1111" w:type="dxa"/>
            <w:vAlign w:val="top"/>
          </w:tcPr>
          <w:p>
            <w:pPr>
              <w:pStyle w:val="2"/>
              <w:ind w:firstLine="420"/>
              <w:jc w:val="center"/>
            </w:pPr>
            <w:r>
              <w:rPr>
                <w:rFonts w:hint="eastAsia"/>
              </w:rPr>
              <w:t>14</w:t>
            </w:r>
          </w:p>
        </w:tc>
      </w:tr>
      <w:tr>
        <w:tc>
          <w:tcPr>
            <w:tcW w:w="1704" w:type="dxa"/>
            <w:vMerge w:val="restart"/>
            <w:vAlign w:val="top"/>
          </w:tcPr>
          <w:p>
            <w:pPr>
              <w:pStyle w:val="2"/>
              <w:ind w:firstLine="420"/>
              <w:jc w:val="center"/>
            </w:pPr>
          </w:p>
          <w:p>
            <w:pPr>
              <w:pStyle w:val="2"/>
              <w:ind w:firstLine="420"/>
              <w:jc w:val="center"/>
            </w:pPr>
          </w:p>
          <w:p>
            <w:pPr>
              <w:pStyle w:val="2"/>
              <w:ind w:firstLine="0" w:firstLineChars="0"/>
            </w:pPr>
            <w:r>
              <w:rPr>
                <w:rFonts w:hint="eastAsia"/>
              </w:rPr>
              <w:t>产出（40分）</w:t>
            </w:r>
          </w:p>
        </w:tc>
        <w:tc>
          <w:tcPr>
            <w:tcW w:w="1704" w:type="dxa"/>
            <w:vAlign w:val="top"/>
          </w:tcPr>
          <w:p>
            <w:pPr>
              <w:pStyle w:val="2"/>
              <w:ind w:firstLine="420"/>
              <w:jc w:val="center"/>
            </w:pPr>
            <w:r>
              <w:rPr>
                <w:rFonts w:hint="eastAsia"/>
              </w:rPr>
              <w:t>数量指标</w:t>
            </w:r>
          </w:p>
        </w:tc>
        <w:tc>
          <w:tcPr>
            <w:tcW w:w="2911" w:type="dxa"/>
            <w:vAlign w:val="top"/>
          </w:tcPr>
          <w:p>
            <w:pPr>
              <w:pStyle w:val="2"/>
              <w:ind w:firstLine="420"/>
              <w:jc w:val="center"/>
            </w:pPr>
            <w:r>
              <w:t>维修数量</w:t>
            </w:r>
          </w:p>
        </w:tc>
        <w:tc>
          <w:tcPr>
            <w:tcW w:w="1092" w:type="dxa"/>
            <w:vAlign w:val="top"/>
          </w:tcPr>
          <w:p>
            <w:pPr>
              <w:pStyle w:val="2"/>
              <w:ind w:firstLine="420"/>
              <w:jc w:val="center"/>
            </w:pPr>
            <w:r>
              <w:rPr>
                <w:rFonts w:hint="eastAsia"/>
              </w:rPr>
              <w:t>10</w:t>
            </w:r>
          </w:p>
        </w:tc>
        <w:tc>
          <w:tcPr>
            <w:tcW w:w="1111" w:type="dxa"/>
            <w:vAlign w:val="top"/>
          </w:tcPr>
          <w:p>
            <w:pPr>
              <w:pStyle w:val="2"/>
              <w:ind w:firstLine="420"/>
              <w:jc w:val="center"/>
            </w:pPr>
            <w:r>
              <w:rPr>
                <w:rFonts w:hint="eastAsia"/>
              </w:rPr>
              <w:t>9</w:t>
            </w:r>
          </w:p>
        </w:tc>
      </w:tr>
      <w:tr>
        <w:tc>
          <w:tcPr>
            <w:tcW w:w="1704" w:type="dxa"/>
            <w:vMerge w:val="continue"/>
            <w:vAlign w:val="top"/>
          </w:tcPr>
          <w:p>
            <w:pPr>
              <w:pStyle w:val="2"/>
              <w:ind w:firstLine="420"/>
              <w:jc w:val="center"/>
            </w:pPr>
          </w:p>
        </w:tc>
        <w:tc>
          <w:tcPr>
            <w:tcW w:w="1704" w:type="dxa"/>
            <w:vAlign w:val="top"/>
          </w:tcPr>
          <w:p>
            <w:pPr>
              <w:pStyle w:val="2"/>
              <w:ind w:firstLine="420"/>
              <w:jc w:val="center"/>
            </w:pPr>
            <w:r>
              <w:rPr>
                <w:rFonts w:hint="eastAsia"/>
              </w:rPr>
              <w:t>质量指标</w:t>
            </w:r>
          </w:p>
        </w:tc>
        <w:tc>
          <w:tcPr>
            <w:tcW w:w="2911" w:type="dxa"/>
            <w:vAlign w:val="top"/>
          </w:tcPr>
          <w:p>
            <w:pPr>
              <w:pStyle w:val="2"/>
              <w:tabs>
                <w:tab w:val="left" w:pos="1015"/>
              </w:tabs>
              <w:ind w:firstLine="420"/>
              <w:jc w:val="left"/>
            </w:pPr>
            <w:r>
              <w:rPr>
                <w:rFonts w:hint="eastAsia"/>
              </w:rPr>
              <w:tab/>
            </w:r>
            <w:r>
              <w:rPr>
                <w:rFonts w:hint="eastAsia"/>
              </w:rPr>
              <w:t>清洁质量</w:t>
            </w:r>
          </w:p>
        </w:tc>
        <w:tc>
          <w:tcPr>
            <w:tcW w:w="1092" w:type="dxa"/>
            <w:vAlign w:val="top"/>
          </w:tcPr>
          <w:p>
            <w:pPr>
              <w:pStyle w:val="2"/>
              <w:ind w:firstLine="420"/>
              <w:jc w:val="center"/>
            </w:pPr>
            <w:r>
              <w:rPr>
                <w:rFonts w:hint="eastAsia"/>
              </w:rPr>
              <w:t>10</w:t>
            </w:r>
          </w:p>
        </w:tc>
        <w:tc>
          <w:tcPr>
            <w:tcW w:w="1111" w:type="dxa"/>
            <w:vAlign w:val="top"/>
          </w:tcPr>
          <w:p>
            <w:pPr>
              <w:pStyle w:val="2"/>
              <w:ind w:firstLine="420"/>
              <w:jc w:val="center"/>
            </w:pPr>
            <w:r>
              <w:rPr>
                <w:rFonts w:hint="eastAsia"/>
              </w:rPr>
              <w:t>9</w:t>
            </w:r>
          </w:p>
        </w:tc>
      </w:tr>
      <w:tr>
        <w:tc>
          <w:tcPr>
            <w:tcW w:w="1704" w:type="dxa"/>
            <w:vMerge w:val="continue"/>
            <w:vAlign w:val="top"/>
          </w:tcPr>
          <w:p>
            <w:pPr>
              <w:pStyle w:val="2"/>
              <w:ind w:firstLine="420"/>
              <w:jc w:val="center"/>
            </w:pPr>
          </w:p>
        </w:tc>
        <w:tc>
          <w:tcPr>
            <w:tcW w:w="1704" w:type="dxa"/>
            <w:vAlign w:val="top"/>
          </w:tcPr>
          <w:p>
            <w:pPr>
              <w:pStyle w:val="2"/>
              <w:ind w:firstLine="420"/>
              <w:jc w:val="center"/>
            </w:pPr>
            <w:r>
              <w:rPr>
                <w:rFonts w:hint="eastAsia"/>
              </w:rPr>
              <w:t>时效指标</w:t>
            </w:r>
          </w:p>
        </w:tc>
        <w:tc>
          <w:tcPr>
            <w:tcW w:w="2911" w:type="dxa"/>
            <w:vAlign w:val="top"/>
          </w:tcPr>
          <w:p>
            <w:pPr>
              <w:pStyle w:val="2"/>
              <w:ind w:firstLine="420"/>
              <w:jc w:val="center"/>
            </w:pPr>
            <w:r>
              <w:rPr>
                <w:rFonts w:hint="eastAsia"/>
              </w:rPr>
              <w:t>资金支付</w:t>
            </w:r>
            <w:r>
              <w:t>及时率</w:t>
            </w:r>
          </w:p>
        </w:tc>
        <w:tc>
          <w:tcPr>
            <w:tcW w:w="1092" w:type="dxa"/>
            <w:vAlign w:val="top"/>
          </w:tcPr>
          <w:p>
            <w:pPr>
              <w:pStyle w:val="2"/>
              <w:ind w:firstLine="420"/>
              <w:jc w:val="center"/>
            </w:pPr>
            <w:r>
              <w:rPr>
                <w:rFonts w:hint="eastAsia"/>
              </w:rPr>
              <w:t>10</w:t>
            </w:r>
          </w:p>
        </w:tc>
        <w:tc>
          <w:tcPr>
            <w:tcW w:w="1111" w:type="dxa"/>
            <w:vAlign w:val="top"/>
          </w:tcPr>
          <w:p>
            <w:pPr>
              <w:pStyle w:val="2"/>
              <w:ind w:firstLine="420"/>
              <w:jc w:val="center"/>
            </w:pPr>
            <w:r>
              <w:rPr>
                <w:rFonts w:hint="eastAsia"/>
              </w:rPr>
              <w:t>6.5</w:t>
            </w:r>
          </w:p>
        </w:tc>
      </w:tr>
      <w:tr>
        <w:tc>
          <w:tcPr>
            <w:tcW w:w="1704" w:type="dxa"/>
            <w:vMerge w:val="continue"/>
            <w:vAlign w:val="top"/>
          </w:tcPr>
          <w:p>
            <w:pPr>
              <w:pStyle w:val="2"/>
              <w:ind w:firstLine="420"/>
              <w:jc w:val="center"/>
            </w:pPr>
          </w:p>
        </w:tc>
        <w:tc>
          <w:tcPr>
            <w:tcW w:w="1704" w:type="dxa"/>
            <w:vAlign w:val="top"/>
          </w:tcPr>
          <w:p>
            <w:pPr>
              <w:pStyle w:val="2"/>
              <w:ind w:firstLine="420"/>
              <w:jc w:val="center"/>
            </w:pPr>
            <w:r>
              <w:rPr>
                <w:rFonts w:hint="eastAsia"/>
              </w:rPr>
              <w:t>成本指标</w:t>
            </w:r>
          </w:p>
        </w:tc>
        <w:tc>
          <w:tcPr>
            <w:tcW w:w="2911" w:type="dxa"/>
            <w:vAlign w:val="top"/>
          </w:tcPr>
          <w:p>
            <w:pPr>
              <w:pStyle w:val="2"/>
              <w:ind w:firstLine="420"/>
              <w:jc w:val="center"/>
            </w:pPr>
            <w:r>
              <w:t>预算控制数</w:t>
            </w:r>
          </w:p>
        </w:tc>
        <w:tc>
          <w:tcPr>
            <w:tcW w:w="1092" w:type="dxa"/>
            <w:vAlign w:val="top"/>
          </w:tcPr>
          <w:p>
            <w:pPr>
              <w:pStyle w:val="2"/>
              <w:ind w:firstLine="420"/>
              <w:jc w:val="center"/>
            </w:pPr>
            <w:r>
              <w:rPr>
                <w:rFonts w:hint="eastAsia"/>
              </w:rPr>
              <w:t>10</w:t>
            </w:r>
          </w:p>
        </w:tc>
        <w:tc>
          <w:tcPr>
            <w:tcW w:w="1111" w:type="dxa"/>
            <w:vAlign w:val="top"/>
          </w:tcPr>
          <w:p>
            <w:pPr>
              <w:pStyle w:val="2"/>
              <w:ind w:firstLine="420"/>
              <w:jc w:val="center"/>
            </w:pPr>
            <w:r>
              <w:rPr>
                <w:rFonts w:hint="eastAsia"/>
              </w:rPr>
              <w:t>10</w:t>
            </w:r>
          </w:p>
        </w:tc>
      </w:tr>
      <w:tr>
        <w:tc>
          <w:tcPr>
            <w:tcW w:w="6319" w:type="dxa"/>
            <w:gridSpan w:val="3"/>
            <w:vAlign w:val="top"/>
          </w:tcPr>
          <w:p>
            <w:pPr>
              <w:pStyle w:val="2"/>
              <w:ind w:firstLine="420"/>
            </w:pPr>
            <w:r>
              <w:rPr>
                <w:rFonts w:hint="eastAsia"/>
              </w:rPr>
              <w:t>合计</w:t>
            </w:r>
          </w:p>
        </w:tc>
        <w:tc>
          <w:tcPr>
            <w:tcW w:w="1092" w:type="dxa"/>
            <w:vAlign w:val="top"/>
          </w:tcPr>
          <w:p>
            <w:pPr>
              <w:pStyle w:val="2"/>
              <w:ind w:firstLine="420"/>
              <w:jc w:val="center"/>
            </w:pPr>
            <w:r>
              <w:rPr>
                <w:rFonts w:hint="eastAsia"/>
              </w:rPr>
              <w:t>40</w:t>
            </w:r>
          </w:p>
        </w:tc>
        <w:tc>
          <w:tcPr>
            <w:tcW w:w="1111" w:type="dxa"/>
            <w:vAlign w:val="top"/>
          </w:tcPr>
          <w:p>
            <w:pPr>
              <w:pStyle w:val="2"/>
              <w:ind w:firstLine="420"/>
              <w:jc w:val="center"/>
            </w:pPr>
            <w:r>
              <w:rPr>
                <w:rFonts w:hint="eastAsia"/>
              </w:rPr>
              <w:t>34.5</w:t>
            </w:r>
          </w:p>
        </w:tc>
      </w:tr>
      <w:tr>
        <w:tc>
          <w:tcPr>
            <w:tcW w:w="1704" w:type="dxa"/>
            <w:vMerge w:val="restart"/>
            <w:vAlign w:val="top"/>
          </w:tcPr>
          <w:p>
            <w:pPr>
              <w:pStyle w:val="2"/>
              <w:ind w:firstLine="420"/>
              <w:jc w:val="center"/>
            </w:pPr>
          </w:p>
          <w:p>
            <w:pPr>
              <w:pStyle w:val="2"/>
              <w:ind w:firstLine="0" w:firstLineChars="0"/>
            </w:pPr>
            <w:r>
              <w:rPr>
                <w:rFonts w:hint="eastAsia"/>
              </w:rPr>
              <w:t>效益（40分）</w:t>
            </w:r>
          </w:p>
        </w:tc>
        <w:tc>
          <w:tcPr>
            <w:tcW w:w="1704" w:type="dxa"/>
            <w:vAlign w:val="top"/>
          </w:tcPr>
          <w:p>
            <w:pPr>
              <w:pStyle w:val="2"/>
              <w:ind w:firstLine="0" w:firstLineChars="0"/>
            </w:pPr>
            <w:r>
              <w:t>社会效益指标</w:t>
            </w:r>
          </w:p>
        </w:tc>
        <w:tc>
          <w:tcPr>
            <w:tcW w:w="2911" w:type="dxa"/>
            <w:vAlign w:val="top"/>
          </w:tcPr>
          <w:p>
            <w:pPr>
              <w:pStyle w:val="2"/>
              <w:ind w:firstLine="420"/>
              <w:jc w:val="center"/>
            </w:pPr>
            <w:r>
              <w:t>满意度</w:t>
            </w:r>
          </w:p>
        </w:tc>
        <w:tc>
          <w:tcPr>
            <w:tcW w:w="1092" w:type="dxa"/>
            <w:vAlign w:val="top"/>
          </w:tcPr>
          <w:p>
            <w:pPr>
              <w:pStyle w:val="2"/>
              <w:ind w:firstLine="420"/>
              <w:jc w:val="center"/>
            </w:pPr>
            <w:r>
              <w:rPr>
                <w:rFonts w:hint="eastAsia"/>
              </w:rPr>
              <w:t>10</w:t>
            </w:r>
          </w:p>
        </w:tc>
        <w:tc>
          <w:tcPr>
            <w:tcW w:w="1111" w:type="dxa"/>
            <w:vAlign w:val="top"/>
          </w:tcPr>
          <w:p>
            <w:pPr>
              <w:pStyle w:val="2"/>
              <w:ind w:firstLine="420"/>
              <w:jc w:val="center"/>
            </w:pPr>
            <w:r>
              <w:rPr>
                <w:rFonts w:hint="eastAsia"/>
              </w:rPr>
              <w:t>9</w:t>
            </w:r>
          </w:p>
        </w:tc>
      </w:tr>
      <w:tr>
        <w:tc>
          <w:tcPr>
            <w:tcW w:w="1704" w:type="dxa"/>
            <w:vMerge w:val="continue"/>
            <w:vAlign w:val="top"/>
          </w:tcPr>
          <w:p>
            <w:pPr>
              <w:pStyle w:val="2"/>
              <w:ind w:firstLine="420"/>
              <w:jc w:val="center"/>
            </w:pPr>
          </w:p>
        </w:tc>
        <w:tc>
          <w:tcPr>
            <w:tcW w:w="1704" w:type="dxa"/>
            <w:vAlign w:val="top"/>
          </w:tcPr>
          <w:p>
            <w:pPr>
              <w:pStyle w:val="2"/>
              <w:ind w:firstLine="0" w:firstLineChars="0"/>
            </w:pPr>
            <w:r>
              <w:t>生态效益指标</w:t>
            </w:r>
          </w:p>
        </w:tc>
        <w:tc>
          <w:tcPr>
            <w:tcW w:w="2911" w:type="dxa"/>
            <w:vAlign w:val="top"/>
          </w:tcPr>
          <w:p>
            <w:pPr>
              <w:pStyle w:val="2"/>
              <w:ind w:firstLine="420"/>
              <w:jc w:val="center"/>
            </w:pPr>
            <w:r>
              <w:t>满意度</w:t>
            </w:r>
          </w:p>
        </w:tc>
        <w:tc>
          <w:tcPr>
            <w:tcW w:w="1092" w:type="dxa"/>
            <w:vAlign w:val="top"/>
          </w:tcPr>
          <w:p>
            <w:pPr>
              <w:pStyle w:val="2"/>
              <w:ind w:firstLine="420"/>
              <w:jc w:val="center"/>
            </w:pPr>
            <w:r>
              <w:rPr>
                <w:rFonts w:hint="eastAsia"/>
              </w:rPr>
              <w:t>10</w:t>
            </w:r>
          </w:p>
        </w:tc>
        <w:tc>
          <w:tcPr>
            <w:tcW w:w="1111" w:type="dxa"/>
            <w:vAlign w:val="top"/>
          </w:tcPr>
          <w:p>
            <w:pPr>
              <w:pStyle w:val="2"/>
              <w:ind w:firstLine="420"/>
              <w:jc w:val="center"/>
            </w:pPr>
            <w:r>
              <w:rPr>
                <w:rFonts w:hint="eastAsia"/>
              </w:rPr>
              <w:t>9</w:t>
            </w:r>
          </w:p>
        </w:tc>
      </w:tr>
      <w:tr>
        <w:tc>
          <w:tcPr>
            <w:tcW w:w="1704" w:type="dxa"/>
            <w:vMerge w:val="continue"/>
            <w:vAlign w:val="top"/>
          </w:tcPr>
          <w:p>
            <w:pPr>
              <w:pStyle w:val="2"/>
              <w:ind w:firstLine="420"/>
              <w:jc w:val="center"/>
            </w:pPr>
          </w:p>
        </w:tc>
        <w:tc>
          <w:tcPr>
            <w:tcW w:w="1704" w:type="dxa"/>
            <w:vAlign w:val="top"/>
          </w:tcPr>
          <w:p>
            <w:pPr>
              <w:pStyle w:val="2"/>
              <w:ind w:firstLine="0" w:firstLineChars="0"/>
            </w:pPr>
            <w:r>
              <w:t>满意度指标</w:t>
            </w:r>
          </w:p>
        </w:tc>
        <w:tc>
          <w:tcPr>
            <w:tcW w:w="2911" w:type="dxa"/>
            <w:vAlign w:val="top"/>
          </w:tcPr>
          <w:p>
            <w:pPr>
              <w:pStyle w:val="2"/>
              <w:ind w:firstLine="420"/>
              <w:jc w:val="center"/>
            </w:pPr>
            <w:r>
              <w:t>满意度</w:t>
            </w:r>
          </w:p>
        </w:tc>
        <w:tc>
          <w:tcPr>
            <w:tcW w:w="1092" w:type="dxa"/>
            <w:vAlign w:val="top"/>
          </w:tcPr>
          <w:p>
            <w:pPr>
              <w:pStyle w:val="2"/>
              <w:ind w:firstLine="420"/>
              <w:jc w:val="center"/>
            </w:pPr>
            <w:r>
              <w:rPr>
                <w:rFonts w:hint="eastAsia"/>
              </w:rPr>
              <w:t>10</w:t>
            </w:r>
          </w:p>
        </w:tc>
        <w:tc>
          <w:tcPr>
            <w:tcW w:w="1111" w:type="dxa"/>
            <w:vAlign w:val="top"/>
          </w:tcPr>
          <w:p>
            <w:pPr>
              <w:pStyle w:val="2"/>
              <w:ind w:firstLine="420"/>
              <w:jc w:val="center"/>
            </w:pPr>
            <w:r>
              <w:rPr>
                <w:rFonts w:hint="eastAsia"/>
              </w:rPr>
              <w:t>9</w:t>
            </w:r>
          </w:p>
        </w:tc>
      </w:tr>
      <w:tr>
        <w:tc>
          <w:tcPr>
            <w:tcW w:w="1704" w:type="dxa"/>
            <w:vMerge w:val="continue"/>
            <w:vAlign w:val="top"/>
          </w:tcPr>
          <w:p>
            <w:pPr>
              <w:pStyle w:val="2"/>
              <w:ind w:firstLine="420"/>
              <w:jc w:val="center"/>
            </w:pPr>
          </w:p>
        </w:tc>
        <w:tc>
          <w:tcPr>
            <w:tcW w:w="1704" w:type="dxa"/>
            <w:vAlign w:val="top"/>
          </w:tcPr>
          <w:p>
            <w:pPr>
              <w:pStyle w:val="2"/>
              <w:ind w:firstLine="0" w:firstLineChars="0"/>
            </w:pPr>
            <w:r>
              <w:t>预算执行率</w:t>
            </w:r>
          </w:p>
        </w:tc>
        <w:tc>
          <w:tcPr>
            <w:tcW w:w="2911" w:type="dxa"/>
            <w:vAlign w:val="top"/>
          </w:tcPr>
          <w:p>
            <w:pPr>
              <w:pStyle w:val="2"/>
              <w:ind w:firstLine="420"/>
              <w:jc w:val="center"/>
            </w:pPr>
            <w:r>
              <w:t>预算执行率</w:t>
            </w:r>
          </w:p>
        </w:tc>
        <w:tc>
          <w:tcPr>
            <w:tcW w:w="1092" w:type="dxa"/>
            <w:vAlign w:val="top"/>
          </w:tcPr>
          <w:p>
            <w:pPr>
              <w:pStyle w:val="2"/>
              <w:ind w:firstLine="420"/>
              <w:jc w:val="center"/>
            </w:pPr>
            <w:r>
              <w:rPr>
                <w:rFonts w:hint="eastAsia"/>
              </w:rPr>
              <w:t>10</w:t>
            </w:r>
          </w:p>
        </w:tc>
        <w:tc>
          <w:tcPr>
            <w:tcW w:w="1111" w:type="dxa"/>
            <w:vAlign w:val="top"/>
          </w:tcPr>
          <w:p>
            <w:pPr>
              <w:pStyle w:val="2"/>
              <w:ind w:firstLine="420"/>
              <w:jc w:val="center"/>
            </w:pPr>
            <w:r>
              <w:rPr>
                <w:rFonts w:hint="eastAsia"/>
              </w:rPr>
              <w:t>10</w:t>
            </w:r>
          </w:p>
        </w:tc>
      </w:tr>
      <w:tr>
        <w:tc>
          <w:tcPr>
            <w:tcW w:w="6319" w:type="dxa"/>
            <w:gridSpan w:val="3"/>
            <w:vAlign w:val="top"/>
          </w:tcPr>
          <w:p>
            <w:pPr>
              <w:pStyle w:val="2"/>
              <w:ind w:firstLine="420"/>
            </w:pPr>
            <w:r>
              <w:rPr>
                <w:rFonts w:hint="eastAsia"/>
              </w:rPr>
              <w:t>合计</w:t>
            </w:r>
          </w:p>
        </w:tc>
        <w:tc>
          <w:tcPr>
            <w:tcW w:w="1092" w:type="dxa"/>
            <w:vAlign w:val="top"/>
          </w:tcPr>
          <w:p>
            <w:pPr>
              <w:pStyle w:val="2"/>
              <w:ind w:firstLine="420"/>
              <w:jc w:val="center"/>
            </w:pPr>
            <w:r>
              <w:rPr>
                <w:rFonts w:hint="eastAsia"/>
              </w:rPr>
              <w:t>40</w:t>
            </w:r>
          </w:p>
        </w:tc>
        <w:tc>
          <w:tcPr>
            <w:tcW w:w="1111" w:type="dxa"/>
            <w:vAlign w:val="top"/>
          </w:tcPr>
          <w:p>
            <w:pPr>
              <w:pStyle w:val="2"/>
              <w:ind w:firstLine="420"/>
              <w:jc w:val="center"/>
            </w:pPr>
            <w:r>
              <w:rPr>
                <w:rFonts w:hint="eastAsia"/>
              </w:rPr>
              <w:t>37</w:t>
            </w:r>
          </w:p>
        </w:tc>
      </w:tr>
      <w:tr>
        <w:tc>
          <w:tcPr>
            <w:tcW w:w="6319" w:type="dxa"/>
            <w:gridSpan w:val="3"/>
            <w:vAlign w:val="top"/>
          </w:tcPr>
          <w:p>
            <w:pPr>
              <w:pStyle w:val="2"/>
              <w:ind w:firstLine="420"/>
            </w:pPr>
            <w:r>
              <w:rPr>
                <w:rFonts w:hint="eastAsia"/>
              </w:rPr>
              <w:t>总计</w:t>
            </w:r>
          </w:p>
        </w:tc>
        <w:tc>
          <w:tcPr>
            <w:tcW w:w="1092" w:type="dxa"/>
            <w:vAlign w:val="top"/>
          </w:tcPr>
          <w:p>
            <w:pPr>
              <w:pStyle w:val="2"/>
              <w:ind w:firstLine="420"/>
              <w:jc w:val="center"/>
            </w:pPr>
            <w:r>
              <w:rPr>
                <w:rFonts w:hint="eastAsia"/>
              </w:rPr>
              <w:t>100</w:t>
            </w:r>
          </w:p>
        </w:tc>
        <w:tc>
          <w:tcPr>
            <w:tcW w:w="1111" w:type="dxa"/>
            <w:vAlign w:val="top"/>
          </w:tcPr>
          <w:p>
            <w:pPr>
              <w:pStyle w:val="2"/>
              <w:ind w:firstLine="420"/>
              <w:jc w:val="center"/>
            </w:pPr>
            <w:r>
              <w:rPr>
                <w:rFonts w:hint="eastAsia"/>
              </w:rPr>
              <w:t>90.5</w:t>
            </w:r>
          </w:p>
        </w:tc>
      </w:tr>
    </w:tbl>
    <w:p>
      <w:pPr>
        <w:pStyle w:val="2"/>
        <w:numPr>
          <w:ilvl w:val="0"/>
          <w:numId w:val="3"/>
        </w:numPr>
        <w:ind w:firstLine="0" w:firstLineChars="0"/>
        <w:rPr>
          <w:rFonts w:ascii="仿宋" w:hAnsi="仿宋" w:eastAsia="仿宋" w:cs="仿宋"/>
          <w:sz w:val="32"/>
          <w:szCs w:val="32"/>
        </w:rPr>
      </w:pPr>
      <w:r>
        <w:rPr>
          <w:rFonts w:hint="eastAsia" w:ascii="仿宋" w:hAnsi="仿宋" w:eastAsia="仿宋" w:cs="仿宋"/>
          <w:sz w:val="32"/>
          <w:szCs w:val="32"/>
        </w:rPr>
        <w:t>绩效评价指标分析</w:t>
      </w:r>
    </w:p>
    <w:p>
      <w:pPr>
        <w:pStyle w:val="2"/>
        <w:ind w:firstLine="0" w:firstLineChars="0"/>
        <w:rPr>
          <w:rFonts w:ascii="仿宋" w:hAnsi="仿宋" w:eastAsia="仿宋" w:cs="仿宋"/>
          <w:sz w:val="32"/>
          <w:szCs w:val="32"/>
        </w:rPr>
      </w:pPr>
      <w:r>
        <w:rPr>
          <w:rFonts w:hint="eastAsia" w:ascii="仿宋" w:hAnsi="仿宋" w:eastAsia="仿宋" w:cs="仿宋"/>
          <w:sz w:val="32"/>
          <w:szCs w:val="32"/>
        </w:rPr>
        <w:t>（一）决策情况</w:t>
      </w:r>
    </w:p>
    <w:p>
      <w:pPr>
        <w:pStyle w:val="2"/>
        <w:ind w:firstLine="0" w:firstLineChars="0"/>
        <w:rPr>
          <w:rFonts w:ascii="仿宋" w:hAnsi="仿宋" w:eastAsia="仿宋" w:cs="仿宋"/>
          <w:sz w:val="32"/>
          <w:szCs w:val="32"/>
        </w:rPr>
      </w:pPr>
      <w:r>
        <w:rPr>
          <w:rFonts w:hint="eastAsia" w:ascii="仿宋" w:hAnsi="仿宋" w:eastAsia="仿宋" w:cs="仿宋"/>
          <w:sz w:val="32"/>
          <w:szCs w:val="32"/>
        </w:rPr>
        <w:t>决策指标分值5分，实际得分5分。</w:t>
      </w:r>
    </w:p>
    <w:p>
      <w:pPr>
        <w:pStyle w:val="2"/>
        <w:ind w:firstLine="640"/>
        <w:rPr>
          <w:rFonts w:ascii="仿宋" w:hAnsi="仿宋" w:eastAsia="仿宋" w:cs="仿宋"/>
          <w:sz w:val="32"/>
          <w:szCs w:val="32"/>
        </w:rPr>
      </w:pPr>
      <w:r>
        <w:rPr>
          <w:rFonts w:hint="eastAsia" w:ascii="仿宋" w:eastAsia="仿宋" w:cs="仿宋"/>
          <w:sz w:val="32"/>
          <w:szCs w:val="32"/>
        </w:rPr>
        <w:t>项目政策依据三定方案（高政办[2002]63号文中第一条主要职责（市场的规划与建设，组织市场论证，适时提出市场建设的意见，搞好市场的规划与建设、培育和发展好市场。）及2022年市场建设整治维修（护）的会议纪要，依据自身职责，本着管理好市场、发展好市场、服务好市场的理念立项。</w:t>
      </w:r>
    </w:p>
    <w:p>
      <w:pPr>
        <w:numPr>
          <w:ilvl w:val="0"/>
          <w:numId w:val="4"/>
        </w:numPr>
        <w:ind w:firstLine="640" w:firstLineChars="200"/>
        <w:rPr>
          <w:rFonts w:ascii="仿宋" w:eastAsia="仿宋" w:cs="仿宋"/>
          <w:sz w:val="32"/>
          <w:szCs w:val="32"/>
        </w:rPr>
      </w:pPr>
      <w:r>
        <w:rPr>
          <w:rFonts w:hint="eastAsia" w:ascii="仿宋" w:eastAsia="仿宋" w:cs="仿宋"/>
          <w:sz w:val="32"/>
          <w:szCs w:val="32"/>
        </w:rPr>
        <w:t>管理情况</w:t>
      </w:r>
    </w:p>
    <w:p>
      <w:pPr>
        <w:pStyle w:val="2"/>
        <w:ind w:firstLine="0" w:firstLineChars="0"/>
        <w:rPr>
          <w:rFonts w:ascii="仿宋" w:hAnsi="仿宋" w:eastAsia="仿宋" w:cs="仿宋"/>
          <w:sz w:val="32"/>
          <w:szCs w:val="32"/>
        </w:rPr>
      </w:pPr>
      <w:r>
        <w:rPr>
          <w:rFonts w:hint="eastAsia" w:ascii="仿宋" w:hAnsi="仿宋" w:eastAsia="仿宋" w:cs="仿宋"/>
          <w:sz w:val="32"/>
          <w:szCs w:val="32"/>
        </w:rPr>
        <w:t>管理指标分值15分，得分14分。</w:t>
      </w:r>
    </w:p>
    <w:p>
      <w:pPr>
        <w:pStyle w:val="2"/>
        <w:numPr>
          <w:ilvl w:val="0"/>
          <w:numId w:val="5"/>
        </w:numPr>
        <w:ind w:firstLine="640"/>
        <w:rPr>
          <w:rFonts w:ascii="仿宋" w:hAnsi="仿宋" w:eastAsia="仿宋" w:cs="仿宋"/>
          <w:sz w:val="32"/>
          <w:szCs w:val="32"/>
        </w:rPr>
      </w:pPr>
      <w:r>
        <w:rPr>
          <w:rFonts w:hint="eastAsia" w:ascii="仿宋" w:hAnsi="仿宋" w:eastAsia="仿宋" w:cs="仿宋"/>
          <w:sz w:val="32"/>
          <w:szCs w:val="32"/>
        </w:rPr>
        <w:t>内部控制健全性。经查，市场建设服务中心制度了《收支管理制度》、《合同管理制度》、《资产管理制度》、《预算管理制度》、《财务管理制度》，内部控制制度的建立相对比较合理。</w:t>
      </w:r>
    </w:p>
    <w:p>
      <w:pPr>
        <w:pStyle w:val="2"/>
        <w:numPr>
          <w:ilvl w:val="0"/>
          <w:numId w:val="5"/>
        </w:numPr>
        <w:ind w:firstLine="640"/>
        <w:rPr>
          <w:rFonts w:ascii="仿宋" w:hAnsi="仿宋" w:eastAsia="仿宋" w:cs="仿宋"/>
          <w:sz w:val="32"/>
          <w:szCs w:val="32"/>
        </w:rPr>
      </w:pPr>
      <w:r>
        <w:rPr>
          <w:rFonts w:hint="eastAsia" w:ascii="仿宋" w:hAnsi="仿宋" w:eastAsia="仿宋" w:cs="仿宋"/>
          <w:sz w:val="32"/>
          <w:szCs w:val="32"/>
        </w:rPr>
        <w:t>制度执行有效性。总体上看，高阳县市场建设服务中心能够遵守法律法规、资金收支管理、合同管理、资产管理等内部管理制度的相关规定。但在资金支付方面，存在资金申请不及时，导致资金支付延后的缺陷，因此</w:t>
      </w:r>
      <w:r>
        <w:rPr>
          <w:rFonts w:hint="eastAsia" w:ascii="仿宋" w:hAnsi="仿宋" w:eastAsia="仿宋" w:cs="仿宋"/>
          <w:sz w:val="32"/>
          <w:szCs w:val="32"/>
          <w:lang w:val="en-US" w:eastAsia="zh-CN"/>
        </w:rPr>
        <w:t>扣</w:t>
      </w:r>
      <w:bookmarkStart w:id="0" w:name="_GoBack"/>
      <w:bookmarkEnd w:id="0"/>
      <w:r>
        <w:rPr>
          <w:rFonts w:hint="eastAsia" w:ascii="仿宋" w:hAnsi="仿宋" w:eastAsia="仿宋" w:cs="仿宋"/>
          <w:sz w:val="32"/>
          <w:szCs w:val="32"/>
        </w:rPr>
        <w:t>1分。</w:t>
      </w:r>
    </w:p>
    <w:p>
      <w:pPr>
        <w:pStyle w:val="2"/>
        <w:numPr>
          <w:ilvl w:val="0"/>
          <w:numId w:val="5"/>
        </w:numPr>
        <w:ind w:firstLine="640"/>
        <w:rPr>
          <w:rFonts w:ascii="仿宋" w:hAnsi="仿宋" w:eastAsia="仿宋" w:cs="仿宋"/>
          <w:sz w:val="32"/>
          <w:szCs w:val="32"/>
        </w:rPr>
      </w:pPr>
      <w:r>
        <w:rPr>
          <w:rFonts w:hint="eastAsia" w:ascii="仿宋" w:hAnsi="仿宋" w:eastAsia="仿宋" w:cs="仿宋"/>
          <w:sz w:val="32"/>
          <w:szCs w:val="32"/>
        </w:rPr>
        <w:t>和项目施工方签订的合同中权责利划分清晰，体现了公平原则。</w:t>
      </w:r>
    </w:p>
    <w:p>
      <w:pPr>
        <w:pStyle w:val="2"/>
        <w:ind w:firstLine="640" w:firstLineChars="0"/>
        <w:rPr>
          <w:rFonts w:ascii="仿宋" w:hAnsi="仿宋" w:eastAsia="仿宋" w:cs="仿宋"/>
          <w:sz w:val="32"/>
          <w:szCs w:val="32"/>
        </w:rPr>
      </w:pPr>
      <w:r>
        <w:rPr>
          <w:rFonts w:hint="eastAsia" w:ascii="仿宋" w:hAnsi="仿宋" w:eastAsia="仿宋" w:cs="仿宋"/>
          <w:sz w:val="32"/>
          <w:szCs w:val="32"/>
        </w:rPr>
        <w:t>“组织实施”二级指标分值15分，实际得分14分。</w:t>
      </w:r>
    </w:p>
    <w:p>
      <w:pPr>
        <w:pStyle w:val="2"/>
        <w:ind w:firstLine="640" w:firstLineChars="0"/>
        <w:rPr>
          <w:rFonts w:ascii="仿宋" w:hAnsi="仿宋" w:eastAsia="仿宋" w:cs="仿宋"/>
          <w:sz w:val="32"/>
          <w:szCs w:val="32"/>
        </w:rPr>
      </w:pPr>
      <w:r>
        <w:rPr>
          <w:rFonts w:hint="eastAsia" w:ascii="仿宋" w:hAnsi="仿宋" w:eastAsia="仿宋" w:cs="仿宋"/>
          <w:sz w:val="32"/>
          <w:szCs w:val="32"/>
        </w:rPr>
        <w:t>（三）产出情况</w:t>
      </w:r>
    </w:p>
    <w:p>
      <w:pPr>
        <w:ind w:firstLine="640" w:firstLineChars="200"/>
        <w:rPr>
          <w:rFonts w:ascii="仿宋" w:eastAsia="仿宋" w:cs="仿宋"/>
          <w:sz w:val="32"/>
          <w:szCs w:val="32"/>
        </w:rPr>
      </w:pPr>
      <w:r>
        <w:rPr>
          <w:rFonts w:hint="eastAsia" w:ascii="仿宋" w:eastAsia="仿宋" w:cs="仿宋"/>
          <w:sz w:val="32"/>
          <w:szCs w:val="32"/>
        </w:rPr>
        <w:t>产出指标分值40分，得分34.5分。</w:t>
      </w:r>
    </w:p>
    <w:p>
      <w:pPr>
        <w:numPr>
          <w:ilvl w:val="0"/>
          <w:numId w:val="6"/>
        </w:numPr>
        <w:ind w:firstLine="600"/>
        <w:rPr>
          <w:rFonts w:ascii="仿宋" w:eastAsia="仿宋" w:cs="仿宋"/>
          <w:sz w:val="32"/>
          <w:szCs w:val="32"/>
        </w:rPr>
      </w:pPr>
      <w:r>
        <w:rPr>
          <w:rFonts w:hint="eastAsia" w:ascii="仿宋" w:eastAsia="仿宋" w:cs="仿宋"/>
          <w:sz w:val="32"/>
          <w:szCs w:val="32"/>
        </w:rPr>
        <w:t>数量指标：市场范围内设施维修数量完成总体指标的95%。扣1分。</w:t>
      </w:r>
    </w:p>
    <w:p>
      <w:pPr>
        <w:numPr>
          <w:ilvl w:val="0"/>
          <w:numId w:val="6"/>
        </w:numPr>
        <w:ind w:firstLine="600"/>
        <w:rPr>
          <w:rFonts w:ascii="仿宋" w:eastAsia="仿宋" w:cs="仿宋"/>
          <w:sz w:val="32"/>
          <w:szCs w:val="32"/>
        </w:rPr>
      </w:pPr>
      <w:r>
        <w:rPr>
          <w:rFonts w:hint="eastAsia" w:ascii="仿宋" w:eastAsia="仿宋" w:cs="仿宋"/>
          <w:sz w:val="32"/>
          <w:szCs w:val="32"/>
        </w:rPr>
        <w:t>质量指标：市场清洁度达90%以上，有待提高，扣1分。</w:t>
      </w:r>
    </w:p>
    <w:p>
      <w:pPr>
        <w:numPr>
          <w:ilvl w:val="0"/>
          <w:numId w:val="6"/>
        </w:numPr>
        <w:ind w:firstLine="600"/>
        <w:rPr>
          <w:rFonts w:ascii="仿宋" w:eastAsia="仿宋" w:cs="仿宋"/>
          <w:sz w:val="32"/>
          <w:szCs w:val="32"/>
        </w:rPr>
      </w:pPr>
      <w:r>
        <w:rPr>
          <w:rFonts w:hint="eastAsia" w:ascii="仿宋" w:eastAsia="仿宋" w:cs="仿宋"/>
          <w:sz w:val="32"/>
          <w:szCs w:val="32"/>
        </w:rPr>
        <w:t>时效指标</w:t>
      </w:r>
      <w:r>
        <w:rPr>
          <w:rFonts w:ascii="仿宋" w:eastAsia="仿宋" w:cs="仿宋"/>
          <w:sz w:val="32"/>
          <w:szCs w:val="32"/>
        </w:rPr>
        <w:t>：</w:t>
      </w:r>
      <w:r>
        <w:rPr>
          <w:rFonts w:hint="eastAsia" w:ascii="仿宋" w:eastAsia="仿宋" w:cs="仿宋"/>
          <w:sz w:val="32"/>
          <w:szCs w:val="32"/>
        </w:rPr>
        <w:t>工程完工后，资金支付不及时，扣3.5分。</w:t>
      </w:r>
    </w:p>
    <w:p>
      <w:pPr>
        <w:numPr>
          <w:ilvl w:val="0"/>
          <w:numId w:val="6"/>
        </w:numPr>
        <w:ind w:firstLine="600"/>
        <w:rPr>
          <w:rFonts w:ascii="仿宋" w:eastAsia="仿宋" w:cs="仿宋"/>
          <w:sz w:val="32"/>
          <w:szCs w:val="32"/>
        </w:rPr>
      </w:pPr>
      <w:r>
        <w:rPr>
          <w:rFonts w:ascii="仿宋" w:eastAsia="仿宋" w:cs="仿宋"/>
          <w:sz w:val="32"/>
          <w:szCs w:val="32"/>
        </w:rPr>
        <w:t>成本指标：项目实施要控制在预算数之内，项目完成支付</w:t>
      </w:r>
      <w:r>
        <w:rPr>
          <w:rFonts w:hint="eastAsia" w:ascii="仿宋" w:eastAsia="仿宋" w:cs="仿宋"/>
          <w:sz w:val="32"/>
          <w:szCs w:val="32"/>
        </w:rPr>
        <w:t>37</w:t>
      </w:r>
      <w:r>
        <w:rPr>
          <w:rFonts w:ascii="仿宋" w:eastAsia="仿宋" w:cs="仿宋"/>
          <w:sz w:val="32"/>
          <w:szCs w:val="32"/>
        </w:rPr>
        <w:t>万元，预算执行率</w:t>
      </w:r>
      <w:r>
        <w:rPr>
          <w:rFonts w:hint="eastAsia" w:ascii="仿宋" w:eastAsia="仿宋" w:cs="仿宋"/>
          <w:sz w:val="32"/>
          <w:szCs w:val="32"/>
        </w:rPr>
        <w:t>100</w:t>
      </w:r>
      <w:r>
        <w:rPr>
          <w:rFonts w:ascii="仿宋" w:eastAsia="仿宋" w:cs="仿宋"/>
          <w:sz w:val="32"/>
          <w:szCs w:val="32"/>
        </w:rPr>
        <w:t>%</w:t>
      </w:r>
      <w:r>
        <w:rPr>
          <w:rFonts w:hint="eastAsia" w:ascii="仿宋" w:eastAsia="仿宋" w:cs="仿宋"/>
          <w:sz w:val="32"/>
          <w:szCs w:val="32"/>
        </w:rPr>
        <w:t>。</w:t>
      </w:r>
    </w:p>
    <w:p>
      <w:pPr>
        <w:rPr>
          <w:rFonts w:ascii="仿宋" w:eastAsia="仿宋" w:cs="仿宋"/>
          <w:sz w:val="32"/>
          <w:szCs w:val="32"/>
        </w:rPr>
      </w:pPr>
      <w:r>
        <w:rPr>
          <w:rFonts w:hint="eastAsia" w:ascii="仿宋" w:eastAsia="仿宋" w:cs="仿宋"/>
          <w:sz w:val="32"/>
          <w:szCs w:val="32"/>
        </w:rPr>
        <w:t>（四）效果指标：</w:t>
      </w:r>
    </w:p>
    <w:p>
      <w:pPr>
        <w:numPr>
          <w:ilvl w:val="0"/>
          <w:numId w:val="7"/>
        </w:numPr>
        <w:ind w:firstLine="640" w:firstLineChars="200"/>
        <w:rPr>
          <w:rFonts w:ascii="仿宋" w:eastAsia="仿宋" w:cs="仿宋"/>
          <w:sz w:val="32"/>
          <w:szCs w:val="32"/>
        </w:rPr>
      </w:pPr>
      <w:r>
        <w:rPr>
          <w:rFonts w:ascii="仿宋" w:eastAsia="仿宋" w:cs="仿宋"/>
          <w:sz w:val="32"/>
          <w:szCs w:val="32"/>
        </w:rPr>
        <w:t>社会</w:t>
      </w:r>
      <w:r>
        <w:rPr>
          <w:rFonts w:hint="eastAsia" w:ascii="仿宋" w:eastAsia="仿宋" w:cs="仿宋"/>
          <w:sz w:val="32"/>
          <w:szCs w:val="32"/>
        </w:rPr>
        <w:t>效益指标</w:t>
      </w:r>
      <w:r>
        <w:rPr>
          <w:rFonts w:ascii="仿宋" w:eastAsia="仿宋" w:cs="仿宋"/>
          <w:sz w:val="32"/>
          <w:szCs w:val="32"/>
        </w:rPr>
        <w:t>：</w:t>
      </w:r>
      <w:r>
        <w:rPr>
          <w:rFonts w:hint="eastAsia" w:ascii="仿宋" w:eastAsia="仿宋" w:cs="仿宋"/>
          <w:sz w:val="32"/>
          <w:szCs w:val="32"/>
        </w:rPr>
        <w:t>市场实力提升，市场经营环境改善，为广大消费者提供一个更好的购物环境，市场的社会影响力大大提高，但仍有待提高，得9分。</w:t>
      </w:r>
    </w:p>
    <w:p>
      <w:pPr>
        <w:numPr>
          <w:ilvl w:val="0"/>
          <w:numId w:val="7"/>
        </w:numPr>
        <w:ind w:firstLine="640" w:firstLineChars="200"/>
        <w:rPr>
          <w:rFonts w:ascii="仿宋" w:eastAsia="仿宋" w:cs="仿宋"/>
          <w:sz w:val="32"/>
          <w:szCs w:val="32"/>
        </w:rPr>
      </w:pPr>
      <w:r>
        <w:rPr>
          <w:rFonts w:hint="eastAsia" w:ascii="仿宋" w:eastAsia="仿宋" w:cs="仿宋"/>
          <w:sz w:val="32"/>
          <w:szCs w:val="32"/>
        </w:rPr>
        <w:t>生态效益指标：市场环境卫生改善，为广大商户及消费者提供一个干净整洁的经营购物环境，但仍有待提高，得9分。</w:t>
      </w:r>
    </w:p>
    <w:p>
      <w:pPr>
        <w:numPr>
          <w:ilvl w:val="0"/>
          <w:numId w:val="7"/>
        </w:numPr>
        <w:ind w:firstLine="640" w:firstLineChars="200"/>
        <w:rPr>
          <w:rFonts w:ascii="仿宋" w:eastAsia="仿宋" w:cs="仿宋"/>
          <w:sz w:val="32"/>
          <w:szCs w:val="32"/>
        </w:rPr>
      </w:pPr>
      <w:r>
        <w:rPr>
          <w:rFonts w:hint="eastAsia" w:ascii="仿宋" w:eastAsia="仿宋" w:cs="仿宋"/>
          <w:sz w:val="32"/>
          <w:szCs w:val="32"/>
        </w:rPr>
        <w:t>满意度指标：</w:t>
      </w:r>
      <w:r>
        <w:rPr>
          <w:rFonts w:ascii="仿宋" w:eastAsia="仿宋" w:cs="仿宋"/>
          <w:sz w:val="32"/>
          <w:szCs w:val="32"/>
        </w:rPr>
        <w:t>市场商户</w:t>
      </w:r>
      <w:r>
        <w:rPr>
          <w:rFonts w:hint="eastAsia" w:ascii="仿宋" w:eastAsia="仿宋" w:cs="仿宋"/>
          <w:sz w:val="32"/>
          <w:szCs w:val="32"/>
        </w:rPr>
        <w:t>对该项目的满意度90</w:t>
      </w:r>
      <w:r>
        <w:rPr>
          <w:rFonts w:ascii="仿宋" w:eastAsia="仿宋" w:cs="仿宋"/>
          <w:sz w:val="32"/>
          <w:szCs w:val="32"/>
        </w:rPr>
        <w:t>%</w:t>
      </w:r>
      <w:r>
        <w:rPr>
          <w:rFonts w:hint="eastAsia" w:ascii="仿宋" w:eastAsia="仿宋" w:cs="仿宋"/>
          <w:sz w:val="32"/>
          <w:szCs w:val="32"/>
        </w:rPr>
        <w:t>，但仍有待提高，得9分。</w:t>
      </w:r>
    </w:p>
    <w:p>
      <w:pPr>
        <w:pStyle w:val="2"/>
        <w:ind w:firstLine="640"/>
        <w:rPr>
          <w:rFonts w:ascii="仿宋" w:hAnsi="仿宋" w:eastAsia="仿宋" w:cs="仿宋"/>
          <w:sz w:val="32"/>
          <w:szCs w:val="32"/>
        </w:rPr>
      </w:pPr>
      <w:r>
        <w:rPr>
          <w:rFonts w:hint="eastAsia" w:ascii="仿宋" w:hAnsi="仿宋" w:eastAsia="仿宋" w:cs="仿宋"/>
          <w:sz w:val="32"/>
          <w:szCs w:val="32"/>
        </w:rPr>
        <w:t>4、预算执行情况：财政拨款37万元，预算执行37万元，执行率100%。</w:t>
      </w:r>
    </w:p>
    <w:p>
      <w:pPr>
        <w:rPr>
          <w:rFonts w:ascii="仿宋" w:eastAsia="仿宋" w:cs="仿宋"/>
          <w:b/>
          <w:bCs/>
          <w:sz w:val="32"/>
          <w:szCs w:val="32"/>
        </w:rPr>
      </w:pPr>
      <w:r>
        <w:rPr>
          <w:rFonts w:hint="eastAsia" w:ascii="仿宋" w:eastAsia="仿宋" w:cs="仿宋"/>
          <w:b/>
          <w:bCs/>
          <w:sz w:val="32"/>
          <w:szCs w:val="32"/>
        </w:rPr>
        <w:t>四、整改措施及结果应用</w:t>
      </w:r>
    </w:p>
    <w:p>
      <w:pPr>
        <w:ind w:firstLine="640" w:firstLineChars="200"/>
        <w:rPr>
          <w:rFonts w:ascii="仿宋" w:eastAsia="仿宋" w:cs="仿宋"/>
          <w:sz w:val="32"/>
          <w:szCs w:val="32"/>
        </w:rPr>
      </w:pPr>
      <w:r>
        <w:rPr>
          <w:rFonts w:hint="eastAsia" w:ascii="仿宋" w:eastAsia="仿宋" w:cs="仿宋"/>
          <w:sz w:val="32"/>
          <w:szCs w:val="32"/>
        </w:rPr>
        <w:t>1、存在的问题：</w:t>
      </w:r>
    </w:p>
    <w:p>
      <w:pPr>
        <w:ind w:firstLine="640" w:firstLineChars="200"/>
        <w:rPr>
          <w:rFonts w:ascii="仿宋" w:eastAsia="仿宋" w:cs="仿宋"/>
          <w:sz w:val="32"/>
          <w:szCs w:val="32"/>
        </w:rPr>
      </w:pPr>
      <w:r>
        <w:rPr>
          <w:rFonts w:hint="eastAsia" w:ascii="仿宋" w:eastAsia="仿宋" w:cs="仿宋"/>
          <w:sz w:val="32"/>
          <w:szCs w:val="32"/>
        </w:rPr>
        <w:t>预算编制按照年度内可预见性的工作任务确定年度预算项目，但在实际支付实行中存在一定的差异，例如资金申请不及时，造成支付不及时等情况。</w:t>
      </w:r>
    </w:p>
    <w:p>
      <w:pPr>
        <w:ind w:firstLine="640" w:firstLineChars="200"/>
        <w:rPr>
          <w:rFonts w:ascii="仿宋" w:eastAsia="仿宋" w:cs="仿宋"/>
          <w:sz w:val="32"/>
          <w:szCs w:val="32"/>
        </w:rPr>
      </w:pPr>
      <w:r>
        <w:rPr>
          <w:rFonts w:hint="eastAsia" w:ascii="仿宋" w:eastAsia="仿宋" w:cs="仿宋"/>
          <w:sz w:val="32"/>
          <w:szCs w:val="32"/>
        </w:rPr>
        <w:t>2、整改措施：</w:t>
      </w:r>
    </w:p>
    <w:p>
      <w:pPr>
        <w:pStyle w:val="2"/>
        <w:ind w:firstLine="640"/>
      </w:pPr>
      <w:r>
        <w:rPr>
          <w:rFonts w:hint="eastAsia" w:ascii="仿宋" w:eastAsia="仿宋" w:cs="仿宋"/>
          <w:sz w:val="32"/>
          <w:szCs w:val="32"/>
        </w:rPr>
        <w:t>加强学习，提高思想认识，组织人员认真学习预算法等相关法律法规，提高单位领导对全面预算管理的重视程度，增强财务人员的预算意识，严格管理控制经费支出。加强内部控制监控</w:t>
      </w:r>
      <w:r>
        <w:rPr>
          <w:rFonts w:ascii="仿宋" w:eastAsia="仿宋" w:cs="仿宋"/>
          <w:sz w:val="32"/>
          <w:szCs w:val="32"/>
        </w:rPr>
        <w:t>工作，</w:t>
      </w:r>
      <w:r>
        <w:rPr>
          <w:rFonts w:hint="eastAsia" w:ascii="仿宋" w:eastAsia="仿宋" w:cs="仿宋"/>
          <w:sz w:val="32"/>
          <w:szCs w:val="32"/>
        </w:rPr>
        <w:t>规范财务运行，加强预算支出管理，严格</w:t>
      </w:r>
    </w:p>
    <w:p>
      <w:pPr>
        <w:rPr>
          <w:rFonts w:ascii="仿宋" w:eastAsia="仿宋"/>
          <w:sz w:val="32"/>
          <w:szCs w:val="32"/>
        </w:rPr>
      </w:pPr>
      <w:r>
        <w:rPr>
          <w:rFonts w:hint="eastAsia" w:ascii="仿宋" w:eastAsia="仿宋" w:cs="仿宋"/>
          <w:sz w:val="32"/>
          <w:szCs w:val="32"/>
        </w:rPr>
        <w:t>在财政局批复资金范围内使用，建立健全各项财务制度，加强内部控制，确保支出合法、真实。</w:t>
      </w:r>
      <w:r>
        <w:rPr>
          <w:rFonts w:hint="eastAsia" w:ascii="仿宋" w:eastAsia="仿宋"/>
          <w:sz w:val="32"/>
          <w:szCs w:val="32"/>
        </w:rPr>
        <w:t>在项目执行中出现重大问题，追究责任人责任。</w:t>
      </w:r>
    </w:p>
    <w:p>
      <w:pPr>
        <w:spacing w:beforeLines="50" w:afterLines="50" w:line="360" w:lineRule="auto"/>
        <w:ind w:firstLine="480" w:firstLineChars="150"/>
        <w:rPr>
          <w:rFonts w:ascii="仿宋" w:eastAsia="仿宋" w:cs="仿宋"/>
          <w:sz w:val="32"/>
          <w:szCs w:val="32"/>
        </w:rPr>
      </w:pPr>
      <w:r>
        <w:rPr>
          <w:rFonts w:hint="eastAsia" w:ascii="仿宋" w:eastAsia="仿宋" w:cs="仿宋"/>
          <w:sz w:val="32"/>
          <w:szCs w:val="32"/>
        </w:rPr>
        <w:t>3、经验和做法应用：</w:t>
      </w:r>
    </w:p>
    <w:p>
      <w:pPr>
        <w:spacing w:beforeLines="50" w:afterLines="50" w:line="360" w:lineRule="auto"/>
        <w:ind w:firstLine="480" w:firstLineChars="150"/>
        <w:rPr>
          <w:rFonts w:ascii="仿宋" w:hAnsi="仿宋" w:eastAsia="仿宋" w:cs="Times New Roman"/>
          <w:sz w:val="32"/>
          <w:szCs w:val="32"/>
        </w:rPr>
      </w:pPr>
      <w:r>
        <w:rPr>
          <w:rFonts w:hint="eastAsia" w:ascii="仿宋" w:eastAsia="仿宋" w:cs="仿宋"/>
          <w:sz w:val="32"/>
          <w:szCs w:val="32"/>
        </w:rPr>
        <w:t>对项目进行及时整理归纳分析，将其作为改善预算管理的工作和安排以后年度预算的依据。同时不断完善绩效评价指标体系，逐步建立适合我单位特点的绩效评价体系。在绩效自评工作中树立科学规范、公开刚正、分级分裂、绩效相关的原则。在实施过程中严格执行规定程序，评价符合真实、客观、公正的要求。对自评中发现的问题及时整改。为预算管理提供坚实保障。</w:t>
      </w:r>
      <w:r>
        <w:rPr>
          <w:rFonts w:hint="eastAsia" w:ascii="仿宋" w:hAnsi="仿宋" w:eastAsia="仿宋" w:cs="宋体"/>
          <w:sz w:val="32"/>
          <w:szCs w:val="32"/>
        </w:rPr>
        <w:t>完善制度建设。</w:t>
      </w:r>
      <w:r>
        <w:rPr>
          <w:rFonts w:hint="eastAsia" w:ascii="仿宋" w:hAnsi="仿宋" w:eastAsia="仿宋" w:cs="Times New Roman"/>
          <w:sz w:val="32"/>
          <w:szCs w:val="32"/>
        </w:rPr>
        <w:t>将事前评估、目标管理、运行监控、绩效评价、结果应用等各项改革措施，有效融入预算管理的全过程，建立健全市场管理预算绩效管理制度体系。加强资金支出管理。围绕年度重点工作，进一步优化支出结构、编细编实预算、及时支付资金、按规定及时下达资金等多种措施，确保支出进度达标。加强绩效运行监控。按</w:t>
      </w:r>
    </w:p>
    <w:p>
      <w:pPr>
        <w:spacing w:beforeLines="50" w:afterLines="50" w:line="360" w:lineRule="auto"/>
        <w:rPr>
          <w:rFonts w:ascii="仿宋" w:hAnsi="仿宋" w:eastAsia="仿宋" w:cs="宋体"/>
          <w:bCs/>
          <w:sz w:val="32"/>
          <w:szCs w:val="32"/>
        </w:rPr>
      </w:pPr>
      <w:r>
        <w:rPr>
          <w:rFonts w:hint="eastAsia" w:ascii="仿宋" w:hAnsi="仿宋" w:eastAsia="仿宋" w:cs="Times New Roman"/>
          <w:sz w:val="32"/>
          <w:szCs w:val="32"/>
        </w:rPr>
        <w:t>要求开展绩效运行监控，发现问题及时采取措施，确保绩效目标如期保质实现。</w:t>
      </w:r>
    </w:p>
    <w:p>
      <w:pPr>
        <w:ind w:firstLine="4160" w:firstLineChars="1300"/>
        <w:rPr>
          <w:rFonts w:ascii="仿宋" w:eastAsia="仿宋" w:cs="仿宋"/>
          <w:sz w:val="32"/>
          <w:szCs w:val="32"/>
        </w:rPr>
      </w:pPr>
    </w:p>
    <w:p>
      <w:pPr>
        <w:ind w:firstLine="4160" w:firstLineChars="1300"/>
        <w:rPr>
          <w:rFonts w:ascii="仿宋" w:eastAsia="仿宋" w:cs="仿宋"/>
          <w:sz w:val="32"/>
          <w:szCs w:val="32"/>
        </w:rPr>
      </w:pPr>
    </w:p>
    <w:p>
      <w:pPr>
        <w:ind w:firstLine="4160" w:firstLineChars="1300"/>
        <w:rPr>
          <w:rFonts w:ascii="仿宋" w:eastAsia="仿宋" w:cs="仿宋"/>
          <w:sz w:val="32"/>
          <w:szCs w:val="32"/>
        </w:rPr>
      </w:pPr>
    </w:p>
    <w:p>
      <w:pPr>
        <w:ind w:firstLine="4160" w:firstLineChars="1300"/>
        <w:rPr>
          <w:rFonts w:ascii="仿宋" w:eastAsia="仿宋" w:cs="仿宋"/>
          <w:sz w:val="32"/>
          <w:szCs w:val="32"/>
        </w:rPr>
      </w:pPr>
    </w:p>
    <w:p>
      <w:pPr>
        <w:ind w:firstLine="4160" w:firstLineChars="1300"/>
        <w:rPr>
          <w:rFonts w:ascii="仿宋" w:eastAsia="仿宋" w:cs="仿宋"/>
          <w:sz w:val="32"/>
          <w:szCs w:val="32"/>
        </w:rPr>
      </w:pPr>
    </w:p>
    <w:p>
      <w:pPr>
        <w:ind w:firstLine="4160" w:firstLineChars="1300"/>
        <w:rPr>
          <w:rFonts w:ascii="仿宋" w:eastAsia="仿宋" w:cs="仿宋"/>
          <w:sz w:val="32"/>
          <w:szCs w:val="32"/>
        </w:rPr>
      </w:pPr>
    </w:p>
    <w:p>
      <w:pPr>
        <w:ind w:firstLine="4160" w:firstLineChars="1300"/>
        <w:rPr>
          <w:rFonts w:ascii="仿宋" w:eastAsia="仿宋" w:cs="仿宋"/>
          <w:sz w:val="32"/>
          <w:szCs w:val="32"/>
        </w:rPr>
      </w:pPr>
    </w:p>
    <w:p>
      <w:pPr>
        <w:ind w:firstLine="4160" w:firstLineChars="1300"/>
        <w:rPr>
          <w:rFonts w:ascii="仿宋" w:eastAsia="仿宋" w:cs="仿宋"/>
          <w:sz w:val="32"/>
          <w:szCs w:val="32"/>
        </w:rPr>
      </w:pPr>
      <w:r>
        <w:rPr>
          <w:rFonts w:hint="eastAsia" w:ascii="仿宋" w:eastAsia="仿宋" w:cs="仿宋"/>
          <w:sz w:val="32"/>
          <w:szCs w:val="32"/>
        </w:rPr>
        <w:t>高阳县市场建设服务中心</w:t>
      </w:r>
    </w:p>
    <w:p>
      <w:pPr>
        <w:ind w:firstLine="640" w:firstLineChars="200"/>
        <w:jc w:val="center"/>
        <w:rPr>
          <w:rFonts w:ascii="仿宋" w:eastAsia="仿宋" w:cs="仿宋"/>
          <w:sz w:val="32"/>
          <w:szCs w:val="32"/>
        </w:rPr>
      </w:pPr>
      <w:r>
        <w:rPr>
          <w:rFonts w:hint="eastAsia" w:ascii="仿宋" w:eastAsia="仿宋" w:cs="仿宋"/>
          <w:sz w:val="32"/>
          <w:szCs w:val="32"/>
        </w:rPr>
        <w:t xml:space="preserve">                     2023年3月10日</w:t>
      </w:r>
    </w:p>
    <w:sectPr>
      <w:pgSz w:w="11906" w:h="16838"/>
      <w:pgMar w:top="1440" w:right="1800" w:bottom="1440" w:left="1800" w:header="851" w:footer="992" w:gutter="0"/>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Calibri">
    <w:panose1 w:val="020F0502020204030204"/>
    <w:charset w:val="00"/>
    <w:family w:val="auto"/>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1" w:usb1="080E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902004969">
    <w:nsid w:val="35C380E9"/>
    <w:multiLevelType w:val="singleLevel"/>
    <w:tmpl w:val="35C380E9"/>
    <w:lvl w:ilvl="0" w:tentative="1">
      <w:start w:val="1"/>
      <w:numFmt w:val="decimal"/>
      <w:suff w:val="nothing"/>
      <w:lvlText w:val="%1、"/>
      <w:lvlJc w:val="left"/>
    </w:lvl>
  </w:abstractNum>
  <w:abstractNum w:abstractNumId="2214948015">
    <w:nsid w:val="84056CAF"/>
    <w:multiLevelType w:val="singleLevel"/>
    <w:tmpl w:val="84056CAF"/>
    <w:lvl w:ilvl="0" w:tentative="1">
      <w:start w:val="1"/>
      <w:numFmt w:val="decimal"/>
      <w:suff w:val="nothing"/>
      <w:lvlText w:val="%1、"/>
      <w:lvlJc w:val="left"/>
    </w:lvl>
  </w:abstractNum>
  <w:abstractNum w:abstractNumId="3916639273">
    <w:nsid w:val="E9732C29"/>
    <w:multiLevelType w:val="singleLevel"/>
    <w:tmpl w:val="E9732C29"/>
    <w:lvl w:ilvl="0" w:tentative="1">
      <w:start w:val="4"/>
      <w:numFmt w:val="chineseCounting"/>
      <w:suff w:val="nothing"/>
      <w:lvlText w:val="（%1）"/>
      <w:lvlJc w:val="left"/>
      <w:rPr>
        <w:rFonts w:hint="eastAsia"/>
      </w:rPr>
    </w:lvl>
  </w:abstractNum>
  <w:abstractNum w:abstractNumId="2607364487">
    <w:nsid w:val="9B693987"/>
    <w:multiLevelType w:val="singleLevel"/>
    <w:tmpl w:val="9B693987"/>
    <w:lvl w:ilvl="0" w:tentative="1">
      <w:start w:val="1"/>
      <w:numFmt w:val="chineseCounting"/>
      <w:suff w:val="nothing"/>
      <w:lvlText w:val="%1、"/>
      <w:lvlJc w:val="left"/>
      <w:rPr>
        <w:rFonts w:hint="eastAsia"/>
      </w:rPr>
    </w:lvl>
  </w:abstractNum>
  <w:abstractNum w:abstractNumId="3221610490">
    <w:nsid w:val="C005DFFA"/>
    <w:multiLevelType w:val="singleLevel"/>
    <w:tmpl w:val="C005DFFA"/>
    <w:lvl w:ilvl="0" w:tentative="1">
      <w:start w:val="1"/>
      <w:numFmt w:val="decimal"/>
      <w:suff w:val="nothing"/>
      <w:lvlText w:val="%1、"/>
      <w:lvlJc w:val="left"/>
      <w:pPr>
        <w:ind w:left="30"/>
      </w:pPr>
    </w:lvl>
  </w:abstractNum>
  <w:abstractNum w:abstractNumId="1953210366">
    <w:nsid w:val="746B9FFE"/>
    <w:multiLevelType w:val="singleLevel"/>
    <w:tmpl w:val="746B9FFE"/>
    <w:lvl w:ilvl="0" w:tentative="1">
      <w:start w:val="4"/>
      <w:numFmt w:val="chineseCounting"/>
      <w:suff w:val="nothing"/>
      <w:lvlText w:val="%1、"/>
      <w:lvlJc w:val="left"/>
      <w:rPr>
        <w:rFonts w:hint="eastAsia"/>
      </w:rPr>
    </w:lvl>
  </w:abstractNum>
  <w:abstractNum w:abstractNumId="1080145519">
    <w:nsid w:val="4061B66F"/>
    <w:multiLevelType w:val="singleLevel"/>
    <w:tmpl w:val="4061B66F"/>
    <w:lvl w:ilvl="0" w:tentative="1">
      <w:start w:val="2"/>
      <w:numFmt w:val="chineseCounting"/>
      <w:suff w:val="nothing"/>
      <w:lvlText w:val="（%1）"/>
      <w:lvlJc w:val="left"/>
      <w:rPr>
        <w:rFonts w:hint="eastAsia"/>
      </w:rPr>
    </w:lvl>
  </w:abstractNum>
  <w:num w:numId="1">
    <w:abstractNumId w:val="2607364487"/>
  </w:num>
  <w:num w:numId="2">
    <w:abstractNumId w:val="3916639273"/>
  </w:num>
  <w:num w:numId="3">
    <w:abstractNumId w:val="1953210366"/>
  </w:num>
  <w:num w:numId="4">
    <w:abstractNumId w:val="1080145519"/>
  </w:num>
  <w:num w:numId="5">
    <w:abstractNumId w:val="902004969"/>
  </w:num>
  <w:num w:numId="6">
    <w:abstractNumId w:val="3221610490"/>
  </w:num>
  <w:num w:numId="7">
    <w:abstractNumId w:val="22149480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bordersDoNotSurroundHeader w:val="1"/>
  <w:bordersDoNotSurroundFooter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0" w:name="Balloon Text"/>
  </w:latentStyles>
  <w:style w:type="paragraph" w:default="1" w:styleId="1">
    <w:name w:val="Normal"/>
    <w:next w:val="2"/>
    <w:qFormat/>
    <w:uiPriority w:val="0"/>
    <w:pPr>
      <w:widowControl w:val="0"/>
      <w:jc w:val="both"/>
    </w:pPr>
    <w:rPr>
      <w:rFonts w:ascii="Calibri" w:hAnsi="Calibri" w:eastAsia="宋体" w:cs="Arial"/>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semiHidden/>
    <w:unhideWhenUsed/>
    <w:qFormat/>
    <w:uiPriority w:val="9"/>
    <w:pPr>
      <w:keepNext/>
      <w:keepLines/>
      <w:spacing w:before="260" w:after="260" w:line="415" w:lineRule="auto"/>
      <w:outlineLvl w:val="1"/>
    </w:pPr>
    <w:rPr>
      <w:rFonts w:ascii="Times New Roman" w:hAnsi="Times New Roman" w:eastAsia="黑体"/>
      <w:b/>
      <w:bCs/>
      <w:sz w:val="32"/>
      <w:szCs w:val="32"/>
    </w:rPr>
  </w:style>
  <w:style w:type="paragraph" w:styleId="5">
    <w:name w:val="heading 3"/>
    <w:basedOn w:val="1"/>
    <w:next w:val="1"/>
    <w:semiHidden/>
    <w:unhideWhenUsed/>
    <w:qFormat/>
    <w:uiPriority w:val="9"/>
    <w:pPr>
      <w:keepNext/>
      <w:keepLines/>
      <w:spacing w:before="260" w:after="260" w:line="415" w:lineRule="auto"/>
      <w:outlineLvl w:val="2"/>
    </w:pPr>
    <w:rPr>
      <w:b/>
      <w:bCs/>
      <w:sz w:val="32"/>
      <w:szCs w:val="32"/>
    </w:rPr>
  </w:style>
  <w:style w:type="character" w:default="1" w:styleId="8">
    <w:name w:val="Default Paragraph Font"/>
    <w:semiHidden/>
    <w:unhideWhenUsed/>
    <w:uiPriority w:val="1"/>
  </w:style>
  <w:style w:type="paragraph" w:customStyle="1" w:styleId="2">
    <w:name w:val="正文（缩进）"/>
    <w:basedOn w:val="1"/>
    <w:qFormat/>
    <w:uiPriority w:val="0"/>
    <w:pPr>
      <w:spacing w:before="50" w:after="50"/>
      <w:ind w:firstLine="200" w:firstLineChars="200"/>
    </w:pPr>
    <w:rPr>
      <w:rFonts w:cs="Times New Roman"/>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font51"/>
    <w:basedOn w:val="8"/>
    <w:uiPriority w:val="0"/>
    <w:rPr>
      <w:rFonts w:hint="eastAsia" w:ascii="宋体" w:hAnsi="宋体" w:eastAsia="宋体" w:cs="宋体"/>
      <w:color w:val="000000"/>
      <w:sz w:val="24"/>
      <w:szCs w:val="24"/>
      <w:u w:val="none"/>
    </w:rPr>
  </w:style>
  <w:style w:type="character" w:customStyle="1" w:styleId="10">
    <w:name w:val="font11"/>
    <w:basedOn w:val="8"/>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712</Words>
  <Characters>4064</Characters>
  <Lines>33</Lines>
  <Paragraphs>9</Paragraphs>
  <TotalTime>0</TotalTime>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2022-02-27T04:52:00Z</dcterms:created>
  <dc:creator>辉映人生</dc:creator>
  <cp:lastModifiedBy>Lenovo</cp:lastModifiedBy>
  <cp:lastPrinted>2023-08-25T03:15:00Z</cp:lastPrinted>
  <dcterms:modified xsi:type="dcterms:W3CDTF">2025-01-26T06:39:10Z</dcterms:modified>
  <dc:title>高阳县市场建设服务中心</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y fmtid="{D5CDD505-2E9C-101B-9397-08002B2CF9AE}" pid="3" name="ICV">
    <vt:lpwstr>03335077C7E84C13A60530624F900204_13</vt:lpwstr>
  </property>
</Properties>
</file>