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lang w:eastAsia="zh-CN"/>
        </w:rPr>
      </w:pPr>
      <w:bookmarkStart w:id="0" w:name="_GoBack"/>
      <w:bookmarkEnd w:id="0"/>
      <w:r>
        <w:rPr>
          <w:rFonts w:hint="eastAsia" w:ascii="黑体" w:hAnsi="黑体" w:eastAsia="黑体" w:cs="黑体"/>
          <w:b/>
          <w:sz w:val="44"/>
          <w:szCs w:val="44"/>
          <w:lang w:eastAsia="zh-CN"/>
        </w:rPr>
        <w:t>高阳县人力资源和社会保障局</w:t>
      </w:r>
    </w:p>
    <w:p>
      <w:pPr>
        <w:jc w:val="center"/>
        <w:rPr>
          <w:rFonts w:hint="eastAsia" w:ascii="黑体" w:hAnsi="黑体" w:eastAsia="黑体" w:cs="黑体"/>
          <w:b/>
          <w:sz w:val="44"/>
          <w:szCs w:val="44"/>
          <w:lang w:val="en-US" w:eastAsia="zh-CN"/>
        </w:rPr>
      </w:pPr>
      <w:r>
        <w:rPr>
          <w:rFonts w:hint="eastAsia" w:ascii="黑体" w:hAnsi="黑体" w:eastAsia="黑体" w:cs="黑体"/>
          <w:b/>
          <w:sz w:val="44"/>
          <w:szCs w:val="44"/>
          <w:lang w:val="en-US" w:eastAsia="zh-CN"/>
        </w:rPr>
        <w:t>2022年度</w:t>
      </w:r>
      <w:r>
        <w:rPr>
          <w:rFonts w:hint="eastAsia" w:ascii="黑体" w:hAnsi="黑体" w:eastAsia="黑体" w:cs="黑体"/>
          <w:b/>
          <w:sz w:val="44"/>
          <w:szCs w:val="44"/>
          <w:lang w:eastAsia="zh-CN"/>
        </w:rPr>
        <w:t>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_GB2312" w:hAnsi="仿宋_GB2312" w:eastAsia="仿宋_GB2312"/>
          <w:sz w:val="32"/>
          <w:lang w:val="en-US" w:eastAsia="zh-CN"/>
        </w:rPr>
        <w:t xml:space="preserve">   </w:t>
      </w:r>
      <w:r>
        <w:rPr>
          <w:rFonts w:hint="eastAsia" w:ascii="仿宋" w:hAnsi="仿宋" w:eastAsia="仿宋" w:cs="仿宋"/>
          <w:sz w:val="32"/>
          <w:szCs w:val="32"/>
          <w:lang w:val="en-US" w:eastAsia="zh-CN"/>
        </w:rPr>
        <w:t xml:space="preserve"> 为提高财政资金使用效益，根据《高阳县财政局关于做好2022年度县级预算项目绩效自评工作的通知》（高财稽查[2023]1号）的文件要求，我局高度重视，为顺利开展好本单位绩效自评工作，抓紧时间组织本部门全面收集、系统整理各预算项目绩效完成信息，对2022年度所有项目支出资金进行了绩效自评。确认各项绩效指标实际完成值和实现程度。从预算编制、预算执行、绩效目标设置质量及完成情况等采用定量分析和定性分析相结合的方法进行综合评价。最终形成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一、绩效自评工作组织开展情况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我单位根据单位实际和工作需要，</w:t>
      </w:r>
      <w:r>
        <w:rPr>
          <w:rFonts w:hint="eastAsia" w:ascii="仿宋" w:hAnsi="仿宋" w:eastAsia="仿宋" w:cs="仿宋"/>
          <w:sz w:val="32"/>
          <w:szCs w:val="32"/>
          <w:lang w:eastAsia="zh-CN"/>
        </w:rPr>
        <w:t>围绕部门职责、行业发展规划、以预算资金管理为主线，统筹考虑资产和业务活动，从运行成本、管理效率、履职效能、社会效应、可持续发展能力和服务对象满意度等方面</w:t>
      </w:r>
      <w:r>
        <w:rPr>
          <w:rFonts w:hint="eastAsia" w:ascii="仿宋" w:hAnsi="仿宋" w:eastAsia="仿宋" w:cs="仿宋"/>
          <w:sz w:val="32"/>
          <w:szCs w:val="32"/>
        </w:rPr>
        <w:t>确定部门预算项目和预算额度，清晰描述</w:t>
      </w:r>
      <w:r>
        <w:rPr>
          <w:rFonts w:hint="eastAsia" w:ascii="仿宋" w:hAnsi="仿宋" w:eastAsia="仿宋" w:cs="仿宋"/>
          <w:sz w:val="32"/>
          <w:szCs w:val="32"/>
          <w:lang w:val="en-US" w:eastAsia="zh-CN"/>
        </w:rPr>
        <w:t>了</w:t>
      </w:r>
      <w:r>
        <w:rPr>
          <w:rFonts w:hint="eastAsia" w:ascii="仿宋" w:hAnsi="仿宋" w:eastAsia="仿宋" w:cs="仿宋"/>
          <w:sz w:val="32"/>
          <w:szCs w:val="32"/>
        </w:rPr>
        <w:t>预算项目开支范围和内容，确定预算项目的绩效目标。在预算执行过程中，按时间和进度的绩效管理目标要求，合理安排资金的使用，保证了各项工作的顺利进行，较好的实现了预算项目绩效目标。</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二、绩效目标实现情况</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2022年部门预算共安排一级预算项目32个，涉及资金2647.53万元，实际执行2498.25万元。</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2022年度预算项目</w:t>
      </w:r>
    </w:p>
    <w:p>
      <w:pPr>
        <w:pStyle w:val="2"/>
        <w:ind w:firstLine="6480" w:firstLineChars="2700"/>
        <w:rPr>
          <w:rFonts w:hint="eastAsia"/>
          <w:lang w:val="en-US" w:eastAsia="zh-CN"/>
        </w:rPr>
      </w:pPr>
      <w:r>
        <w:rPr>
          <w:rFonts w:hint="eastAsia" w:ascii="仿宋" w:hAnsi="仿宋" w:eastAsia="仿宋" w:cs="仿宋"/>
          <w:color w:val="auto"/>
          <w:kern w:val="0"/>
          <w:sz w:val="24"/>
          <w:szCs w:val="24"/>
          <w:lang w:val="en-US" w:eastAsia="zh-CN"/>
        </w:rPr>
        <w:t>单位：万元</w:t>
      </w:r>
    </w:p>
    <w:tbl>
      <w:tblPr>
        <w:tblStyle w:val="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3"/>
        <w:gridCol w:w="4950"/>
        <w:gridCol w:w="1414"/>
        <w:gridCol w:w="14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8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spacing w:line="480" w:lineRule="auto"/>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调整预算数</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480" w:lineRule="auto"/>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实际执行数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人社局劳动监察保障经费</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40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人社局社会保险工作经费（劳务派遣）</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86</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建设“雄安卫星城，美丽新高阳”政府特别奖</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50</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事业单位工作人员年度考核和奖励工作经费</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2.95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人社局社会保险工作经费</w:t>
            </w:r>
            <w:r>
              <w:rPr>
                <w:rFonts w:hint="eastAsia" w:ascii="宋体" w:hAnsi="宋体" w:cs="宋体"/>
                <w:i w:val="0"/>
                <w:iCs w:val="0"/>
                <w:color w:val="000000"/>
                <w:kern w:val="0"/>
                <w:sz w:val="22"/>
                <w:szCs w:val="22"/>
                <w:u w:val="none"/>
                <w:lang w:val="en-US" w:eastAsia="zh-CN" w:bidi="ar"/>
              </w:rPr>
              <w:t>（劳务派遣）</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rPr>
              <w:t>高阳县流动人员人事档案数字化建设资金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color w:val="auto"/>
              </w:rPr>
            </w:pPr>
            <w:r>
              <w:rPr>
                <w:rFonts w:hint="eastAsia" w:ascii="宋体" w:hAnsi="宋体" w:eastAsia="宋体" w:cs="宋体"/>
                <w:i w:val="0"/>
                <w:iCs w:val="0"/>
                <w:color w:val="auto"/>
                <w:kern w:val="0"/>
                <w:sz w:val="22"/>
                <w:szCs w:val="22"/>
                <w:u w:val="none"/>
                <w:lang w:val="en-US" w:eastAsia="zh-CN" w:bidi="ar"/>
              </w:rPr>
              <w:t>20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人社局办公用房租金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66.53</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rPr>
              <w:t>档案室标准化建设资金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color w:val="auto"/>
              </w:rPr>
            </w:pPr>
            <w:r>
              <w:rPr>
                <w:rFonts w:hint="eastAsia" w:ascii="宋体" w:hAnsi="宋体" w:eastAsia="宋体" w:cs="宋体"/>
                <w:i w:val="0"/>
                <w:iCs w:val="0"/>
                <w:color w:val="auto"/>
                <w:kern w:val="0"/>
                <w:sz w:val="22"/>
                <w:szCs w:val="22"/>
                <w:u w:val="none"/>
                <w:lang w:val="en-US" w:eastAsia="zh-CN" w:bidi="ar"/>
              </w:rPr>
              <w:t>20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人社局老干部诊所经费</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人社局社会保险工作经费</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宋体" w:hAnsi="宋体" w:eastAsia="宋体" w:cs="宋体"/>
                <w:i w:val="0"/>
                <w:iCs w:val="0"/>
                <w:color w:val="auto"/>
                <w:kern w:val="2"/>
                <w:sz w:val="22"/>
                <w:szCs w:val="22"/>
                <w:u w:val="none"/>
                <w:lang w:val="en-US" w:eastAsia="zh-CN" w:bidi="ar-SA"/>
              </w:rPr>
            </w:pPr>
            <w:r>
              <w:rPr>
                <w:rFonts w:hint="eastAsia" w:ascii="宋体" w:hAnsi="宋体" w:cs="宋体"/>
                <w:i w:val="0"/>
                <w:iCs w:val="0"/>
                <w:color w:val="auto"/>
                <w:kern w:val="0"/>
                <w:sz w:val="22"/>
                <w:szCs w:val="22"/>
                <w:u w:val="none"/>
                <w:lang w:val="en-US" w:eastAsia="zh-CN" w:bidi="ar"/>
              </w:rPr>
              <w:t>2.83</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冀财金[[2022]48号-2022年度省级普惠金融发展专项（创业担保贷款贴息及奖补）资金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人社局创业担保贷款财政贴息及奖补资金（县级负担10%）</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22.3</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冀财社[2021]153号-提前下达2022年中央就业补助资金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color w:val="auto"/>
              </w:rPr>
            </w:pPr>
            <w:r>
              <w:rPr>
                <w:rFonts w:hint="eastAsia" w:ascii="宋体" w:hAnsi="宋体" w:eastAsia="宋体" w:cs="宋体"/>
                <w:i w:val="0"/>
                <w:iCs w:val="0"/>
                <w:color w:val="auto"/>
                <w:kern w:val="0"/>
                <w:sz w:val="22"/>
                <w:szCs w:val="22"/>
                <w:u w:val="none"/>
                <w:lang w:val="en-US" w:eastAsia="zh-CN" w:bidi="ar"/>
              </w:rPr>
              <w:t>597</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rPr>
            </w:pPr>
            <w:r>
              <w:rPr>
                <w:rFonts w:hint="eastAsia" w:ascii="宋体" w:hAnsi="宋体" w:eastAsia="宋体" w:cs="宋体"/>
                <w:i w:val="0"/>
                <w:iCs w:val="0"/>
                <w:color w:val="000000"/>
                <w:kern w:val="0"/>
                <w:sz w:val="22"/>
                <w:szCs w:val="22"/>
                <w:u w:val="none"/>
                <w:lang w:val="en-US" w:eastAsia="zh-CN" w:bidi="ar"/>
              </w:rPr>
              <w:t>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冀财社[2021]188号-提前下达2022年省级就业补助资金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冀财社[2022]42号-2022年中央就业补助资金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322</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冀财社[2022]137号-2022年中央就业补助资金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87</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人社局就业专项经费</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人社局职业技能鉴定费用</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高阳县赤脚医生养老补助</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230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冀财社[2021]192号-提前下达2022年省级城乡居民基本养老保险、就业公共服务村级代办员补助资金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高阳县养老保险代办员补助资金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w:t>
            </w:r>
            <w:r>
              <w:rPr>
                <w:rFonts w:hint="eastAsia" w:ascii="宋体" w:hAnsi="宋体" w:cs="宋体"/>
                <w:i w:val="0"/>
                <w:iCs w:val="0"/>
                <w:color w:val="auto"/>
                <w:kern w:val="0"/>
                <w:sz w:val="22"/>
                <w:szCs w:val="22"/>
                <w:u w:val="none"/>
                <w:lang w:val="en-US" w:eastAsia="zh-CN" w:bidi="ar"/>
              </w:rPr>
              <w:t>8</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冀财教[2021]161号-提前下达2022年省级教师队伍建设专项资金（原民办代课教师教龄补助）</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121</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高阳县原民办代课教师教龄补贴</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200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高阳县农机员、农技员、基层兽医补助资金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75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25</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冀财资[2021]157号-提前下达2022年国有企业退休人员社会化管理中央财政补助资金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26</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机关事业统筹外项目资金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w:t>
            </w:r>
            <w:r>
              <w:rPr>
                <w:rFonts w:hint="eastAsia" w:ascii="宋体" w:hAnsi="宋体" w:cs="宋体"/>
                <w:i w:val="0"/>
                <w:iCs w:val="0"/>
                <w:color w:val="auto"/>
                <w:kern w:val="0"/>
                <w:sz w:val="22"/>
                <w:szCs w:val="22"/>
                <w:u w:val="none"/>
                <w:lang w:val="en-US" w:eastAsia="zh-CN" w:bidi="ar"/>
              </w:rPr>
              <w:t>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07.91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27</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高阳县破产企业遗属补助</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3</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28</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人社局社保经办机构经费</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25</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29</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高阳县机关事业单位职业年金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80.39</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30</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高阳县企业离休人员生活补贴</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10</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机关事业统筹外项目资金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5.23</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32</w:t>
            </w:r>
          </w:p>
        </w:tc>
        <w:tc>
          <w:tcPr>
            <w:tcW w:w="4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高阳县养老保险代办员补助资金</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13</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0</w:t>
            </w:r>
          </w:p>
        </w:tc>
      </w:tr>
    </w:tbl>
    <w:p>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总体绩效目标</w:t>
      </w:r>
    </w:p>
    <w:p>
      <w:pPr>
        <w:pStyle w:val="7"/>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为构建更加和谐的劳动关系，做好社会保障工作，为高阳社会发展提供人才保障，营造更加优越的就业创业环境。2022年高阳人社将继续坚持以习近平新时代中国特色社会主义思想为指导，全面贯彻党的十九大精神。按照县委县政府部署要求，人社局坚持在社会发展中服务大局，在面临困境中攻坚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雄安卫星城 美丽新高阳”作出积极贡献。</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分项绩效目标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（一）就业创业扶持政策的制定及管理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绩效目标：促进失业人员再就业，控制城镇登记失业率，转移农村劳动力，保持就业形势的基本稳定。实施免费的公共就业服务。提高劳动者素质，打造我县职业技术工人队伍，实现稳定就业。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符合领取社会保险补贴条件的各类人员社会保险补贴发放率达到100%；经审核符合领取公益性岗位补贴条件的公益性岗位补贴发放率达到100%；当年高校毕业生就业率、创业率较上一年度的提高比例达到95%以上；为失业人员提供免费的公共就业服务人数占失业人员总人数的比例达到80%以上；当年完成人事档案管理数量占应申请人事档案管理数量的比例达到100%；按时开展人力资源服务业、家庭服务业工作、就业服务指导等内容培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（二）养老保险政策实施及管理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绩效目标：制定我县养老、失业、工伤、实施措施并推动落实。完成养老保险扩面征缴任务，按时按要求完成养老金提标任务，确保养老金按时足额发放，防范基金风险，确保参保人员权益。 提高工伤保险参保率，确保工伤保险待遇落实到位。失业保险费应收尽收，全县失业人员待遇落实。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实际扩面人数与扩面计划之间的比率达到100%；按时足额发放到位的基本养老金占应发放到位的比例达到100%；按时足额发放到位的基本养老金占应发放到位的比例达到100%；实际征缴收入与征缴计划之间的比率达到95%；工伤保险参保人数占国家计划参保人数之间的比率达到95%；工伤保险享受待遇人数占应享受待遇人数之间的比率达到95%；实际征收失业保险占征收计划的比率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（三）专业技术人才的培养和管理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绩效目标：制定全县专业技术人员管理和继续教育政策，综合管理全县职称工作，整优化人才结构，引进科技创新人才，推进专业技术人才知识更新工程。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绩效指标：本年度内志愿者招募、培训及服务派遣完成人数占计划人数的比例达到100%；专业技术人才实际资助人数与计划资助人数之间的比率达到100%。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（四）事业单位及工作人员人事管理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事业单位对岗位管理、公开招聘、考核奖惩等人事管理工作满意度达到100%；新版聘用合同推行签订数量占应合同签订总数的比例达到95%；公共、教育、卫生等类别公开招聘考试完成数量占计划完成数量的比例达到95%；工资基金审核单位数占应审核单位数的比率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（五）企事业单位单位工资政策和管理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绩效目标：加大对企业工资分配的调控力度，合理确定收入分配水平。加强工资管理，确保政策落实到位；与预算编制对接，实现高效快捷审核。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绩效指标：企业工资审核单位数占应审核单位数的比率达到85%；工资政策落实单位数占应落实单位数的比率达到95%；在规定时限内办退休手续的数量占办理总数的比例达到100%。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（六）劳动关系调解仲裁事务管理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绩效目标：落实劳动关系政策，建立完善劳动关系协调机制。组织和实施劳动关系的调解、仲裁、信访。组织实施劳动保障监察执法，依法查处重大违法案件。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规模以上企业劳动合同签订数占应签订数之间的比率达到95%；劳动关系的调解、仲裁、信访工作完成总数占申请调解、仲裁、信访数量的比例达到90%；到期已结案的劳动仲裁数占受理仲裁申请总数的比例达到90%；已结案的劳动监察案件占劳动监察案件总数的比例达到90%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（七）综合业务管理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绩效目标：接受社会监督，为群众提供优质政务服务，保障机关正常运转。</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75" w:afterAutospacing="0" w:line="560" w:lineRule="exact"/>
        <w:ind w:right="0" w:firstLine="640" w:firstLineChars="200"/>
        <w:jc w:val="left"/>
        <w:textAlignment w:val="auto"/>
        <w:outlineLvl w:val="9"/>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绩效指标：年度内政务服务、12333电话咨询系统及信息系统建设完成达到95%以上；社会保障信息化水平有效支撑社保事务正常开展情况达到95%以上。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三、绩效目标设定质量情况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通过本次绩效自评结果对比倒查的年初绩效目标设定质量情况，全面总结绩效目标设定、</w:t>
      </w:r>
      <w:r>
        <w:rPr>
          <w:rFonts w:hint="eastAsia" w:ascii="仿宋" w:hAnsi="仿宋" w:eastAsia="仿宋" w:cs="仿宋"/>
          <w:color w:val="000000"/>
          <w:kern w:val="0"/>
          <w:sz w:val="32"/>
          <w:szCs w:val="32"/>
        </w:rPr>
        <w:t>预算项目与部门职责、工作规划和重点工作相关</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确定的预算项目合理，绩效指标设立</w:t>
      </w:r>
      <w:r>
        <w:rPr>
          <w:rFonts w:hint="eastAsia" w:ascii="仿宋" w:hAnsi="仿宋" w:eastAsia="仿宋" w:cs="仿宋"/>
          <w:color w:val="000000"/>
          <w:kern w:val="0"/>
          <w:sz w:val="32"/>
          <w:szCs w:val="32"/>
          <w:lang w:val="en-US" w:eastAsia="zh-CN"/>
        </w:rPr>
        <w:t>比较</w:t>
      </w:r>
      <w:r>
        <w:rPr>
          <w:rFonts w:hint="eastAsia" w:ascii="仿宋" w:hAnsi="仿宋" w:eastAsia="仿宋" w:cs="仿宋"/>
          <w:color w:val="000000"/>
          <w:kern w:val="0"/>
          <w:sz w:val="32"/>
          <w:szCs w:val="32"/>
        </w:rPr>
        <w:t>科学，预算项目有明确的绩效指标，指标设置</w:t>
      </w:r>
      <w:r>
        <w:rPr>
          <w:rFonts w:hint="eastAsia" w:ascii="仿宋" w:hAnsi="仿宋" w:eastAsia="仿宋" w:cs="仿宋"/>
          <w:color w:val="000000"/>
          <w:kern w:val="0"/>
          <w:sz w:val="32"/>
          <w:szCs w:val="32"/>
          <w:lang w:val="en-US" w:eastAsia="zh-CN"/>
        </w:rPr>
        <w:t>基本</w:t>
      </w:r>
      <w:r>
        <w:rPr>
          <w:rFonts w:hint="eastAsia" w:ascii="仿宋" w:hAnsi="仿宋" w:eastAsia="仿宋" w:cs="仿宋"/>
          <w:color w:val="000000"/>
          <w:kern w:val="0"/>
          <w:sz w:val="32"/>
          <w:szCs w:val="32"/>
        </w:rPr>
        <w:t>能准确反映项目目标完成情况，细化量化，可衡量。</w:t>
      </w:r>
      <w:r>
        <w:rPr>
          <w:rFonts w:hint="eastAsia" w:ascii="仿宋" w:hAnsi="仿宋" w:eastAsia="仿宋" w:cs="仿宋"/>
          <w:color w:val="000000"/>
          <w:kern w:val="0"/>
          <w:sz w:val="32"/>
          <w:szCs w:val="32"/>
          <w:lang w:val="en-US" w:eastAsia="zh-CN"/>
        </w:rPr>
        <w:t>资金</w:t>
      </w:r>
      <w:r>
        <w:rPr>
          <w:rFonts w:hint="eastAsia" w:ascii="仿宋" w:hAnsi="仿宋" w:eastAsia="仿宋" w:cs="仿宋"/>
          <w:color w:val="000000"/>
          <w:kern w:val="0"/>
          <w:sz w:val="32"/>
          <w:szCs w:val="32"/>
        </w:rPr>
        <w:t>支付提供合法票据，项目成本按项目计划及时支付。</w:t>
      </w:r>
      <w:r>
        <w:rPr>
          <w:rFonts w:hint="eastAsia" w:ascii="仿宋" w:hAnsi="仿宋" w:eastAsia="仿宋" w:cs="仿宋"/>
          <w:color w:val="000000"/>
          <w:kern w:val="0"/>
          <w:sz w:val="32"/>
          <w:szCs w:val="32"/>
          <w:lang w:val="en-US" w:eastAsia="zh-CN"/>
        </w:rPr>
        <w:t>资金支付无</w:t>
      </w:r>
      <w:r>
        <w:rPr>
          <w:rFonts w:hint="eastAsia" w:ascii="仿宋" w:hAnsi="仿宋" w:eastAsia="仿宋" w:cs="仿宋"/>
          <w:color w:val="000000"/>
          <w:kern w:val="0"/>
          <w:sz w:val="32"/>
          <w:szCs w:val="32"/>
        </w:rPr>
        <w:t>截留、挤占、挪用专项资金</w:t>
      </w:r>
      <w:r>
        <w:rPr>
          <w:rFonts w:hint="eastAsia" w:ascii="仿宋" w:hAnsi="仿宋" w:eastAsia="仿宋" w:cs="仿宋"/>
          <w:color w:val="000000"/>
          <w:kern w:val="0"/>
          <w:sz w:val="32"/>
          <w:szCs w:val="32"/>
          <w:lang w:val="en-US" w:eastAsia="zh-CN"/>
        </w:rPr>
        <w:t>现象</w:t>
      </w:r>
      <w:r>
        <w:rPr>
          <w:rFonts w:hint="eastAsia" w:ascii="仿宋" w:hAnsi="仿宋" w:eastAsia="仿宋" w:cs="仿宋"/>
          <w:color w:val="00000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四、整改措施及结果应用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就业工作。一是继续做好政策宣传工作。突出分类宣传、精准宣传，提高宣传工作的精准度和有效性。二是继续做好城镇新增就业人员、下岗失业人员、高校毕业生、退役军人、就业困难人员、贫困人员等群众就业创业工作，广泛征集用工岗位，通过春风行动、民营企业招聘周、高校毕业生生招聘周等招聘活动，为用工单位、求职者搭建求职招聘舞台，畅通信息，促进县域就业工作。三是继续做好创业孵化基地监管、创业实体入驻、考核、政策落实等工作，为创业者提供更加合理，服务更加完善的创业平台。四是继续做好职业技能培训工作，扩大培训范围，合理设置培训工种，为企业培训急需的技能人才，为劳动者提供提升技能的渠道。通过技能培训更加有力地促进县域就业工作，构建更加和谐的劳动关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社保工作。一是继续落实上级社保相关减免政策，减轻企业负担，助力企业快速发展。二是继续做好社保扩面工作，根据全民参保计划，将未参加社保保险的企业及个人全部纳入参保范围，做到应参尽参。三是继续做好待遇领取人员养老金、失业人员失业保险发放工作，确保按月足额发放养老金及失业保险。四是继续做好待遇领取人员资格认证工作，严格落实每年两次待遇领取人员资格认证工作，最大程度减少冒领现象的发生，维护基金安全。五是继续做好援企稳岗工作，为符合条件的用人单位落实援企稳岗补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劳动保障工作。一是继续做好欠薪形势预警及隐患排查工作，重点打击恶意欠薪的行为，维护劳动者合法权益。二是继续做好劳动关系案件调解仲裁工作，加强对企业劳动合同鉴定的监督，保障劳资双方权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（四）人事人才工作。继续做好招才引智，吸引更多的高校毕业生、各类人才来高阳就业创业，积极配合引才政策的制定与实施，为各类人才在人事档案、职称评定等方面创造更加优越的环境。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（五）严</w:t>
      </w:r>
      <w:r>
        <w:rPr>
          <w:rFonts w:hint="eastAsia" w:ascii="仿宋" w:hAnsi="仿宋" w:eastAsia="仿宋" w:cs="仿宋"/>
          <w:sz w:val="32"/>
          <w:szCs w:val="32"/>
        </w:rPr>
        <w:t>格考核评价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严</w:t>
      </w:r>
      <w:r>
        <w:rPr>
          <w:rFonts w:hint="eastAsia" w:ascii="仿宋" w:hAnsi="仿宋" w:eastAsia="仿宋" w:cs="仿宋"/>
          <w:sz w:val="32"/>
          <w:szCs w:val="32"/>
        </w:rPr>
        <w:t>格</w:t>
      </w:r>
      <w:r>
        <w:rPr>
          <w:rFonts w:hint="eastAsia" w:ascii="仿宋" w:hAnsi="仿宋" w:eastAsia="仿宋" w:cs="仿宋"/>
          <w:sz w:val="32"/>
          <w:szCs w:val="32"/>
          <w:lang w:eastAsia="zh-CN"/>
        </w:rPr>
        <w:t>规划</w:t>
      </w:r>
      <w:r>
        <w:rPr>
          <w:rFonts w:hint="eastAsia" w:ascii="仿宋" w:hAnsi="仿宋" w:eastAsia="仿宋" w:cs="仿宋"/>
          <w:sz w:val="32"/>
          <w:szCs w:val="32"/>
        </w:rPr>
        <w:t>实施,我们将继续深入</w:t>
      </w:r>
      <w:r>
        <w:rPr>
          <w:rFonts w:hint="eastAsia" w:ascii="仿宋" w:hAnsi="仿宋" w:eastAsia="仿宋" w:cs="仿宋"/>
          <w:sz w:val="32"/>
          <w:szCs w:val="32"/>
          <w:lang w:eastAsia="zh-CN"/>
        </w:rPr>
        <w:t>开展绩效监控、自评、结果应用</w:t>
      </w:r>
      <w:r>
        <w:rPr>
          <w:rFonts w:hint="eastAsia" w:ascii="仿宋" w:hAnsi="仿宋" w:eastAsia="仿宋" w:cs="仿宋"/>
          <w:sz w:val="32"/>
          <w:szCs w:val="32"/>
        </w:rPr>
        <w:t>，</w:t>
      </w:r>
      <w:r>
        <w:rPr>
          <w:rFonts w:hint="eastAsia" w:ascii="仿宋" w:hAnsi="仿宋" w:eastAsia="仿宋" w:cs="仿宋"/>
          <w:sz w:val="32"/>
          <w:szCs w:val="32"/>
          <w:lang w:eastAsia="zh-CN"/>
        </w:rPr>
        <w:t>建立健全绩效监管制度。注重</w:t>
      </w:r>
      <w:r>
        <w:rPr>
          <w:rFonts w:hint="eastAsia" w:ascii="仿宋" w:hAnsi="仿宋" w:eastAsia="仿宋" w:cs="仿宋"/>
          <w:sz w:val="32"/>
          <w:szCs w:val="32"/>
          <w:lang w:val="en-US" w:eastAsia="zh-CN"/>
        </w:rPr>
        <w:t>筛查绩效运行监管工作发现问题的项目，加大监督、检查、整改力度，为今后更好的完成绩效目标打好坚实基础</w:t>
      </w:r>
      <w:r>
        <w:rPr>
          <w:rFonts w:hint="eastAsia" w:ascii="仿宋" w:hAnsi="仿宋" w:eastAsia="仿宋" w:cs="仿宋"/>
          <w:sz w:val="32"/>
          <w:szCs w:val="32"/>
        </w:rPr>
        <w:t>。</w:t>
      </w:r>
    </w:p>
    <w:p>
      <w:pPr>
        <w:jc w:val="right"/>
        <w:rPr>
          <w:rFonts w:hint="eastAsia" w:ascii="仿宋" w:hAnsi="仿宋" w:eastAsia="仿宋" w:cs="仿宋"/>
          <w:sz w:val="32"/>
          <w:szCs w:val="32"/>
          <w:lang w:val="en-US" w:eastAsia="zh-CN"/>
        </w:rPr>
      </w:pPr>
    </w:p>
    <w:p>
      <w:pPr>
        <w:jc w:val="right"/>
        <w:rPr>
          <w:rFonts w:hint="eastAsia" w:ascii="仿宋" w:hAnsi="仿宋" w:eastAsia="仿宋" w:cs="仿宋"/>
          <w:sz w:val="32"/>
          <w:szCs w:val="32"/>
          <w:lang w:val="en-US" w:eastAsia="zh-CN"/>
        </w:rPr>
      </w:pPr>
    </w:p>
    <w:p>
      <w:pPr>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2023年3月15日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kwYjU2Mzk1MmQzNmNmMDYzODVhZjQ4MzM4ZTgifQ=="/>
  </w:docVars>
  <w:rsids>
    <w:rsidRoot w:val="00000000"/>
    <w:rsid w:val="005E737C"/>
    <w:rsid w:val="03157416"/>
    <w:rsid w:val="0813248B"/>
    <w:rsid w:val="08B66B9B"/>
    <w:rsid w:val="0B733718"/>
    <w:rsid w:val="0D481A5E"/>
    <w:rsid w:val="0EF02496"/>
    <w:rsid w:val="0F2F5900"/>
    <w:rsid w:val="100C57E1"/>
    <w:rsid w:val="148F77E4"/>
    <w:rsid w:val="17B84D8C"/>
    <w:rsid w:val="1ABA0FE0"/>
    <w:rsid w:val="1DC664AC"/>
    <w:rsid w:val="1FF47A4B"/>
    <w:rsid w:val="209336ED"/>
    <w:rsid w:val="21241ECF"/>
    <w:rsid w:val="21DA0DAA"/>
    <w:rsid w:val="26CC5EBA"/>
    <w:rsid w:val="2BC57722"/>
    <w:rsid w:val="2D483E87"/>
    <w:rsid w:val="2D855015"/>
    <w:rsid w:val="30937DBD"/>
    <w:rsid w:val="3BDD4874"/>
    <w:rsid w:val="3CB914B2"/>
    <w:rsid w:val="3EC534C3"/>
    <w:rsid w:val="3F0F3D1E"/>
    <w:rsid w:val="3F153047"/>
    <w:rsid w:val="3F982986"/>
    <w:rsid w:val="41B06C1D"/>
    <w:rsid w:val="431E7646"/>
    <w:rsid w:val="434370AD"/>
    <w:rsid w:val="43B34134"/>
    <w:rsid w:val="47767A51"/>
    <w:rsid w:val="4DB56DF9"/>
    <w:rsid w:val="501612F5"/>
    <w:rsid w:val="539C30EC"/>
    <w:rsid w:val="54990C67"/>
    <w:rsid w:val="5A593875"/>
    <w:rsid w:val="5B3A5534"/>
    <w:rsid w:val="5BD51342"/>
    <w:rsid w:val="60C2665D"/>
    <w:rsid w:val="61C5129F"/>
    <w:rsid w:val="61F41846"/>
    <w:rsid w:val="69064857"/>
    <w:rsid w:val="6B8E1B7D"/>
    <w:rsid w:val="6BD7311B"/>
    <w:rsid w:val="6C29298E"/>
    <w:rsid w:val="7024526B"/>
    <w:rsid w:val="78CE1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Title"/>
    <w:basedOn w:val="1"/>
    <w:next w:val="1"/>
    <w:qFormat/>
    <w:uiPriority w:val="99"/>
    <w:pPr>
      <w:jc w:val="center"/>
      <w:outlineLvl w:val="0"/>
    </w:pPr>
    <w:rPr>
      <w:rFonts w:ascii="Cambria" w:hAnsi="Cambria" w:cs="Cambria"/>
      <w:b/>
      <w:bCs/>
      <w:sz w:val="32"/>
      <w:szCs w:val="32"/>
    </w:rPr>
  </w:style>
  <w:style w:type="paragraph" w:customStyle="1" w:styleId="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4141</Words>
  <Characters>4635</Characters>
  <Lines>0</Lines>
  <Paragraphs>0</Paragraphs>
  <TotalTime>45</TotalTime>
  <ScaleCrop>false</ScaleCrop>
  <LinksUpToDate>false</LinksUpToDate>
  <CharactersWithSpaces>4650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2021-11-12T07:30:00Z</dcterms:created>
  <dc:creator>Administrator</dc:creator>
  <cp:lastModifiedBy>子书</cp:lastModifiedBy>
  <cp:lastPrinted>2023-11-15T06:20:00Z</cp:lastPrinted>
  <dcterms:modified xsi:type="dcterms:W3CDTF">2023-11-17T12:30:50Z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729AAD50EAC045B3ACF271FF0EB3C620_13</vt:lpwstr>
  </property>
</Properties>
</file>