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一、高阳县污水处理费征缴办公室收支预算</w:t>
      </w:r>
      <w:r>
        <w:tab/>
      </w:r>
      <w:r>
        <w:fldChar w:fldCharType="begin"/>
      </w:r>
      <w:r>
        <w:instrText xml:space="preserve">PAGEREF _Toc_4_4_0000000001 \h</w:instrText>
      </w:r>
      <w:r>
        <w:fldChar w:fldCharType="separate"/>
      </w:r>
      <w:r>
        <w:t>1</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一、高阳县污水处理费征缴办公室收支预算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169.91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169.91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169.91</w:t>
            </w:r>
          </w:p>
        </w:tc>
        <w:tc>
          <w:tcPr>
            <w:tcW w:w="4535" w:type="dxa"/>
            <w:vAlign w:val="center"/>
          </w:tcPr>
          <w:p>
            <w:pPr>
              <w:pStyle w:val="16"/>
            </w:pPr>
            <w:r>
              <w:t>本年支出合计</w:t>
            </w:r>
          </w:p>
        </w:tc>
        <w:tc>
          <w:tcPr>
            <w:tcW w:w="2126" w:type="dxa"/>
            <w:vAlign w:val="center"/>
          </w:tcPr>
          <w:p>
            <w:pPr>
              <w:pStyle w:val="17"/>
            </w:pPr>
            <w:r>
              <w:t>169.91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169.91</w:t>
            </w:r>
          </w:p>
        </w:tc>
        <w:tc>
          <w:tcPr>
            <w:tcW w:w="4535" w:type="dxa"/>
            <w:vAlign w:val="center"/>
          </w:tcPr>
          <w:p>
            <w:pPr>
              <w:pStyle w:val="16"/>
            </w:pPr>
            <w:r>
              <w:t>支出总计</w:t>
            </w:r>
          </w:p>
        </w:tc>
        <w:tc>
          <w:tcPr>
            <w:tcW w:w="2126" w:type="dxa"/>
            <w:vAlign w:val="center"/>
          </w:tcPr>
          <w:p>
            <w:pPr>
              <w:pStyle w:val="17"/>
            </w:pPr>
            <w:r>
              <w:t>169.91</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169.91</w:t>
            </w:r>
          </w:p>
        </w:tc>
        <w:tc>
          <w:tcPr>
            <w:tcW w:w="1134" w:type="dxa"/>
            <w:vAlign w:val="center"/>
          </w:tcPr>
          <w:p>
            <w:pPr>
              <w:pStyle w:val="17"/>
            </w:pPr>
            <w:r>
              <w:t>169.91</w:t>
            </w:r>
          </w:p>
        </w:tc>
        <w:tc>
          <w:tcPr>
            <w:tcW w:w="1134" w:type="dxa"/>
            <w:vAlign w:val="center"/>
          </w:tcPr>
          <w:p>
            <w:pPr>
              <w:pStyle w:val="17"/>
            </w:pPr>
            <w:r>
              <w:t>169.91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r>
              <w:t>169.91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169.91</w:t>
            </w:r>
          </w:p>
        </w:tc>
        <w:tc>
          <w:tcPr>
            <w:tcW w:w="1361" w:type="dxa"/>
            <w:vAlign w:val="center"/>
          </w:tcPr>
          <w:p>
            <w:pPr>
              <w:pStyle w:val="17"/>
            </w:pPr>
            <w:r>
              <w:t>147.91</w:t>
            </w:r>
          </w:p>
        </w:tc>
        <w:tc>
          <w:tcPr>
            <w:tcW w:w="1361" w:type="dxa"/>
            <w:vAlign w:val="center"/>
          </w:tcPr>
          <w:p>
            <w:pPr>
              <w:pStyle w:val="17"/>
            </w:pPr>
            <w:r>
              <w:t>22.00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169.91</w:t>
            </w:r>
          </w:p>
        </w:tc>
        <w:tc>
          <w:tcPr>
            <w:tcW w:w="1361" w:type="dxa"/>
            <w:vAlign w:val="center"/>
          </w:tcPr>
          <w:p>
            <w:pPr>
              <w:pStyle w:val="13"/>
            </w:pPr>
            <w:r>
              <w:t>147.91</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169.91</w:t>
            </w:r>
          </w:p>
        </w:tc>
        <w:tc>
          <w:tcPr>
            <w:tcW w:w="1361" w:type="dxa"/>
            <w:vAlign w:val="center"/>
          </w:tcPr>
          <w:p>
            <w:pPr>
              <w:pStyle w:val="13"/>
            </w:pPr>
            <w:r>
              <w:t>147.91</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169.91</w:t>
            </w:r>
          </w:p>
        </w:tc>
        <w:tc>
          <w:tcPr>
            <w:tcW w:w="1361" w:type="dxa"/>
            <w:vAlign w:val="center"/>
          </w:tcPr>
          <w:p>
            <w:pPr>
              <w:pStyle w:val="13"/>
            </w:pPr>
            <w:r>
              <w:t>147.91</w:t>
            </w:r>
          </w:p>
        </w:tc>
        <w:tc>
          <w:tcPr>
            <w:tcW w:w="1361" w:type="dxa"/>
            <w:vAlign w:val="center"/>
          </w:tcPr>
          <w:p>
            <w:pPr>
              <w:pStyle w:val="13"/>
            </w:pPr>
            <w:r>
              <w:t>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169.91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169.91</w:t>
            </w:r>
          </w:p>
        </w:tc>
        <w:tc>
          <w:tcPr>
            <w:tcW w:w="1474" w:type="dxa"/>
            <w:vAlign w:val="center"/>
          </w:tcPr>
          <w:p>
            <w:pPr>
              <w:pStyle w:val="13"/>
            </w:pPr>
            <w:r>
              <w:t>169.91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169.91</w:t>
            </w:r>
          </w:p>
        </w:tc>
        <w:tc>
          <w:tcPr>
            <w:tcW w:w="3402" w:type="dxa"/>
            <w:vAlign w:val="center"/>
          </w:tcPr>
          <w:p>
            <w:pPr>
              <w:pStyle w:val="16"/>
            </w:pPr>
            <w:r>
              <w:t>本年支出合计</w:t>
            </w:r>
          </w:p>
        </w:tc>
        <w:tc>
          <w:tcPr>
            <w:tcW w:w="1474" w:type="dxa"/>
            <w:vAlign w:val="center"/>
          </w:tcPr>
          <w:p>
            <w:pPr>
              <w:pStyle w:val="17"/>
            </w:pPr>
            <w:r>
              <w:t>169.91</w:t>
            </w:r>
          </w:p>
        </w:tc>
        <w:tc>
          <w:tcPr>
            <w:tcW w:w="1474" w:type="dxa"/>
            <w:vAlign w:val="center"/>
          </w:tcPr>
          <w:p>
            <w:pPr>
              <w:pStyle w:val="17"/>
            </w:pPr>
            <w:r>
              <w:t>169.91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169.91</w:t>
            </w:r>
          </w:p>
        </w:tc>
        <w:tc>
          <w:tcPr>
            <w:tcW w:w="3402" w:type="dxa"/>
            <w:vAlign w:val="center"/>
          </w:tcPr>
          <w:p>
            <w:pPr>
              <w:pStyle w:val="16"/>
            </w:pPr>
            <w:r>
              <w:t>支出总计</w:t>
            </w:r>
          </w:p>
        </w:tc>
        <w:tc>
          <w:tcPr>
            <w:tcW w:w="1474" w:type="dxa"/>
            <w:vAlign w:val="center"/>
          </w:tcPr>
          <w:p>
            <w:pPr>
              <w:pStyle w:val="17"/>
            </w:pPr>
            <w:r>
              <w:t>169.91</w:t>
            </w:r>
          </w:p>
        </w:tc>
        <w:tc>
          <w:tcPr>
            <w:tcW w:w="1474" w:type="dxa"/>
            <w:vAlign w:val="center"/>
          </w:tcPr>
          <w:p>
            <w:pPr>
              <w:pStyle w:val="17"/>
            </w:pPr>
            <w:r>
              <w:t>169.91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169.91</w:t>
            </w:r>
          </w:p>
        </w:tc>
        <w:tc>
          <w:tcPr>
            <w:tcW w:w="2551" w:type="dxa"/>
            <w:vAlign w:val="center"/>
          </w:tcPr>
          <w:p>
            <w:pPr>
              <w:pStyle w:val="17"/>
            </w:pPr>
            <w:r>
              <w:t>147.91</w:t>
            </w:r>
          </w:p>
        </w:tc>
        <w:tc>
          <w:tcPr>
            <w:tcW w:w="2551" w:type="dxa"/>
            <w:vAlign w:val="center"/>
          </w:tcPr>
          <w:p>
            <w:pPr>
              <w:pStyle w:val="17"/>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169.91</w:t>
            </w:r>
          </w:p>
        </w:tc>
        <w:tc>
          <w:tcPr>
            <w:tcW w:w="2551" w:type="dxa"/>
            <w:vAlign w:val="center"/>
          </w:tcPr>
          <w:p>
            <w:pPr>
              <w:pStyle w:val="13"/>
            </w:pPr>
            <w:r>
              <w:t>147.91</w:t>
            </w: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169.91</w:t>
            </w:r>
          </w:p>
        </w:tc>
        <w:tc>
          <w:tcPr>
            <w:tcW w:w="2551" w:type="dxa"/>
            <w:vAlign w:val="center"/>
          </w:tcPr>
          <w:p>
            <w:pPr>
              <w:pStyle w:val="13"/>
            </w:pPr>
            <w:r>
              <w:t>147.91</w:t>
            </w: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169.91</w:t>
            </w:r>
          </w:p>
        </w:tc>
        <w:tc>
          <w:tcPr>
            <w:tcW w:w="2551" w:type="dxa"/>
            <w:vAlign w:val="center"/>
          </w:tcPr>
          <w:p>
            <w:pPr>
              <w:pStyle w:val="13"/>
            </w:pPr>
            <w:r>
              <w:t>147.91</w:t>
            </w:r>
          </w:p>
        </w:tc>
        <w:tc>
          <w:tcPr>
            <w:tcW w:w="2551" w:type="dxa"/>
            <w:vAlign w:val="center"/>
          </w:tcPr>
          <w:p>
            <w:pPr>
              <w:pStyle w:val="13"/>
            </w:pPr>
            <w:r>
              <w:t>22.00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147.91</w:t>
            </w:r>
          </w:p>
        </w:tc>
        <w:tc>
          <w:tcPr>
            <w:tcW w:w="2551" w:type="dxa"/>
            <w:vAlign w:val="center"/>
          </w:tcPr>
          <w:p>
            <w:pPr>
              <w:pStyle w:val="17"/>
            </w:pPr>
            <w:r>
              <w:t>135.48</w:t>
            </w:r>
          </w:p>
        </w:tc>
        <w:tc>
          <w:tcPr>
            <w:tcW w:w="2551" w:type="dxa"/>
            <w:vAlign w:val="center"/>
          </w:tcPr>
          <w:p>
            <w:pPr>
              <w:pStyle w:val="17"/>
            </w:pPr>
            <w:r>
              <w:t>12.43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135.48</w:t>
            </w:r>
          </w:p>
        </w:tc>
        <w:tc>
          <w:tcPr>
            <w:tcW w:w="2551" w:type="dxa"/>
            <w:vAlign w:val="center"/>
          </w:tcPr>
          <w:p>
            <w:pPr>
              <w:pStyle w:val="13"/>
            </w:pPr>
            <w:r>
              <w:t>135.48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135.48</w:t>
            </w:r>
          </w:p>
        </w:tc>
        <w:tc>
          <w:tcPr>
            <w:tcW w:w="2551" w:type="dxa"/>
            <w:vAlign w:val="center"/>
          </w:tcPr>
          <w:p>
            <w:pPr>
              <w:pStyle w:val="13"/>
            </w:pPr>
            <w:r>
              <w:t>135.48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12.43</w:t>
            </w:r>
          </w:p>
        </w:tc>
        <w:tc>
          <w:tcPr>
            <w:tcW w:w="2551" w:type="dxa"/>
            <w:vAlign w:val="center"/>
          </w:tcPr>
          <w:p>
            <w:pPr>
              <w:pStyle w:val="13"/>
            </w:pPr>
          </w:p>
        </w:tc>
        <w:tc>
          <w:tcPr>
            <w:tcW w:w="2551" w:type="dxa"/>
            <w:vAlign w:val="center"/>
          </w:tcPr>
          <w:p>
            <w:pPr>
              <w:pStyle w:val="13"/>
            </w:pPr>
            <w:r>
              <w:t>12.43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2.80</w:t>
            </w:r>
          </w:p>
        </w:tc>
        <w:tc>
          <w:tcPr>
            <w:tcW w:w="2551" w:type="dxa"/>
            <w:vAlign w:val="center"/>
          </w:tcPr>
          <w:p>
            <w:pPr>
              <w:pStyle w:val="13"/>
            </w:pPr>
          </w:p>
        </w:tc>
        <w:tc>
          <w:tcPr>
            <w:tcW w:w="2551"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0.92</w:t>
            </w:r>
          </w:p>
        </w:tc>
        <w:tc>
          <w:tcPr>
            <w:tcW w:w="2551" w:type="dxa"/>
            <w:vAlign w:val="center"/>
          </w:tcPr>
          <w:p>
            <w:pPr>
              <w:pStyle w:val="13"/>
            </w:pPr>
          </w:p>
        </w:tc>
        <w:tc>
          <w:tcPr>
            <w:tcW w:w="2551" w:type="dxa"/>
            <w:vAlign w:val="center"/>
          </w:tcPr>
          <w:p>
            <w:pPr>
              <w:pStyle w:val="13"/>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3.33</w:t>
            </w:r>
          </w:p>
        </w:tc>
        <w:tc>
          <w:tcPr>
            <w:tcW w:w="2551" w:type="dxa"/>
            <w:vAlign w:val="center"/>
          </w:tcPr>
          <w:p>
            <w:pPr>
              <w:pStyle w:val="13"/>
            </w:pPr>
          </w:p>
        </w:tc>
        <w:tc>
          <w:tcPr>
            <w:tcW w:w="2551" w:type="dxa"/>
            <w:vAlign w:val="center"/>
          </w:tcPr>
          <w:p>
            <w:pPr>
              <w:pStyle w:val="13"/>
            </w:pPr>
            <w: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4.36</w:t>
            </w:r>
          </w:p>
        </w:tc>
        <w:tc>
          <w:tcPr>
            <w:tcW w:w="2551" w:type="dxa"/>
            <w:vAlign w:val="center"/>
          </w:tcPr>
          <w:p>
            <w:pPr>
              <w:pStyle w:val="13"/>
            </w:pPr>
          </w:p>
        </w:tc>
        <w:tc>
          <w:tcPr>
            <w:tcW w:w="2551" w:type="dxa"/>
            <w:vAlign w:val="center"/>
          </w:tcPr>
          <w:p>
            <w:pPr>
              <w:pStyle w:val="13"/>
            </w:pPr>
            <w:r>
              <w:t>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0.70</w:t>
            </w:r>
          </w:p>
        </w:tc>
        <w:tc>
          <w:tcPr>
            <w:tcW w:w="2551" w:type="dxa"/>
            <w:vAlign w:val="center"/>
          </w:tcPr>
          <w:p>
            <w:pPr>
              <w:pStyle w:val="13"/>
            </w:pPr>
          </w:p>
        </w:tc>
        <w:tc>
          <w:tcPr>
            <w:tcW w:w="2551"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0.12</w:t>
            </w:r>
          </w:p>
        </w:tc>
        <w:tc>
          <w:tcPr>
            <w:tcW w:w="2551" w:type="dxa"/>
            <w:vAlign w:val="center"/>
          </w:tcPr>
          <w:p>
            <w:pPr>
              <w:pStyle w:val="13"/>
            </w:pPr>
          </w:p>
        </w:tc>
        <w:tc>
          <w:tcPr>
            <w:tcW w:w="2551" w:type="dxa"/>
            <w:vAlign w:val="center"/>
          </w:tcPr>
          <w:p>
            <w:pPr>
              <w:pStyle w:val="13"/>
            </w:pPr>
            <w:r>
              <w:t>0.12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高阳县污水处理费征缴办公室2024年单位预算信息公开情况说明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按照《中华人民共和国预算法》、《地方预决算公开操作规程》和《关于进一步推进预算公开工作的实施意见》规定，现将高阳县污水处理费征缴办公室2024年单位预算公开如下：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1、宣传贯彻上级及县委、县政府关于污水处理费收取的各项政策规定。</w:t>
      </w:r>
    </w:p>
    <w:p>
      <w:pPr>
        <w:pStyle w:val="19"/>
      </w:pPr>
      <w:r>
        <w:t>2、负责全县所有排污企业及涉水重点单位污水处理费的计量、核算、征缴。</w:t>
      </w:r>
    </w:p>
    <w:p>
      <w:pPr>
        <w:pStyle w:val="19"/>
      </w:pPr>
      <w:r>
        <w:t>3、负责涉水单位计量设施的安装、运行和维护。</w:t>
      </w:r>
    </w:p>
    <w:p>
      <w:pPr>
        <w:pStyle w:val="19"/>
      </w:pPr>
      <w:r>
        <w:t>4、负责对水利局和自来水公司涉水收费计量工作实施技术指导，并根据其职责，核定下达污水处理费征收任务，并监督其按期完成任务。</w:t>
      </w:r>
    </w:p>
    <w:p>
      <w:pPr>
        <w:pStyle w:val="19"/>
      </w:pPr>
      <w:r>
        <w:t>5、协助相关部门加强污水处理厂监管，确保其稳定运行。</w:t>
      </w:r>
    </w:p>
    <w:p>
      <w:pPr>
        <w:pStyle w:val="19"/>
      </w:pPr>
      <w:r>
        <w:t>6、调查处理管辖范围内所有涉水单位违法违规行为。</w:t>
      </w:r>
    </w:p>
    <w:p>
      <w:pPr>
        <w:pStyle w:val="19"/>
      </w:pPr>
      <w:r>
        <w:t>7、协助相关单位做好涉水企业的服务工作。</w:t>
      </w:r>
    </w:p>
    <w:p>
      <w:pPr>
        <w:pStyle w:val="19"/>
      </w:pPr>
      <w:r>
        <w:t>8、完成县委、县政府交办的其他事项。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高阳县污水处理费征缴办公室</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2024年预算收入169.91万元，其中：一般公共预算收入169.91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污水处理费征缴办公室年度单位预算中支出预算的总体情况。2024年支出预算169.91万元，其中基本支出147.91万元，包括人员经费135.48万元和日常公用经费12.43万元；项目支出22.00万元，主要为污水处理费征缴工作经费-劳务派遣13.5万元，用于负责全县污水处理费的征收管理工作；污水处理费征缴工作经费8.5万元，根据工作需要用于租赁车辆费用。</w:t>
      </w:r>
    </w:p>
    <w:p>
      <w:pPr>
        <w:pStyle w:val="20"/>
      </w:pPr>
      <w:r>
        <w:t>3、比上年增减情况</w:t>
      </w:r>
    </w:p>
    <w:p>
      <w:pPr>
        <w:pStyle w:val="20"/>
      </w:pPr>
      <w:r>
        <w:t>2024年预算收支安排169.91万元，较2023年预算增加1.08万元，其中：基本支出增加2.08万元，主要为人员经费支出增加2.07万元。项目支出减少1.00万元，主要为污水处理费征缴工作经费-劳务派遣支出减少1.00万元。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2024年，我单位机关运行经费共计安排12.43万元，主要用于日常维修、办公用房水电费、办公用房取暖费、办公用房物业管理费等日常运行支出。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按照关于厉行节约、改进工作作风、密切联系群众等有关要求及编制标准，严格控制“三公”经费支出，推进“三公”经费管理规范化、制度化、节约化，“三公”经费逐年递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1、污水处理费征缴工作经费绩效目标表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13062824P00001410005E</w:t>
            </w:r>
          </w:p>
        </w:tc>
        <w:tc>
          <w:tcPr>
            <w:tcW w:w="2835" w:type="dxa"/>
            <w:vAlign w:val="center"/>
          </w:tcPr>
          <w:p>
            <w:pPr>
              <w:pStyle w:val="12"/>
            </w:pPr>
            <w:r>
              <w:t>项目名称</w:t>
            </w:r>
          </w:p>
        </w:tc>
        <w:tc>
          <w:tcPr>
            <w:tcW w:w="6094" w:type="dxa"/>
            <w:gridSpan w:val="3"/>
            <w:vAlign w:val="center"/>
          </w:tcPr>
          <w:p>
            <w:pPr>
              <w:pStyle w:val="14"/>
            </w:pPr>
            <w:r>
              <w:t>污水处理费征缴工作经费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8.50</w:t>
            </w:r>
          </w:p>
        </w:tc>
        <w:tc>
          <w:tcPr>
            <w:tcW w:w="2835" w:type="dxa"/>
            <w:vAlign w:val="center"/>
          </w:tcPr>
          <w:p>
            <w:pPr>
              <w:pStyle w:val="12"/>
            </w:pPr>
            <w:r>
              <w:t>其中：财政    资金</w:t>
            </w:r>
          </w:p>
        </w:tc>
        <w:tc>
          <w:tcPr>
            <w:tcW w:w="2551" w:type="dxa"/>
            <w:vAlign w:val="center"/>
          </w:tcPr>
          <w:p>
            <w:pPr>
              <w:pStyle w:val="14"/>
            </w:pPr>
            <w:r>
              <w:t>8.50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租赁车辆费用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bookmarkStart w:id="1" w:name="_GoBack"/>
            <w:bookmarkEnd w:id="1"/>
            <w:r>
              <w:t>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5386" w:type="dxa"/>
            <w:vAlign w:val="center"/>
          </w:tcPr>
          <w:p>
            <w:pPr>
              <w:pStyle w:val="14"/>
            </w:pPr>
            <w:r>
              <w:t>车辆租赁个数</w:t>
            </w:r>
          </w:p>
        </w:tc>
        <w:tc>
          <w:tcPr>
            <w:tcW w:w="2268" w:type="dxa"/>
            <w:vAlign w:val="center"/>
          </w:tcPr>
          <w:p>
            <w:pPr>
              <w:pStyle w:val="14"/>
            </w:pPr>
            <w:r>
              <w:t>≤4辆</w:t>
            </w:r>
          </w:p>
        </w:tc>
        <w:tc>
          <w:tcPr>
            <w:tcW w:w="1276"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准确率</w:t>
            </w:r>
          </w:p>
        </w:tc>
        <w:tc>
          <w:tcPr>
            <w:tcW w:w="5386" w:type="dxa"/>
            <w:vAlign w:val="center"/>
          </w:tcPr>
          <w:p>
            <w:pPr>
              <w:pStyle w:val="14"/>
            </w:pPr>
            <w:r>
              <w:t>资金拨付准确率</w:t>
            </w:r>
          </w:p>
        </w:tc>
        <w:tc>
          <w:tcPr>
            <w:tcW w:w="2268" w:type="dxa"/>
            <w:vAlign w:val="center"/>
          </w:tcPr>
          <w:p>
            <w:pPr>
              <w:pStyle w:val="14"/>
            </w:pPr>
            <w:r>
              <w:t>100%</w:t>
            </w:r>
          </w:p>
        </w:tc>
        <w:tc>
          <w:tcPr>
            <w:tcW w:w="1276"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执行率</w:t>
            </w:r>
          </w:p>
        </w:tc>
        <w:tc>
          <w:tcPr>
            <w:tcW w:w="5386" w:type="dxa"/>
            <w:vAlign w:val="center"/>
          </w:tcPr>
          <w:p>
            <w:pPr>
              <w:pStyle w:val="14"/>
            </w:pPr>
            <w:r>
              <w:t>资金执行率</w:t>
            </w:r>
          </w:p>
        </w:tc>
        <w:tc>
          <w:tcPr>
            <w:tcW w:w="2268" w:type="dxa"/>
            <w:vAlign w:val="center"/>
          </w:tcPr>
          <w:p>
            <w:pPr>
              <w:pStyle w:val="14"/>
            </w:pPr>
            <w:r>
              <w:t>100%</w:t>
            </w:r>
          </w:p>
        </w:tc>
        <w:tc>
          <w:tcPr>
            <w:tcW w:w="1276"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保障年度</w:t>
            </w:r>
          </w:p>
        </w:tc>
        <w:tc>
          <w:tcPr>
            <w:tcW w:w="5386" w:type="dxa"/>
            <w:vAlign w:val="center"/>
          </w:tcPr>
          <w:p>
            <w:pPr>
              <w:pStyle w:val="14"/>
            </w:pPr>
            <w:r>
              <w:t>保障单位正常运转时间</w:t>
            </w:r>
          </w:p>
        </w:tc>
        <w:tc>
          <w:tcPr>
            <w:tcW w:w="2268" w:type="dxa"/>
            <w:vAlign w:val="center"/>
          </w:tcPr>
          <w:p>
            <w:pPr>
              <w:pStyle w:val="14"/>
            </w:pPr>
            <w:r>
              <w:t>1年</w:t>
            </w:r>
          </w:p>
        </w:tc>
        <w:tc>
          <w:tcPr>
            <w:tcW w:w="1276" w:type="dxa"/>
            <w:vAlign w:val="center"/>
          </w:tcPr>
          <w:p>
            <w:pPr>
              <w:pStyle w:val="14"/>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满意度占比</w:t>
            </w:r>
          </w:p>
        </w:tc>
        <w:tc>
          <w:tcPr>
            <w:tcW w:w="2268" w:type="dxa"/>
            <w:vAlign w:val="center"/>
          </w:tcPr>
          <w:p>
            <w:pPr>
              <w:pStyle w:val="14"/>
            </w:pPr>
            <w:r>
              <w:t>100%</w:t>
            </w:r>
          </w:p>
        </w:tc>
        <w:tc>
          <w:tcPr>
            <w:tcW w:w="1276" w:type="dxa"/>
            <w:vAlign w:val="center"/>
          </w:tcPr>
          <w:p>
            <w:pPr>
              <w:pStyle w:val="14"/>
            </w:pPr>
            <w:r>
              <w:t>租赁合同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2、污水处理费征缴工作经费-劳务派遣绩效目标表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13062824P00001410004T</w:t>
            </w:r>
          </w:p>
        </w:tc>
        <w:tc>
          <w:tcPr>
            <w:tcW w:w="2835" w:type="dxa"/>
            <w:vAlign w:val="center"/>
          </w:tcPr>
          <w:p>
            <w:pPr>
              <w:pStyle w:val="12"/>
            </w:pPr>
            <w:r>
              <w:t>项目名称</w:t>
            </w:r>
          </w:p>
        </w:tc>
        <w:tc>
          <w:tcPr>
            <w:tcW w:w="6094" w:type="dxa"/>
            <w:gridSpan w:val="3"/>
            <w:vAlign w:val="center"/>
          </w:tcPr>
          <w:p>
            <w:pPr>
              <w:pStyle w:val="14"/>
            </w:pPr>
            <w:r>
              <w:t>污水处理费征缴工作经费-劳务派遣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13.50</w:t>
            </w:r>
          </w:p>
        </w:tc>
        <w:tc>
          <w:tcPr>
            <w:tcW w:w="2835" w:type="dxa"/>
            <w:vAlign w:val="center"/>
          </w:tcPr>
          <w:p>
            <w:pPr>
              <w:pStyle w:val="12"/>
            </w:pPr>
            <w:r>
              <w:t>其中：财政    资金</w:t>
            </w:r>
          </w:p>
        </w:tc>
        <w:tc>
          <w:tcPr>
            <w:tcW w:w="2551" w:type="dxa"/>
            <w:vAlign w:val="center"/>
          </w:tcPr>
          <w:p>
            <w:pPr>
              <w:pStyle w:val="14"/>
            </w:pPr>
            <w:r>
              <w:t>13.50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劳务费支出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发放及时性</w:t>
            </w:r>
          </w:p>
        </w:tc>
        <w:tc>
          <w:tcPr>
            <w:tcW w:w="5386" w:type="dxa"/>
            <w:vAlign w:val="center"/>
          </w:tcPr>
          <w:p>
            <w:pPr>
              <w:pStyle w:val="14"/>
            </w:pPr>
            <w:r>
              <w:t>拨付到位及时率</w:t>
            </w:r>
          </w:p>
        </w:tc>
        <w:tc>
          <w:tcPr>
            <w:tcW w:w="2268" w:type="dxa"/>
            <w:vAlign w:val="center"/>
          </w:tcPr>
          <w:p>
            <w:pPr>
              <w:pStyle w:val="14"/>
            </w:pPr>
            <w:r>
              <w:t>100%</w:t>
            </w:r>
          </w:p>
        </w:tc>
        <w:tc>
          <w:tcPr>
            <w:tcW w:w="1276"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发放准确性</w:t>
            </w:r>
          </w:p>
        </w:tc>
        <w:tc>
          <w:tcPr>
            <w:tcW w:w="5386" w:type="dxa"/>
            <w:vAlign w:val="center"/>
          </w:tcPr>
          <w:p>
            <w:pPr>
              <w:pStyle w:val="14"/>
            </w:pPr>
            <w:r>
              <w:t>拨付资金准确率</w:t>
            </w:r>
          </w:p>
        </w:tc>
        <w:tc>
          <w:tcPr>
            <w:tcW w:w="2268" w:type="dxa"/>
            <w:vAlign w:val="center"/>
          </w:tcPr>
          <w:p>
            <w:pPr>
              <w:pStyle w:val="14"/>
            </w:pPr>
            <w:r>
              <w:t>100%</w:t>
            </w:r>
          </w:p>
        </w:tc>
        <w:tc>
          <w:tcPr>
            <w:tcW w:w="1276"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发放执行率</w:t>
            </w:r>
          </w:p>
        </w:tc>
        <w:tc>
          <w:tcPr>
            <w:tcW w:w="5386" w:type="dxa"/>
            <w:vAlign w:val="center"/>
          </w:tcPr>
          <w:p>
            <w:pPr>
              <w:pStyle w:val="14"/>
            </w:pPr>
            <w:r>
              <w:t>实际拨付执行率</w:t>
            </w:r>
          </w:p>
        </w:tc>
        <w:tc>
          <w:tcPr>
            <w:tcW w:w="2268" w:type="dxa"/>
            <w:vAlign w:val="center"/>
          </w:tcPr>
          <w:p>
            <w:pPr>
              <w:pStyle w:val="14"/>
            </w:pPr>
            <w:r>
              <w:t>100%</w:t>
            </w:r>
          </w:p>
        </w:tc>
        <w:tc>
          <w:tcPr>
            <w:tcW w:w="1276"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发放覆盖率</w:t>
            </w:r>
          </w:p>
        </w:tc>
        <w:tc>
          <w:tcPr>
            <w:tcW w:w="5386" w:type="dxa"/>
            <w:vAlign w:val="center"/>
          </w:tcPr>
          <w:p>
            <w:pPr>
              <w:pStyle w:val="14"/>
            </w:pPr>
            <w:r>
              <w:t>实际拨付覆盖率</w:t>
            </w:r>
          </w:p>
        </w:tc>
        <w:tc>
          <w:tcPr>
            <w:tcW w:w="2268" w:type="dxa"/>
            <w:vAlign w:val="center"/>
          </w:tcPr>
          <w:p>
            <w:pPr>
              <w:pStyle w:val="14"/>
            </w:pPr>
            <w:r>
              <w:t>100%</w:t>
            </w:r>
          </w:p>
        </w:tc>
        <w:tc>
          <w:tcPr>
            <w:tcW w:w="1276" w:type="dxa"/>
            <w:vAlign w:val="center"/>
          </w:tcPr>
          <w:p>
            <w:pPr>
              <w:pStyle w:val="14"/>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100%</w:t>
            </w:r>
          </w:p>
        </w:tc>
        <w:tc>
          <w:tcPr>
            <w:tcW w:w="1276" w:type="dxa"/>
            <w:vAlign w:val="center"/>
          </w:tcPr>
          <w:p>
            <w:pPr>
              <w:pStyle w:val="14"/>
            </w:pPr>
            <w:r>
              <w:t>劳务费拨付情况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高阳县污水处理费征缴办公室上年末固定资产金额为223.35万元（详见下表）。本年度拟购置固定资产总额为0.00万元。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911001高阳县污水处理费征缴办公室</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rFonts w:hint="default" w:eastAsia="方正书宋_GBK"/>
                <w:lang w:val="en-US" w:eastAsia="zh-CN"/>
              </w:rPr>
            </w:pPr>
            <w:r>
              <w:rPr>
                <w:rFonts w:hint="eastAsia"/>
                <w:lang w:val="en-US" w:eastAsia="zh-CN"/>
              </w:rPr>
              <w:t>320</w:t>
            </w:r>
          </w:p>
        </w:tc>
        <w:tc>
          <w:tcPr>
            <w:tcW w:w="2835" w:type="dxa"/>
            <w:vAlign w:val="center"/>
          </w:tcPr>
          <w:p>
            <w:pPr>
              <w:pStyle w:val="13"/>
            </w:pPr>
            <w:r>
              <w:t>223.35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3</w:t>
            </w:r>
          </w:p>
        </w:tc>
        <w:tc>
          <w:tcPr>
            <w:tcW w:w="2835" w:type="dxa"/>
            <w:vAlign w:val="center"/>
          </w:tcPr>
          <w:p>
            <w:pPr>
              <w:pStyle w:val="13"/>
            </w:pPr>
            <w:r>
              <w:t>99.23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317</w:t>
            </w:r>
          </w:p>
        </w:tc>
        <w:tc>
          <w:tcPr>
            <w:tcW w:w="2835" w:type="dxa"/>
            <w:vAlign w:val="center"/>
          </w:tcPr>
          <w:p>
            <w:pPr>
              <w:pStyle w:val="13"/>
            </w:pPr>
            <w:r>
              <w:t>124.12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232951"/>
    <w:rsid w:val="4116052D"/>
    <w:rsid w:val="429A32E8"/>
    <w:rsid w:val="50C17C89"/>
    <w:rsid w:val="5FFE63DD"/>
    <w:rsid w:val="70CB1C7E"/>
    <w:rsid w:val="79681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2024-02-19T09:04:15Z</dcterms:created>
  <dcterms:modified xsi:type="dcterms:W3CDTF">2024-02-19T01:04:15Z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2024-02-19T09:04:10Z</dcterms:created>
  <dcterms:modified xsi:type="dcterms:W3CDTF">2024-02-19T01:04:10Z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2024-02-19T09:04:15Z</dcterms:created>
  <dcterms:modified xsi:type="dcterms:W3CDTF">2024-02-19T01:04:15Z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2024-02-19T09:04:14Z</dcterms:created>
  <dcterms:modified xsi:type="dcterms:W3CDTF">2024-02-19T01:04:14Z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2024-02-19T09:04:14Z</dcterms:created>
  <dcterms:modified xsi:type="dcterms:W3CDTF">2024-02-19T01:04:13Z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c5f466d-6106-42df-bd69-377c8ac3eee0}">
  <ds:schemaRefs/>
</ds:datastoreItem>
</file>

<file path=customXml/itemProps10.xml><?xml version="1.0" encoding="utf-8"?>
<ds:datastoreItem xmlns:ds="http://schemas.openxmlformats.org/officeDocument/2006/customXml" ds:itemID="{fb9f655a-e2bf-482d-a479-8201f525b5fd}">
  <ds:schemaRefs/>
</ds:datastoreItem>
</file>

<file path=customXml/itemProps2.xml><?xml version="1.0" encoding="utf-8"?>
<ds:datastoreItem xmlns:ds="http://schemas.openxmlformats.org/officeDocument/2006/customXml" ds:itemID="{dbf65907-7442-449d-bb89-c0b1d80e8560}">
  <ds:schemaRefs/>
</ds:datastoreItem>
</file>

<file path=customXml/itemProps3.xml><?xml version="1.0" encoding="utf-8"?>
<ds:datastoreItem xmlns:ds="http://schemas.openxmlformats.org/officeDocument/2006/customXml" ds:itemID="{0bcd78b9-a804-4007-9566-3be9a9098ae0}">
  <ds:schemaRefs/>
</ds:datastoreItem>
</file>

<file path=customXml/itemProps4.xml><?xml version="1.0" encoding="utf-8"?>
<ds:datastoreItem xmlns:ds="http://schemas.openxmlformats.org/officeDocument/2006/customXml" ds:itemID="{634668b5-290c-4110-baf1-a1de93216349}">
  <ds:schemaRefs/>
</ds:datastoreItem>
</file>

<file path=customXml/itemProps5.xml><?xml version="1.0" encoding="utf-8"?>
<ds:datastoreItem xmlns:ds="http://schemas.openxmlformats.org/officeDocument/2006/customXml" ds:itemID="{10841ec2-0e8d-49cd-82e3-f85973e3d243}">
  <ds:schemaRefs/>
</ds:datastoreItem>
</file>

<file path=customXml/itemProps6.xml><?xml version="1.0" encoding="utf-8"?>
<ds:datastoreItem xmlns:ds="http://schemas.openxmlformats.org/officeDocument/2006/customXml" ds:itemID="{e08800f6-c285-40a3-9b3a-9e76d766eab7}">
  <ds:schemaRefs/>
</ds:datastoreItem>
</file>

<file path=customXml/itemProps7.xml><?xml version="1.0" encoding="utf-8"?>
<ds:datastoreItem xmlns:ds="http://schemas.openxmlformats.org/officeDocument/2006/customXml" ds:itemID="{0ab20e0d-629d-461c-9c27-eaab342b1a65}">
  <ds:schemaRefs/>
</ds:datastoreItem>
</file>

<file path=customXml/itemProps8.xml><?xml version="1.0" encoding="utf-8"?>
<ds:datastoreItem xmlns:ds="http://schemas.openxmlformats.org/officeDocument/2006/customXml" ds:itemID="{2dfd1a33-cd61-4582-ae57-78ba8de56be6}">
  <ds:schemaRefs/>
</ds:datastoreItem>
</file>

<file path=customXml/itemProps9.xml><?xml version="1.0" encoding="utf-8"?>
<ds:datastoreItem xmlns:ds="http://schemas.openxmlformats.org/officeDocument/2006/customXml" ds:itemID="{c8981d91-fd3a-4ffe-9076-1b2cbf0ab1df}">
  <ds:schemaRefs/>
</ds:datastoreItem>
</file>

<file path=docProps/app.xml><?xml version="1.0" encoding="utf-8"?>
<Properties xmlns="http://schemas.openxmlformats.org/officeDocument/2006/extended-properties" xmlns:vt="http://schemas.openxmlformats.org/officeDocument/2006/docPropsVTypes">
  <Pages>25</Pages>
  <Words>5043</Words>
  <Characters>5854</Characters>
  <TotalTime>5</TotalTime>
  <ScaleCrop>false</ScaleCrop>
  <LinksUpToDate>false</LinksUpToDate>
  <CharactersWithSpaces>5969</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2024-02-19T09:04:00Z</dcterms:created>
  <dc:creator>Administrator</dc:creator>
  <cp:lastModifiedBy>Administrator</cp:lastModifiedBy>
  <dcterms:modified xsi:type="dcterms:W3CDTF">2024-03-08T00:57:03Z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D5D72526E4E14FE6BDE04654A87801D5</vt:lpwstr>
  </property>
</Properties>
</file>