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一、高阳县信访局收支预算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一、高阳县信访局收支预算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204001高阳县信访局</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231.49</w:t>
            </w:r>
          </w:p>
        </w:tc>
        <w:tc>
          <w:tcPr>
            <w:tcW w:w="4535" w:type="dxa"/>
            <w:vAlign w:val="center"/>
          </w:tcPr>
          <w:p>
            <w:pPr>
              <w:pStyle w:val="12"/>
            </w:pPr>
            <w:r>
              <w:t>一、一般公共服务支出</w:t>
            </w:r>
          </w:p>
        </w:tc>
        <w:tc>
          <w:tcPr>
            <w:tcW w:w="2126" w:type="dxa"/>
            <w:vAlign w:val="center"/>
          </w:tcPr>
          <w:p>
            <w:pPr>
              <w:pStyle w:val="11"/>
            </w:pPr>
            <w:r>
              <w:t>210.41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231.49</w:t>
            </w:r>
          </w:p>
        </w:tc>
        <w:tc>
          <w:tcPr>
            <w:tcW w:w="4535" w:type="dxa"/>
            <w:vAlign w:val="center"/>
          </w:tcPr>
          <w:p>
            <w:pPr>
              <w:pStyle w:val="14"/>
            </w:pPr>
            <w:r>
              <w:t>本年支出合计</w:t>
            </w:r>
          </w:p>
        </w:tc>
        <w:tc>
          <w:tcPr>
            <w:tcW w:w="2126" w:type="dxa"/>
            <w:vAlign w:val="center"/>
          </w:tcPr>
          <w:p>
            <w:pPr>
              <w:pStyle w:val="15"/>
            </w:pPr>
            <w:r>
              <w:t>231.49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231.49</w:t>
            </w:r>
          </w:p>
        </w:tc>
        <w:tc>
          <w:tcPr>
            <w:tcW w:w="4535" w:type="dxa"/>
            <w:vAlign w:val="center"/>
          </w:tcPr>
          <w:p>
            <w:pPr>
              <w:pStyle w:val="14"/>
            </w:pPr>
            <w:r>
              <w:t>支出总计</w:t>
            </w:r>
          </w:p>
        </w:tc>
        <w:tc>
          <w:tcPr>
            <w:tcW w:w="2126" w:type="dxa"/>
            <w:vAlign w:val="center"/>
          </w:tcPr>
          <w:p>
            <w:pPr>
              <w:pStyle w:val="15"/>
            </w:pPr>
            <w:r>
              <w:t>231.49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204001高阳县信访局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231.49</w:t>
            </w:r>
          </w:p>
        </w:tc>
        <w:tc>
          <w:tcPr>
            <w:tcW w:w="1134" w:type="dxa"/>
            <w:vAlign w:val="center"/>
          </w:tcPr>
          <w:p>
            <w:pPr>
              <w:pStyle w:val="15"/>
            </w:pPr>
            <w:r>
              <w:t>231.49</w:t>
            </w:r>
          </w:p>
        </w:tc>
        <w:tc>
          <w:tcPr>
            <w:tcW w:w="1134" w:type="dxa"/>
            <w:vAlign w:val="center"/>
          </w:tcPr>
          <w:p>
            <w:pPr>
              <w:pStyle w:val="15"/>
            </w:pPr>
            <w:r>
              <w:t>231.49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210.41</w:t>
            </w:r>
          </w:p>
        </w:tc>
        <w:tc>
          <w:tcPr>
            <w:tcW w:w="1134" w:type="dxa"/>
            <w:vAlign w:val="center"/>
          </w:tcPr>
          <w:p>
            <w:pPr>
              <w:pStyle w:val="11"/>
            </w:pPr>
            <w:r>
              <w:t>210.41</w:t>
            </w:r>
          </w:p>
        </w:tc>
        <w:tc>
          <w:tcPr>
            <w:tcW w:w="1134" w:type="dxa"/>
            <w:vAlign w:val="center"/>
          </w:tcPr>
          <w:p>
            <w:pPr>
              <w:pStyle w:val="11"/>
            </w:pPr>
            <w:r>
              <w:t>210.41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210.41</w:t>
            </w:r>
          </w:p>
        </w:tc>
        <w:tc>
          <w:tcPr>
            <w:tcW w:w="1134" w:type="dxa"/>
            <w:vAlign w:val="center"/>
          </w:tcPr>
          <w:p>
            <w:pPr>
              <w:pStyle w:val="11"/>
            </w:pPr>
            <w:r>
              <w:t>210.41</w:t>
            </w:r>
          </w:p>
        </w:tc>
        <w:tc>
          <w:tcPr>
            <w:tcW w:w="1134" w:type="dxa"/>
            <w:vAlign w:val="center"/>
          </w:tcPr>
          <w:p>
            <w:pPr>
              <w:pStyle w:val="11"/>
            </w:pPr>
            <w:r>
              <w:t>210.41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2014001</w:t>
            </w:r>
          </w:p>
        </w:tc>
        <w:tc>
          <w:tcPr>
            <w:tcW w:w="1559" w:type="dxa"/>
            <w:vAlign w:val="center"/>
          </w:tcPr>
          <w:p>
            <w:pPr>
              <w:pStyle w:val="12"/>
            </w:pPr>
            <w:r>
              <w:t>行政运行</w:t>
            </w:r>
          </w:p>
        </w:tc>
        <w:tc>
          <w:tcPr>
            <w:tcW w:w="1134" w:type="dxa"/>
            <w:vAlign w:val="center"/>
          </w:tcPr>
          <w:p>
            <w:pPr>
              <w:pStyle w:val="11"/>
            </w:pPr>
            <w:r>
              <w:t>95.41</w:t>
            </w:r>
          </w:p>
        </w:tc>
        <w:tc>
          <w:tcPr>
            <w:tcW w:w="1134" w:type="dxa"/>
            <w:vAlign w:val="center"/>
          </w:tcPr>
          <w:p>
            <w:pPr>
              <w:pStyle w:val="11"/>
            </w:pPr>
            <w:r>
              <w:t>95.41</w:t>
            </w:r>
          </w:p>
        </w:tc>
        <w:tc>
          <w:tcPr>
            <w:tcW w:w="1134" w:type="dxa"/>
            <w:vAlign w:val="center"/>
          </w:tcPr>
          <w:p>
            <w:pPr>
              <w:pStyle w:val="11"/>
            </w:pPr>
            <w:r>
              <w:t>95.41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2014099</w:t>
            </w:r>
          </w:p>
        </w:tc>
        <w:tc>
          <w:tcPr>
            <w:tcW w:w="1559" w:type="dxa"/>
            <w:vAlign w:val="center"/>
          </w:tcPr>
          <w:p>
            <w:pPr>
              <w:pStyle w:val="12"/>
            </w:pPr>
            <w:r>
              <w:t>其他信访事务支出</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r>
              <w:t>100.00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12.20</w:t>
            </w:r>
          </w:p>
        </w:tc>
        <w:tc>
          <w:tcPr>
            <w:tcW w:w="1134" w:type="dxa"/>
            <w:vAlign w:val="center"/>
          </w:tcPr>
          <w:p>
            <w:pPr>
              <w:pStyle w:val="11"/>
            </w:pPr>
            <w:r>
              <w:t>12.20</w:t>
            </w:r>
          </w:p>
        </w:tc>
        <w:tc>
          <w:tcPr>
            <w:tcW w:w="1134" w:type="dxa"/>
            <w:vAlign w:val="center"/>
          </w:tcPr>
          <w:p>
            <w:pPr>
              <w:pStyle w:val="11"/>
            </w:pPr>
            <w:r>
              <w:t>12.20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12.20</w:t>
            </w:r>
          </w:p>
        </w:tc>
        <w:tc>
          <w:tcPr>
            <w:tcW w:w="1134" w:type="dxa"/>
            <w:vAlign w:val="center"/>
          </w:tcPr>
          <w:p>
            <w:pPr>
              <w:pStyle w:val="11"/>
            </w:pPr>
            <w:r>
              <w:t>12.20</w:t>
            </w:r>
          </w:p>
        </w:tc>
        <w:tc>
          <w:tcPr>
            <w:tcW w:w="1134" w:type="dxa"/>
            <w:vAlign w:val="center"/>
          </w:tcPr>
          <w:p>
            <w:pPr>
              <w:pStyle w:val="11"/>
            </w:pPr>
            <w:r>
              <w:t>12.20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8.13</w:t>
            </w:r>
          </w:p>
        </w:tc>
        <w:tc>
          <w:tcPr>
            <w:tcW w:w="1134" w:type="dxa"/>
            <w:vAlign w:val="center"/>
          </w:tcPr>
          <w:p>
            <w:pPr>
              <w:pStyle w:val="11"/>
            </w:pPr>
            <w:r>
              <w:t>8.13</w:t>
            </w:r>
          </w:p>
        </w:tc>
        <w:tc>
          <w:tcPr>
            <w:tcW w:w="1134" w:type="dxa"/>
            <w:vAlign w:val="center"/>
          </w:tcPr>
          <w:p>
            <w:pPr>
              <w:pStyle w:val="11"/>
            </w:pPr>
            <w:r>
              <w:t>8.13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4.07</w:t>
            </w:r>
          </w:p>
        </w:tc>
        <w:tc>
          <w:tcPr>
            <w:tcW w:w="1134" w:type="dxa"/>
            <w:vAlign w:val="center"/>
          </w:tcPr>
          <w:p>
            <w:pPr>
              <w:pStyle w:val="11"/>
            </w:pPr>
            <w:r>
              <w:t>4.07</w:t>
            </w:r>
          </w:p>
        </w:tc>
        <w:tc>
          <w:tcPr>
            <w:tcW w:w="1134" w:type="dxa"/>
            <w:vAlign w:val="center"/>
          </w:tcPr>
          <w:p>
            <w:pPr>
              <w:pStyle w:val="11"/>
            </w:pPr>
            <w:r>
              <w:t>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3.59</w:t>
            </w:r>
          </w:p>
        </w:tc>
        <w:tc>
          <w:tcPr>
            <w:tcW w:w="1134" w:type="dxa"/>
            <w:vAlign w:val="center"/>
          </w:tcPr>
          <w:p>
            <w:pPr>
              <w:pStyle w:val="11"/>
            </w:pPr>
            <w:r>
              <w:t>3.59</w:t>
            </w:r>
          </w:p>
        </w:tc>
        <w:tc>
          <w:tcPr>
            <w:tcW w:w="1134" w:type="dxa"/>
            <w:vAlign w:val="center"/>
          </w:tcPr>
          <w:p>
            <w:pPr>
              <w:pStyle w:val="11"/>
            </w:pPr>
            <w:r>
              <w:t>3.59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3.59</w:t>
            </w:r>
          </w:p>
        </w:tc>
        <w:tc>
          <w:tcPr>
            <w:tcW w:w="1134" w:type="dxa"/>
            <w:vAlign w:val="center"/>
          </w:tcPr>
          <w:p>
            <w:pPr>
              <w:pStyle w:val="11"/>
            </w:pPr>
            <w:r>
              <w:t>3.59</w:t>
            </w:r>
          </w:p>
        </w:tc>
        <w:tc>
          <w:tcPr>
            <w:tcW w:w="1134" w:type="dxa"/>
            <w:vAlign w:val="center"/>
          </w:tcPr>
          <w:p>
            <w:pPr>
              <w:pStyle w:val="11"/>
            </w:pPr>
            <w:r>
              <w:t>3.59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3.59</w:t>
            </w:r>
          </w:p>
        </w:tc>
        <w:tc>
          <w:tcPr>
            <w:tcW w:w="1134" w:type="dxa"/>
            <w:vAlign w:val="center"/>
          </w:tcPr>
          <w:p>
            <w:pPr>
              <w:pStyle w:val="11"/>
            </w:pPr>
            <w:r>
              <w:t>3.59</w:t>
            </w:r>
          </w:p>
        </w:tc>
        <w:tc>
          <w:tcPr>
            <w:tcW w:w="1134" w:type="dxa"/>
            <w:vAlign w:val="center"/>
          </w:tcPr>
          <w:p>
            <w:pPr>
              <w:pStyle w:val="11"/>
            </w:pPr>
            <w:r>
              <w:t>3.59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5.29</w:t>
            </w:r>
          </w:p>
        </w:tc>
        <w:tc>
          <w:tcPr>
            <w:tcW w:w="1134" w:type="dxa"/>
            <w:vAlign w:val="center"/>
          </w:tcPr>
          <w:p>
            <w:pPr>
              <w:pStyle w:val="11"/>
            </w:pPr>
            <w:r>
              <w:t>5.29</w:t>
            </w:r>
          </w:p>
        </w:tc>
        <w:tc>
          <w:tcPr>
            <w:tcW w:w="1134" w:type="dxa"/>
            <w:vAlign w:val="center"/>
          </w:tcPr>
          <w:p>
            <w:pPr>
              <w:pStyle w:val="11"/>
            </w:pPr>
            <w:r>
              <w:t>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5.29</w:t>
            </w:r>
          </w:p>
        </w:tc>
        <w:tc>
          <w:tcPr>
            <w:tcW w:w="1134" w:type="dxa"/>
            <w:vAlign w:val="center"/>
          </w:tcPr>
          <w:p>
            <w:pPr>
              <w:pStyle w:val="11"/>
            </w:pPr>
            <w:r>
              <w:t>5.29</w:t>
            </w:r>
          </w:p>
        </w:tc>
        <w:tc>
          <w:tcPr>
            <w:tcW w:w="1134" w:type="dxa"/>
            <w:vAlign w:val="center"/>
          </w:tcPr>
          <w:p>
            <w:pPr>
              <w:pStyle w:val="11"/>
            </w:pPr>
            <w:r>
              <w:t>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5.29</w:t>
            </w:r>
          </w:p>
        </w:tc>
        <w:tc>
          <w:tcPr>
            <w:tcW w:w="1134" w:type="dxa"/>
            <w:vAlign w:val="center"/>
          </w:tcPr>
          <w:p>
            <w:pPr>
              <w:pStyle w:val="11"/>
            </w:pPr>
            <w:r>
              <w:t>5.29</w:t>
            </w:r>
          </w:p>
        </w:tc>
        <w:tc>
          <w:tcPr>
            <w:tcW w:w="1134" w:type="dxa"/>
            <w:vAlign w:val="center"/>
          </w:tcPr>
          <w:p>
            <w:pPr>
              <w:pStyle w:val="11"/>
            </w:pPr>
            <w:r>
              <w:t>5.29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231.49</w:t>
            </w:r>
          </w:p>
        </w:tc>
        <w:tc>
          <w:tcPr>
            <w:tcW w:w="1361" w:type="dxa"/>
            <w:vAlign w:val="center"/>
          </w:tcPr>
          <w:p>
            <w:pPr>
              <w:pStyle w:val="15"/>
            </w:pPr>
            <w:r>
              <w:t>116.49</w:t>
            </w:r>
          </w:p>
        </w:tc>
        <w:tc>
          <w:tcPr>
            <w:tcW w:w="1361" w:type="dxa"/>
            <w:vAlign w:val="center"/>
          </w:tcPr>
          <w:p>
            <w:pPr>
              <w:pStyle w:val="15"/>
            </w:pPr>
            <w:r>
              <w:t>115.00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210.41</w:t>
            </w:r>
          </w:p>
        </w:tc>
        <w:tc>
          <w:tcPr>
            <w:tcW w:w="1361" w:type="dxa"/>
            <w:vAlign w:val="center"/>
          </w:tcPr>
          <w:p>
            <w:pPr>
              <w:pStyle w:val="11"/>
            </w:pPr>
            <w:r>
              <w:t>95.41</w:t>
            </w:r>
          </w:p>
        </w:tc>
        <w:tc>
          <w:tcPr>
            <w:tcW w:w="1361" w:type="dxa"/>
            <w:vAlign w:val="center"/>
          </w:tcPr>
          <w:p>
            <w:pPr>
              <w:pStyle w:val="11"/>
            </w:pPr>
            <w:r>
              <w:t>115.00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210.41</w:t>
            </w:r>
          </w:p>
        </w:tc>
        <w:tc>
          <w:tcPr>
            <w:tcW w:w="1361" w:type="dxa"/>
            <w:vAlign w:val="center"/>
          </w:tcPr>
          <w:p>
            <w:pPr>
              <w:pStyle w:val="11"/>
            </w:pPr>
            <w:r>
              <w:t>95.41</w:t>
            </w:r>
          </w:p>
        </w:tc>
        <w:tc>
          <w:tcPr>
            <w:tcW w:w="1361" w:type="dxa"/>
            <w:vAlign w:val="center"/>
          </w:tcPr>
          <w:p>
            <w:pPr>
              <w:pStyle w:val="11"/>
            </w:pPr>
            <w:r>
              <w:t>115.00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2014001</w:t>
            </w:r>
          </w:p>
        </w:tc>
        <w:tc>
          <w:tcPr>
            <w:tcW w:w="4535" w:type="dxa"/>
            <w:vAlign w:val="center"/>
          </w:tcPr>
          <w:p>
            <w:pPr>
              <w:pStyle w:val="12"/>
            </w:pPr>
            <w:r>
              <w:t>行政运行</w:t>
            </w:r>
          </w:p>
        </w:tc>
        <w:tc>
          <w:tcPr>
            <w:tcW w:w="1361" w:type="dxa"/>
            <w:vAlign w:val="center"/>
          </w:tcPr>
          <w:p>
            <w:pPr>
              <w:pStyle w:val="11"/>
            </w:pPr>
            <w:r>
              <w:t>95.41</w:t>
            </w:r>
          </w:p>
        </w:tc>
        <w:tc>
          <w:tcPr>
            <w:tcW w:w="1361" w:type="dxa"/>
            <w:vAlign w:val="center"/>
          </w:tcPr>
          <w:p>
            <w:pPr>
              <w:pStyle w:val="11"/>
            </w:pPr>
            <w:r>
              <w:t>95.41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r>
              <w:t>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2014099</w:t>
            </w:r>
          </w:p>
        </w:tc>
        <w:tc>
          <w:tcPr>
            <w:tcW w:w="4535" w:type="dxa"/>
            <w:vAlign w:val="center"/>
          </w:tcPr>
          <w:p>
            <w:pPr>
              <w:pStyle w:val="12"/>
            </w:pPr>
            <w:r>
              <w:t>其他信访事务支出</w:t>
            </w: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r>
              <w:t>100.00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12.20</w:t>
            </w:r>
          </w:p>
        </w:tc>
        <w:tc>
          <w:tcPr>
            <w:tcW w:w="1361" w:type="dxa"/>
            <w:vAlign w:val="center"/>
          </w:tcPr>
          <w:p>
            <w:pPr>
              <w:pStyle w:val="11"/>
            </w:pPr>
            <w:r>
              <w:t>12.20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12.20</w:t>
            </w:r>
          </w:p>
        </w:tc>
        <w:tc>
          <w:tcPr>
            <w:tcW w:w="1361" w:type="dxa"/>
            <w:vAlign w:val="center"/>
          </w:tcPr>
          <w:p>
            <w:pPr>
              <w:pStyle w:val="11"/>
            </w:pPr>
            <w:r>
              <w:t>12.20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8.13</w:t>
            </w:r>
          </w:p>
        </w:tc>
        <w:tc>
          <w:tcPr>
            <w:tcW w:w="1361" w:type="dxa"/>
            <w:vAlign w:val="center"/>
          </w:tcPr>
          <w:p>
            <w:pPr>
              <w:pStyle w:val="11"/>
            </w:pPr>
            <w:r>
              <w:t>8.13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4.07</w:t>
            </w:r>
          </w:p>
        </w:tc>
        <w:tc>
          <w:tcPr>
            <w:tcW w:w="1361" w:type="dxa"/>
            <w:vAlign w:val="center"/>
          </w:tcPr>
          <w:p>
            <w:pPr>
              <w:pStyle w:val="11"/>
            </w:pPr>
            <w:r>
              <w:t>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3.59</w:t>
            </w:r>
          </w:p>
        </w:tc>
        <w:tc>
          <w:tcPr>
            <w:tcW w:w="1361" w:type="dxa"/>
            <w:vAlign w:val="center"/>
          </w:tcPr>
          <w:p>
            <w:pPr>
              <w:pStyle w:val="11"/>
            </w:pPr>
            <w:r>
              <w:t>3.59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3.59</w:t>
            </w:r>
          </w:p>
        </w:tc>
        <w:tc>
          <w:tcPr>
            <w:tcW w:w="1361" w:type="dxa"/>
            <w:vAlign w:val="center"/>
          </w:tcPr>
          <w:p>
            <w:pPr>
              <w:pStyle w:val="11"/>
            </w:pPr>
            <w:r>
              <w:t>3.59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3.59</w:t>
            </w:r>
          </w:p>
        </w:tc>
        <w:tc>
          <w:tcPr>
            <w:tcW w:w="1361" w:type="dxa"/>
            <w:vAlign w:val="center"/>
          </w:tcPr>
          <w:p>
            <w:pPr>
              <w:pStyle w:val="11"/>
            </w:pPr>
            <w:r>
              <w:t>3.59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5.29</w:t>
            </w:r>
          </w:p>
        </w:tc>
        <w:tc>
          <w:tcPr>
            <w:tcW w:w="1361" w:type="dxa"/>
            <w:vAlign w:val="center"/>
          </w:tcPr>
          <w:p>
            <w:pPr>
              <w:pStyle w:val="11"/>
            </w:pPr>
            <w:r>
              <w:t>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5.29</w:t>
            </w:r>
          </w:p>
        </w:tc>
        <w:tc>
          <w:tcPr>
            <w:tcW w:w="1361" w:type="dxa"/>
            <w:vAlign w:val="center"/>
          </w:tcPr>
          <w:p>
            <w:pPr>
              <w:pStyle w:val="11"/>
            </w:pPr>
            <w:r>
              <w:t>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5.29</w:t>
            </w:r>
          </w:p>
        </w:tc>
        <w:tc>
          <w:tcPr>
            <w:tcW w:w="1361" w:type="dxa"/>
            <w:vAlign w:val="center"/>
          </w:tcPr>
          <w:p>
            <w:pPr>
              <w:pStyle w:val="11"/>
            </w:pPr>
            <w:r>
              <w:t>5.29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231.49</w:t>
            </w:r>
          </w:p>
        </w:tc>
        <w:tc>
          <w:tcPr>
            <w:tcW w:w="3402" w:type="dxa"/>
            <w:vAlign w:val="center"/>
          </w:tcPr>
          <w:p>
            <w:pPr>
              <w:pStyle w:val="12"/>
            </w:pPr>
            <w:r>
              <w:t>一、一般公共服务支出</w:t>
            </w:r>
          </w:p>
        </w:tc>
        <w:tc>
          <w:tcPr>
            <w:tcW w:w="1474" w:type="dxa"/>
            <w:vAlign w:val="center"/>
          </w:tcPr>
          <w:p>
            <w:pPr>
              <w:pStyle w:val="11"/>
            </w:pPr>
            <w:r>
              <w:t>210.41</w:t>
            </w:r>
          </w:p>
        </w:tc>
        <w:tc>
          <w:tcPr>
            <w:tcW w:w="1474" w:type="dxa"/>
            <w:vAlign w:val="center"/>
          </w:tcPr>
          <w:p>
            <w:pPr>
              <w:pStyle w:val="11"/>
            </w:pPr>
            <w:r>
              <w:t>210.41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12.20</w:t>
            </w:r>
          </w:p>
        </w:tc>
        <w:tc>
          <w:tcPr>
            <w:tcW w:w="1474" w:type="dxa"/>
            <w:vAlign w:val="center"/>
          </w:tcPr>
          <w:p>
            <w:pPr>
              <w:pStyle w:val="11"/>
            </w:pPr>
            <w:r>
              <w:t>12.20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3.59</w:t>
            </w:r>
          </w:p>
        </w:tc>
        <w:tc>
          <w:tcPr>
            <w:tcW w:w="1474" w:type="dxa"/>
            <w:vAlign w:val="center"/>
          </w:tcPr>
          <w:p>
            <w:pPr>
              <w:pStyle w:val="11"/>
            </w:pPr>
            <w:r>
              <w:t>3.59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5.29</w:t>
            </w:r>
          </w:p>
        </w:tc>
        <w:tc>
          <w:tcPr>
            <w:tcW w:w="1474" w:type="dxa"/>
            <w:vAlign w:val="center"/>
          </w:tcPr>
          <w:p>
            <w:pPr>
              <w:pStyle w:val="11"/>
            </w:pPr>
            <w:r>
              <w:t>5.29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231.49</w:t>
            </w:r>
          </w:p>
        </w:tc>
        <w:tc>
          <w:tcPr>
            <w:tcW w:w="3402" w:type="dxa"/>
            <w:vAlign w:val="center"/>
          </w:tcPr>
          <w:p>
            <w:pPr>
              <w:pStyle w:val="14"/>
            </w:pPr>
            <w:r>
              <w:t>本年支出合计</w:t>
            </w:r>
          </w:p>
        </w:tc>
        <w:tc>
          <w:tcPr>
            <w:tcW w:w="1474" w:type="dxa"/>
            <w:vAlign w:val="center"/>
          </w:tcPr>
          <w:p>
            <w:pPr>
              <w:pStyle w:val="15"/>
            </w:pPr>
            <w:r>
              <w:t>231.49</w:t>
            </w:r>
          </w:p>
        </w:tc>
        <w:tc>
          <w:tcPr>
            <w:tcW w:w="1474" w:type="dxa"/>
            <w:vAlign w:val="center"/>
          </w:tcPr>
          <w:p>
            <w:pPr>
              <w:pStyle w:val="15"/>
            </w:pPr>
            <w:r>
              <w:t>231.49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231.49</w:t>
            </w:r>
          </w:p>
        </w:tc>
        <w:tc>
          <w:tcPr>
            <w:tcW w:w="3402" w:type="dxa"/>
            <w:vAlign w:val="center"/>
          </w:tcPr>
          <w:p>
            <w:pPr>
              <w:pStyle w:val="14"/>
            </w:pPr>
            <w:r>
              <w:t>支出总计</w:t>
            </w:r>
          </w:p>
        </w:tc>
        <w:tc>
          <w:tcPr>
            <w:tcW w:w="1474" w:type="dxa"/>
            <w:vAlign w:val="center"/>
          </w:tcPr>
          <w:p>
            <w:pPr>
              <w:pStyle w:val="15"/>
            </w:pPr>
            <w:r>
              <w:t>231.49</w:t>
            </w:r>
          </w:p>
        </w:tc>
        <w:tc>
          <w:tcPr>
            <w:tcW w:w="1474" w:type="dxa"/>
            <w:vAlign w:val="center"/>
          </w:tcPr>
          <w:p>
            <w:pPr>
              <w:pStyle w:val="15"/>
            </w:pPr>
            <w:r>
              <w:t>231.49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231.49</w:t>
            </w:r>
          </w:p>
        </w:tc>
        <w:tc>
          <w:tcPr>
            <w:tcW w:w="2551" w:type="dxa"/>
            <w:vAlign w:val="center"/>
          </w:tcPr>
          <w:p>
            <w:pPr>
              <w:pStyle w:val="15"/>
            </w:pPr>
            <w:r>
              <w:t>116.49</w:t>
            </w:r>
          </w:p>
        </w:tc>
        <w:tc>
          <w:tcPr>
            <w:tcW w:w="2551" w:type="dxa"/>
            <w:vAlign w:val="center"/>
          </w:tcPr>
          <w:p>
            <w:pPr>
              <w:pStyle w:val="15"/>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210.41</w:t>
            </w:r>
          </w:p>
        </w:tc>
        <w:tc>
          <w:tcPr>
            <w:tcW w:w="2551" w:type="dxa"/>
            <w:vAlign w:val="center"/>
          </w:tcPr>
          <w:p>
            <w:pPr>
              <w:pStyle w:val="11"/>
            </w:pPr>
            <w:r>
              <w:t>95.41</w:t>
            </w:r>
          </w:p>
        </w:tc>
        <w:tc>
          <w:tcPr>
            <w:tcW w:w="2551" w:type="dxa"/>
            <w:vAlign w:val="center"/>
          </w:tcPr>
          <w:p>
            <w:pPr>
              <w:pStyle w:val="11"/>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210.41</w:t>
            </w:r>
          </w:p>
        </w:tc>
        <w:tc>
          <w:tcPr>
            <w:tcW w:w="2551" w:type="dxa"/>
            <w:vAlign w:val="center"/>
          </w:tcPr>
          <w:p>
            <w:pPr>
              <w:pStyle w:val="11"/>
            </w:pPr>
            <w:r>
              <w:t>95.41</w:t>
            </w:r>
          </w:p>
        </w:tc>
        <w:tc>
          <w:tcPr>
            <w:tcW w:w="2551" w:type="dxa"/>
            <w:vAlign w:val="center"/>
          </w:tcPr>
          <w:p>
            <w:pPr>
              <w:pStyle w:val="11"/>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2014001</w:t>
            </w:r>
          </w:p>
        </w:tc>
        <w:tc>
          <w:tcPr>
            <w:tcW w:w="4535" w:type="dxa"/>
            <w:vAlign w:val="center"/>
          </w:tcPr>
          <w:p>
            <w:pPr>
              <w:pStyle w:val="12"/>
            </w:pPr>
            <w:r>
              <w:t>行政运行</w:t>
            </w:r>
          </w:p>
        </w:tc>
        <w:tc>
          <w:tcPr>
            <w:tcW w:w="2551" w:type="dxa"/>
            <w:vAlign w:val="center"/>
          </w:tcPr>
          <w:p>
            <w:pPr>
              <w:pStyle w:val="11"/>
            </w:pPr>
            <w:r>
              <w:t>95.41</w:t>
            </w:r>
          </w:p>
        </w:tc>
        <w:tc>
          <w:tcPr>
            <w:tcW w:w="2551" w:type="dxa"/>
            <w:vAlign w:val="center"/>
          </w:tcPr>
          <w:p>
            <w:pPr>
              <w:pStyle w:val="11"/>
            </w:pPr>
            <w:r>
              <w:t>95.41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15.00</w:t>
            </w:r>
          </w:p>
        </w:tc>
        <w:tc>
          <w:tcPr>
            <w:tcW w:w="2551" w:type="dxa"/>
            <w:vAlign w:val="center"/>
          </w:tcPr>
          <w:p>
            <w:pPr>
              <w:pStyle w:val="11"/>
            </w:pPr>
          </w:p>
        </w:tc>
        <w:tc>
          <w:tcPr>
            <w:tcW w:w="2551"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2014099</w:t>
            </w:r>
          </w:p>
        </w:tc>
        <w:tc>
          <w:tcPr>
            <w:tcW w:w="4535" w:type="dxa"/>
            <w:vAlign w:val="center"/>
          </w:tcPr>
          <w:p>
            <w:pPr>
              <w:pStyle w:val="12"/>
            </w:pPr>
            <w:r>
              <w:t>其他信访事务支出</w:t>
            </w:r>
          </w:p>
        </w:tc>
        <w:tc>
          <w:tcPr>
            <w:tcW w:w="2551" w:type="dxa"/>
            <w:vAlign w:val="center"/>
          </w:tcPr>
          <w:p>
            <w:pPr>
              <w:pStyle w:val="11"/>
            </w:pPr>
            <w:r>
              <w:t>100.00</w:t>
            </w:r>
          </w:p>
        </w:tc>
        <w:tc>
          <w:tcPr>
            <w:tcW w:w="2551" w:type="dxa"/>
            <w:vAlign w:val="center"/>
          </w:tcPr>
          <w:p>
            <w:pPr>
              <w:pStyle w:val="11"/>
            </w:pPr>
          </w:p>
        </w:tc>
        <w:tc>
          <w:tcPr>
            <w:tcW w:w="2551" w:type="dxa"/>
            <w:vAlign w:val="center"/>
          </w:tcPr>
          <w:p>
            <w:pPr>
              <w:pStyle w:val="11"/>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12.20</w:t>
            </w:r>
          </w:p>
        </w:tc>
        <w:tc>
          <w:tcPr>
            <w:tcW w:w="2551" w:type="dxa"/>
            <w:vAlign w:val="center"/>
          </w:tcPr>
          <w:p>
            <w:pPr>
              <w:pStyle w:val="11"/>
            </w:pPr>
            <w:r>
              <w:t>12.20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12.20</w:t>
            </w:r>
          </w:p>
        </w:tc>
        <w:tc>
          <w:tcPr>
            <w:tcW w:w="2551" w:type="dxa"/>
            <w:vAlign w:val="center"/>
          </w:tcPr>
          <w:p>
            <w:pPr>
              <w:pStyle w:val="11"/>
            </w:pPr>
            <w:r>
              <w:t>12.20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8.13</w:t>
            </w:r>
          </w:p>
        </w:tc>
        <w:tc>
          <w:tcPr>
            <w:tcW w:w="2551" w:type="dxa"/>
            <w:vAlign w:val="center"/>
          </w:tcPr>
          <w:p>
            <w:pPr>
              <w:pStyle w:val="11"/>
            </w:pPr>
            <w:r>
              <w:t>8.13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4.07</w:t>
            </w:r>
          </w:p>
        </w:tc>
        <w:tc>
          <w:tcPr>
            <w:tcW w:w="2551" w:type="dxa"/>
            <w:vAlign w:val="center"/>
          </w:tcPr>
          <w:p>
            <w:pPr>
              <w:pStyle w:val="11"/>
            </w:pPr>
            <w:r>
              <w:t>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3.59</w:t>
            </w:r>
          </w:p>
        </w:tc>
        <w:tc>
          <w:tcPr>
            <w:tcW w:w="2551" w:type="dxa"/>
            <w:vAlign w:val="center"/>
          </w:tcPr>
          <w:p>
            <w:pPr>
              <w:pStyle w:val="11"/>
            </w:pPr>
            <w:r>
              <w:t>3.59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3.59</w:t>
            </w:r>
          </w:p>
        </w:tc>
        <w:tc>
          <w:tcPr>
            <w:tcW w:w="2551" w:type="dxa"/>
            <w:vAlign w:val="center"/>
          </w:tcPr>
          <w:p>
            <w:pPr>
              <w:pStyle w:val="11"/>
            </w:pPr>
            <w:r>
              <w:t>3.59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3.59</w:t>
            </w:r>
          </w:p>
        </w:tc>
        <w:tc>
          <w:tcPr>
            <w:tcW w:w="2551" w:type="dxa"/>
            <w:vAlign w:val="center"/>
          </w:tcPr>
          <w:p>
            <w:pPr>
              <w:pStyle w:val="11"/>
            </w:pPr>
            <w:r>
              <w:t>3.59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5.29</w:t>
            </w:r>
          </w:p>
        </w:tc>
        <w:tc>
          <w:tcPr>
            <w:tcW w:w="2551" w:type="dxa"/>
            <w:vAlign w:val="center"/>
          </w:tcPr>
          <w:p>
            <w:pPr>
              <w:pStyle w:val="11"/>
            </w:pPr>
            <w:r>
              <w:t>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5.29</w:t>
            </w:r>
          </w:p>
        </w:tc>
        <w:tc>
          <w:tcPr>
            <w:tcW w:w="2551" w:type="dxa"/>
            <w:vAlign w:val="center"/>
          </w:tcPr>
          <w:p>
            <w:pPr>
              <w:pStyle w:val="11"/>
            </w:pPr>
            <w:r>
              <w:t>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5.29</w:t>
            </w:r>
          </w:p>
        </w:tc>
        <w:tc>
          <w:tcPr>
            <w:tcW w:w="2551" w:type="dxa"/>
            <w:vAlign w:val="center"/>
          </w:tcPr>
          <w:p>
            <w:pPr>
              <w:pStyle w:val="11"/>
            </w:pPr>
            <w:r>
              <w:t>5.29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116.49</w:t>
            </w:r>
          </w:p>
        </w:tc>
        <w:tc>
          <w:tcPr>
            <w:tcW w:w="2551" w:type="dxa"/>
            <w:vAlign w:val="center"/>
          </w:tcPr>
          <w:p>
            <w:pPr>
              <w:pStyle w:val="15"/>
            </w:pPr>
            <w:r>
              <w:t>90.03</w:t>
            </w:r>
          </w:p>
        </w:tc>
        <w:tc>
          <w:tcPr>
            <w:tcW w:w="2551" w:type="dxa"/>
            <w:vAlign w:val="center"/>
          </w:tcPr>
          <w:p>
            <w:pPr>
              <w:pStyle w:val="15"/>
            </w:pPr>
            <w:r>
              <w:t>26.46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78.92</w:t>
            </w:r>
          </w:p>
        </w:tc>
        <w:tc>
          <w:tcPr>
            <w:tcW w:w="2551" w:type="dxa"/>
            <w:vAlign w:val="center"/>
          </w:tcPr>
          <w:p>
            <w:pPr>
              <w:pStyle w:val="11"/>
            </w:pPr>
            <w:r>
              <w:t>78.92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28.91</w:t>
            </w:r>
          </w:p>
        </w:tc>
        <w:tc>
          <w:tcPr>
            <w:tcW w:w="2551" w:type="dxa"/>
            <w:vAlign w:val="center"/>
          </w:tcPr>
          <w:p>
            <w:pPr>
              <w:pStyle w:val="11"/>
            </w:pPr>
            <w:r>
              <w:t>28.91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18.78</w:t>
            </w:r>
          </w:p>
        </w:tc>
        <w:tc>
          <w:tcPr>
            <w:tcW w:w="2551" w:type="dxa"/>
            <w:vAlign w:val="center"/>
          </w:tcPr>
          <w:p>
            <w:pPr>
              <w:pStyle w:val="11"/>
            </w:pPr>
            <w:r>
              <w:t>18.78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9.93</w:t>
            </w:r>
          </w:p>
        </w:tc>
        <w:tc>
          <w:tcPr>
            <w:tcW w:w="2551" w:type="dxa"/>
            <w:vAlign w:val="center"/>
          </w:tcPr>
          <w:p>
            <w:pPr>
              <w:pStyle w:val="11"/>
            </w:pPr>
            <w:r>
              <w:t>9.93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8.13</w:t>
            </w:r>
          </w:p>
        </w:tc>
        <w:tc>
          <w:tcPr>
            <w:tcW w:w="2551" w:type="dxa"/>
            <w:vAlign w:val="center"/>
          </w:tcPr>
          <w:p>
            <w:pPr>
              <w:pStyle w:val="11"/>
            </w:pPr>
            <w:r>
              <w:t>8.13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4.07</w:t>
            </w:r>
          </w:p>
        </w:tc>
        <w:tc>
          <w:tcPr>
            <w:tcW w:w="2551" w:type="dxa"/>
            <w:vAlign w:val="center"/>
          </w:tcPr>
          <w:p>
            <w:pPr>
              <w:pStyle w:val="11"/>
            </w:pPr>
            <w:r>
              <w:t>4.07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3.59</w:t>
            </w:r>
          </w:p>
        </w:tc>
        <w:tc>
          <w:tcPr>
            <w:tcW w:w="2551" w:type="dxa"/>
            <w:vAlign w:val="center"/>
          </w:tcPr>
          <w:p>
            <w:pPr>
              <w:pStyle w:val="11"/>
            </w:pPr>
            <w:r>
              <w:t>3.59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0.22</w:t>
            </w:r>
          </w:p>
        </w:tc>
        <w:tc>
          <w:tcPr>
            <w:tcW w:w="2551" w:type="dxa"/>
            <w:vAlign w:val="center"/>
          </w:tcPr>
          <w:p>
            <w:pPr>
              <w:pStyle w:val="11"/>
            </w:pPr>
            <w:r>
              <w:t>0.22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5.29</w:t>
            </w:r>
          </w:p>
        </w:tc>
        <w:tc>
          <w:tcPr>
            <w:tcW w:w="2551" w:type="dxa"/>
            <w:vAlign w:val="center"/>
          </w:tcPr>
          <w:p>
            <w:pPr>
              <w:pStyle w:val="11"/>
            </w:pPr>
            <w:r>
              <w:t>5.29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24.66</w:t>
            </w:r>
          </w:p>
        </w:tc>
        <w:tc>
          <w:tcPr>
            <w:tcW w:w="2551" w:type="dxa"/>
            <w:vAlign w:val="center"/>
          </w:tcPr>
          <w:p>
            <w:pPr>
              <w:pStyle w:val="11"/>
            </w:pPr>
          </w:p>
        </w:tc>
        <w:tc>
          <w:tcPr>
            <w:tcW w:w="2551" w:type="dxa"/>
            <w:vAlign w:val="center"/>
          </w:tcPr>
          <w:p>
            <w:pPr>
              <w:pStyle w:val="11"/>
            </w:pPr>
            <w:r>
              <w:t>24.66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2.54</w:t>
            </w:r>
          </w:p>
        </w:tc>
        <w:tc>
          <w:tcPr>
            <w:tcW w:w="2551" w:type="dxa"/>
            <w:vAlign w:val="center"/>
          </w:tcPr>
          <w:p>
            <w:pPr>
              <w:pStyle w:val="11"/>
            </w:pPr>
          </w:p>
        </w:tc>
        <w:tc>
          <w:tcPr>
            <w:tcW w:w="2551" w:type="dxa"/>
            <w:vAlign w:val="center"/>
          </w:tcPr>
          <w:p>
            <w:pPr>
              <w:pStyle w:val="11"/>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4.56</w:t>
            </w:r>
          </w:p>
        </w:tc>
        <w:tc>
          <w:tcPr>
            <w:tcW w:w="2551" w:type="dxa"/>
            <w:vAlign w:val="center"/>
          </w:tcPr>
          <w:p>
            <w:pPr>
              <w:pStyle w:val="11"/>
            </w:pPr>
          </w:p>
        </w:tc>
        <w:tc>
          <w:tcPr>
            <w:tcW w:w="2551" w:type="dxa"/>
            <w:vAlign w:val="center"/>
          </w:tcPr>
          <w:p>
            <w:pPr>
              <w:pStyle w:val="11"/>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4.94</w:t>
            </w:r>
          </w:p>
        </w:tc>
        <w:tc>
          <w:tcPr>
            <w:tcW w:w="2551" w:type="dxa"/>
            <w:vAlign w:val="center"/>
          </w:tcPr>
          <w:p>
            <w:pPr>
              <w:pStyle w:val="11"/>
            </w:pPr>
          </w:p>
        </w:tc>
        <w:tc>
          <w:tcPr>
            <w:tcW w:w="2551" w:type="dxa"/>
            <w:vAlign w:val="center"/>
          </w:tcPr>
          <w:p>
            <w:pPr>
              <w:pStyle w:val="11"/>
            </w:pPr>
            <w:r>
              <w:t>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5.10</w:t>
            </w:r>
          </w:p>
        </w:tc>
        <w:tc>
          <w:tcPr>
            <w:tcW w:w="2551" w:type="dxa"/>
            <w:vAlign w:val="center"/>
          </w:tcPr>
          <w:p>
            <w:pPr>
              <w:pStyle w:val="11"/>
            </w:pPr>
          </w:p>
        </w:tc>
        <w:tc>
          <w:tcPr>
            <w:tcW w:w="2551" w:type="dxa"/>
            <w:vAlign w:val="center"/>
          </w:tcPr>
          <w:p>
            <w:pPr>
              <w:pStyle w:val="11"/>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1.02</w:t>
            </w:r>
          </w:p>
        </w:tc>
        <w:tc>
          <w:tcPr>
            <w:tcW w:w="2551" w:type="dxa"/>
            <w:vAlign w:val="center"/>
          </w:tcPr>
          <w:p>
            <w:pPr>
              <w:pStyle w:val="11"/>
            </w:pPr>
          </w:p>
        </w:tc>
        <w:tc>
          <w:tcPr>
            <w:tcW w:w="2551" w:type="dxa"/>
            <w:vAlign w:val="center"/>
          </w:tcPr>
          <w:p>
            <w:pPr>
              <w:pStyle w:val="11"/>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11.11</w:t>
            </w:r>
          </w:p>
        </w:tc>
        <w:tc>
          <w:tcPr>
            <w:tcW w:w="2551" w:type="dxa"/>
            <w:vAlign w:val="center"/>
          </w:tcPr>
          <w:p>
            <w:pPr>
              <w:pStyle w:val="11"/>
            </w:pPr>
            <w:r>
              <w:t>11.11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10.60</w:t>
            </w:r>
          </w:p>
        </w:tc>
        <w:tc>
          <w:tcPr>
            <w:tcW w:w="2551" w:type="dxa"/>
            <w:vAlign w:val="center"/>
          </w:tcPr>
          <w:p>
            <w:pPr>
              <w:pStyle w:val="11"/>
            </w:pPr>
            <w:r>
              <w:t>10.60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0.51</w:t>
            </w:r>
          </w:p>
        </w:tc>
        <w:tc>
          <w:tcPr>
            <w:tcW w:w="2551" w:type="dxa"/>
            <w:vAlign w:val="center"/>
          </w:tcPr>
          <w:p>
            <w:pPr>
              <w:pStyle w:val="11"/>
            </w:pPr>
            <w:r>
              <w:t>0.51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204001高阳县信访局</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5.40</w:t>
            </w:r>
          </w:p>
        </w:tc>
        <w:tc>
          <w:tcPr>
            <w:tcW w:w="2381" w:type="dxa"/>
            <w:vAlign w:val="center"/>
          </w:tcPr>
          <w:p>
            <w:pPr>
              <w:pStyle w:val="15"/>
            </w:pPr>
            <w:r>
              <w:t>5.40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5.40</w:t>
            </w:r>
          </w:p>
        </w:tc>
        <w:tc>
          <w:tcPr>
            <w:tcW w:w="2381" w:type="dxa"/>
            <w:vAlign w:val="center"/>
          </w:tcPr>
          <w:p>
            <w:pPr>
              <w:pStyle w:val="11"/>
            </w:pPr>
            <w:r>
              <w:t>5.40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5.10</w:t>
            </w:r>
          </w:p>
        </w:tc>
        <w:tc>
          <w:tcPr>
            <w:tcW w:w="2381" w:type="dxa"/>
            <w:vAlign w:val="center"/>
          </w:tcPr>
          <w:p>
            <w:pPr>
              <w:pStyle w:val="11"/>
            </w:pPr>
            <w:r>
              <w:t>5.10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5.10</w:t>
            </w:r>
          </w:p>
        </w:tc>
        <w:tc>
          <w:tcPr>
            <w:tcW w:w="2381" w:type="dxa"/>
            <w:vAlign w:val="center"/>
          </w:tcPr>
          <w:p>
            <w:pPr>
              <w:pStyle w:val="11"/>
            </w:pPr>
            <w:r>
              <w:t>5.10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高阳县信访局2024年单位预算信息公开情况说明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按照《中华人民共和国预算法》、《地方预决算公开操作规程》和《关于进一步推进预算公开工作的实施意见》规定，现将高阳县信访局2024年单位预算公开如下：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（1）研究提出全县信访工作思路，拟订信访工作规范性文件。</w:t>
      </w:r>
    </w:p>
    <w:p>
      <w:pPr>
        <w:pStyle w:val="17"/>
      </w:pPr>
      <w:r>
        <w:t>（2）办理人民群众来信，接待群众来访，受理群众网上投诉，督办信访案件，负责人民群众建议征集工作；</w:t>
      </w:r>
    </w:p>
    <w:p>
      <w:pPr>
        <w:pStyle w:val="17"/>
      </w:pPr>
      <w:r>
        <w:t>（3）调查研究和综合分析全县信访形势及信访工作状况，总结推广各乡镇各部门信访工作经验，提出改进和加强信访工作的意见和建议。</w:t>
      </w:r>
    </w:p>
    <w:p>
      <w:pPr>
        <w:pStyle w:val="17"/>
      </w:pPr>
      <w:r>
        <w:t>（4）参与组织、协调全县社会治安综合治理和维护社会政治稳定工作，协调保障国家、省、市和县重大政治活动顺利进行，参与处理影响社会政治稳定的突发性、群体性事件。</w:t>
      </w:r>
    </w:p>
    <w:p>
      <w:pPr>
        <w:pStyle w:val="17"/>
      </w:pPr>
      <w:r>
        <w:t>（5）督促检查和指导乡镇（街道）党委、政府和县直部门的信访工作。对乡镇（街道）党委、政府和县直有关部门信访工作年度责任目标进行考核，对全县社会治安综合治理和维护社会政治稳定年度责任目标中有关信访工作进行考核。</w:t>
      </w:r>
    </w:p>
    <w:p>
      <w:pPr>
        <w:pStyle w:val="17"/>
      </w:pPr>
      <w:r>
        <w:t>（6）协调上级信访局处理群众进京、赴省、到市上访工作，综合协调处理跨地区、跨部门、跨行业的重要信访问题，协助公安机关维护县委、县政府机关正常工作秩序。</w:t>
      </w:r>
    </w:p>
    <w:p>
      <w:pPr>
        <w:pStyle w:val="17"/>
      </w:pPr>
      <w:r>
        <w:t>（7）负责县级领导和县直部门领导公开接访、包联案件和重点信访事项会商的组织协调工作。</w:t>
      </w:r>
    </w:p>
    <w:p>
      <w:pPr>
        <w:pStyle w:val="17"/>
      </w:pPr>
      <w:r>
        <w:t>（8）承担高阳县信访工作联席会议的日常工作，督促落实联席会议决定的事项。</w:t>
      </w:r>
    </w:p>
    <w:p>
      <w:pPr>
        <w:pStyle w:val="17"/>
      </w:pPr>
      <w:r>
        <w:t>（9）负责高阳县群众工作中心工作。</w:t>
      </w:r>
    </w:p>
    <w:p>
      <w:pPr>
        <w:pStyle w:val="17"/>
      </w:pPr>
      <w:r>
        <w:t>（10）完成县委、县政府以及国家信访局、省信访局、市信访局交办的其他工作任务。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高阳县信访局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231.49万元，其中：一般公共预算收入231.49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高阳县信访局年度单位预算中支出预算的总体情况。2024年支出预算231.49万元，其中基本支出116.49万元，包括人员经费90.03万元和日常公用经费26.46万元；项目支出115.00万元，主要为信访案件及信访维稳经费（劳务派遣）15万元，信访案件及信访维稳经费100万元。</w:t>
      </w:r>
    </w:p>
    <w:p>
      <w:pPr>
        <w:pStyle w:val="18"/>
      </w:pPr>
      <w:r>
        <w:t>3、比上年增减情况</w:t>
      </w:r>
    </w:p>
    <w:p>
      <w:pPr>
        <w:pStyle w:val="18"/>
      </w:pPr>
      <w:r>
        <w:t>2024年预算收支安排231.49万元，较2023年预算减少242.65万元，其中：基本支出增加17.35万元，主要为人员经费增加16.09万元，公用经费增加1.26万元。</w:t>
      </w:r>
    </w:p>
    <w:p>
      <w:pPr>
        <w:pStyle w:val="18"/>
      </w:pPr>
      <w:r>
        <w:t>项目支出减少260.00万元，主要为减少创建信访工作示范县、信访案件及信访维稳经费（网上信访平台）项目。</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高阳县信访局 2024年机关运行经费共计安排26.46万元，主要用于日常维修、办公用房水电费、办公用房取暖费、 办公用房物业管理费等日常运行支出，其他项若有实际发生再按预算要求从办公费里调剂解决，经费编制完全按照县编制要求和标准安排，确实降低行政成本。</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5.40万元，其中因公出国（境）费0.00万元；公务用车购置及运维费5.10万元（其中：公务用车购置费为0.00万元，公务用车运维费5.10万元)；公务接待费0.30万元。与2023年相比减少0.40万元，增减变化的主要原因是我单位厉行节俭，减少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1、信访案件及信访维稳经费绩效目标表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13062824P00BL33100037</w:t>
            </w:r>
          </w:p>
        </w:tc>
        <w:tc>
          <w:tcPr>
            <w:tcW w:w="2835" w:type="dxa"/>
            <w:vAlign w:val="center"/>
          </w:tcPr>
          <w:p>
            <w:pPr>
              <w:pStyle w:val="10"/>
            </w:pPr>
            <w:r>
              <w:t>项目名称</w:t>
            </w:r>
          </w:p>
        </w:tc>
        <w:tc>
          <w:tcPr>
            <w:tcW w:w="6094" w:type="dxa"/>
            <w:gridSpan w:val="3"/>
            <w:vAlign w:val="center"/>
          </w:tcPr>
          <w:p>
            <w:pPr>
              <w:pStyle w:val="12"/>
            </w:pPr>
            <w:r>
              <w:t>信访案件及信访维稳经费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维稳值班备勤及我单位日常维稳支出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w:t>
            </w:r>
          </w:p>
        </w:tc>
        <w:tc>
          <w:tcPr>
            <w:tcW w:w="2835" w:type="dxa"/>
            <w:vAlign w:val="center"/>
          </w:tcPr>
          <w:p>
            <w:pPr>
              <w:pStyle w:val="13"/>
            </w:pPr>
            <w:r>
              <w:t>40</w:t>
            </w:r>
          </w:p>
        </w:tc>
        <w:tc>
          <w:tcPr>
            <w:tcW w:w="2551" w:type="dxa"/>
            <w:vAlign w:val="center"/>
          </w:tcPr>
          <w:p>
            <w:pPr>
              <w:pStyle w:val="13"/>
            </w:pPr>
            <w:r>
              <w:t>75</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1.妥善处置非正常访，推动重要信访事项解决，规范信访事项办理、终结，用好特殊疑难信访问题专项资金。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信访事项受理及时率</w:t>
            </w:r>
          </w:p>
        </w:tc>
        <w:tc>
          <w:tcPr>
            <w:tcW w:w="5386" w:type="dxa"/>
            <w:vAlign w:val="center"/>
          </w:tcPr>
          <w:p>
            <w:pPr>
              <w:pStyle w:val="12"/>
            </w:pPr>
            <w:r>
              <w:t>信访事项在规定时间内及时受理、转送、交办</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信访事项按期结案率</w:t>
            </w:r>
          </w:p>
        </w:tc>
        <w:tc>
          <w:tcPr>
            <w:tcW w:w="5386" w:type="dxa"/>
            <w:vAlign w:val="center"/>
          </w:tcPr>
          <w:p>
            <w:pPr>
              <w:pStyle w:val="12"/>
            </w:pPr>
            <w:r>
              <w:t>信访事项两个月内务必出具处理意见，按期办结</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解决特殊信访疑难问题件数</w:t>
            </w:r>
          </w:p>
        </w:tc>
        <w:tc>
          <w:tcPr>
            <w:tcW w:w="5386" w:type="dxa"/>
            <w:vAlign w:val="center"/>
          </w:tcPr>
          <w:p>
            <w:pPr>
              <w:pStyle w:val="12"/>
            </w:pPr>
            <w:r>
              <w:t>指导全县信访督查、复查复核、听证等工作，并对相关事项进行审核、上报</w:t>
            </w:r>
          </w:p>
        </w:tc>
        <w:tc>
          <w:tcPr>
            <w:tcW w:w="2268" w:type="dxa"/>
            <w:vAlign w:val="center"/>
          </w:tcPr>
          <w:p>
            <w:pPr>
              <w:pStyle w:val="12"/>
            </w:pPr>
            <w:r>
              <w:t>≥10件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工作开展的持续性</w:t>
            </w:r>
          </w:p>
        </w:tc>
        <w:tc>
          <w:tcPr>
            <w:tcW w:w="5386" w:type="dxa"/>
            <w:vAlign w:val="center"/>
          </w:tcPr>
          <w:p>
            <w:pPr>
              <w:pStyle w:val="12"/>
            </w:pPr>
            <w:r>
              <w:t>反映工作是否可以持续开展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信访事项群众满意率</w:t>
            </w:r>
          </w:p>
        </w:tc>
        <w:tc>
          <w:tcPr>
            <w:tcW w:w="5386" w:type="dxa"/>
            <w:vAlign w:val="center"/>
          </w:tcPr>
          <w:p>
            <w:pPr>
              <w:pStyle w:val="12"/>
            </w:pPr>
            <w:r>
              <w:t>信访事项办结后，群众的认可程度及对信访机构和责任单位的评价</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2、信访局信访案件及信访维稳经费（劳务派遣）绩效目标表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13062824P00XCY010004D</w:t>
            </w:r>
          </w:p>
        </w:tc>
        <w:tc>
          <w:tcPr>
            <w:tcW w:w="2835" w:type="dxa"/>
            <w:vAlign w:val="center"/>
          </w:tcPr>
          <w:p>
            <w:pPr>
              <w:pStyle w:val="10"/>
            </w:pPr>
            <w:r>
              <w:t>项目名称</w:t>
            </w:r>
          </w:p>
        </w:tc>
        <w:tc>
          <w:tcPr>
            <w:tcW w:w="6094" w:type="dxa"/>
            <w:gridSpan w:val="3"/>
            <w:vAlign w:val="center"/>
          </w:tcPr>
          <w:p>
            <w:pPr>
              <w:pStyle w:val="12"/>
            </w:pPr>
            <w:r>
              <w:t>信访局信访案件及信访维稳经费（劳务派遣）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用于信访各项工作的开展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时效指标</w:t>
            </w:r>
          </w:p>
        </w:tc>
        <w:tc>
          <w:tcPr>
            <w:tcW w:w="2835" w:type="dxa"/>
            <w:vAlign w:val="center"/>
          </w:tcPr>
          <w:p>
            <w:pPr>
              <w:pStyle w:val="12"/>
            </w:pPr>
            <w:r>
              <w:t>信访事项受理及时率</w:t>
            </w:r>
          </w:p>
        </w:tc>
        <w:tc>
          <w:tcPr>
            <w:tcW w:w="5386" w:type="dxa"/>
            <w:vAlign w:val="center"/>
          </w:tcPr>
          <w:p>
            <w:pPr>
              <w:pStyle w:val="12"/>
            </w:pPr>
            <w:r>
              <w:t>信访事项在规定时间内及时受理、转送、交办</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信访事项按期结案率</w:t>
            </w:r>
          </w:p>
        </w:tc>
        <w:tc>
          <w:tcPr>
            <w:tcW w:w="5386" w:type="dxa"/>
            <w:vAlign w:val="center"/>
          </w:tcPr>
          <w:p>
            <w:pPr>
              <w:pStyle w:val="12"/>
            </w:pPr>
            <w:r>
              <w:t>信访事项两个月内务必出具处理意见，按期办结</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解决特殊信访疑难问题件数</w:t>
            </w:r>
          </w:p>
        </w:tc>
        <w:tc>
          <w:tcPr>
            <w:tcW w:w="5386" w:type="dxa"/>
            <w:vAlign w:val="center"/>
          </w:tcPr>
          <w:p>
            <w:pPr>
              <w:pStyle w:val="12"/>
            </w:pPr>
            <w:r>
              <w:t>指导全县信访督查、复查复核、听证等工作，并对相关事项进行审核、上报</w:t>
            </w:r>
          </w:p>
        </w:tc>
        <w:tc>
          <w:tcPr>
            <w:tcW w:w="2268" w:type="dxa"/>
            <w:vAlign w:val="center"/>
          </w:tcPr>
          <w:p>
            <w:pPr>
              <w:pStyle w:val="12"/>
            </w:pPr>
            <w:r>
              <w:t>≥10件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工作开展的持续性</w:t>
            </w:r>
          </w:p>
        </w:tc>
        <w:tc>
          <w:tcPr>
            <w:tcW w:w="5386" w:type="dxa"/>
            <w:vAlign w:val="center"/>
          </w:tcPr>
          <w:p>
            <w:pPr>
              <w:pStyle w:val="12"/>
            </w:pPr>
            <w:r>
              <w:t>反映工作是否可以持续开展</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信访事项群众满意率</w:t>
            </w:r>
          </w:p>
        </w:tc>
        <w:tc>
          <w:tcPr>
            <w:tcW w:w="5386" w:type="dxa"/>
            <w:vAlign w:val="center"/>
          </w:tcPr>
          <w:p>
            <w:pPr>
              <w:pStyle w:val="12"/>
            </w:pPr>
            <w:r>
              <w:t>信访事项办结后，群众的认可程度及对信访机构和责任单位的评价</w:t>
            </w:r>
          </w:p>
        </w:tc>
        <w:tc>
          <w:tcPr>
            <w:tcW w:w="2268" w:type="dxa"/>
            <w:vAlign w:val="center"/>
          </w:tcPr>
          <w:p>
            <w:pPr>
              <w:pStyle w:val="12"/>
            </w:pPr>
            <w:r>
              <w:t>≥80%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204001高阳县信访局</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高阳县信访局上年末固定资产金额为116.77万元（详见下表）。本年度拟购置固定资产总额为2.1</w:t>
      </w:r>
      <w:bookmarkStart w:id="1" w:name="_GoBack"/>
      <w:bookmarkEnd w:id="1"/>
      <w:r>
        <w:rPr>
          <w:rFonts w:ascii="Times New Roman" w:hAnsi="Times New Roman" w:eastAsia="方正仿宋_GBK" w:cs="Times New Roman"/>
          <w:b w:val="0"/>
          <w:color w:val="000000"/>
          <w:sz w:val="28"/>
        </w:rPr>
        <w:t>0万元，</w:t>
      </w:r>
      <w:r>
        <w:rPr>
          <w:rFonts w:hint="eastAsia" w:ascii="Times New Roman" w:hAnsi="Times New Roman" w:eastAsia="方正仿宋_GBK" w:cs="Times New Roman"/>
          <w:b w:val="0"/>
          <w:color w:val="000000"/>
          <w:sz w:val="28"/>
          <w:lang w:eastAsia="zh-CN"/>
        </w:rPr>
        <w:t>未达到采购标准，不在政府采购预算体现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204001高阳县信访局</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116.77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31.25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134</w:t>
            </w:r>
          </w:p>
        </w:tc>
        <w:tc>
          <w:tcPr>
            <w:tcW w:w="2835" w:type="dxa"/>
            <w:vAlign w:val="center"/>
          </w:tcPr>
          <w:p>
            <w:pPr>
              <w:pStyle w:val="11"/>
            </w:pPr>
            <w:r>
              <w:t>85.52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宋体"/>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NWE0OWYwZTk0YjE5YTg1NTlkZDkzM2JjMWNjNDQifQ=="/>
  </w:docVars>
  <w:rsids>
    <w:rsidRoot w:val="00000000"/>
    <w:rsid w:val="06EE2998"/>
    <w:rsid w:val="30D071B6"/>
    <w:rsid w:val="48DB1B35"/>
    <w:rsid w:val="5E3478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autoRedefine/>
    <w:semiHidden/>
    <w:unhideWhenUsed/>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autoRedefine/>
    <w:qFormat/>
    <w:uiPriority w:val="0"/>
    <w:pPr>
      <w:ind w:left="720"/>
    </w:pPr>
  </w:style>
  <w:style w:type="table" w:styleId="5">
    <w:name w:val="Table Grid"/>
    <w:basedOn w:val="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2024-02-20T08:59:12Z</dcterms:created>
  <dcterms:modified xsi:type="dcterms:W3CDTF">2024-02-20T00:59:12Z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2024-02-20T08:59:12Z</dcterms:created>
  <dcterms:modified xsi:type="dcterms:W3CDTF">2024-02-20T00:59:12Z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2024-02-20T08:59:13Z</dcterms:created>
  <dcterms:modified xsi:type="dcterms:W3CDTF">2024-02-20T00:59:13Z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2024-02-20T08:59:08Z</dcterms:created>
  <dcterms:modified xsi:type="dcterms:W3CDTF">2024-02-20T00:59:08Z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2024-02-20T08:59:11Z</dcterms:created>
  <dcterms:modified xsi:type="dcterms:W3CDTF">2024-02-20T00:59:11Z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3a3b30d-23e4-44cf-823c-e9eca63408fa}">
  <ds:schemaRefs/>
</ds:datastoreItem>
</file>

<file path=customXml/itemProps10.xml><?xml version="1.0" encoding="utf-8"?>
<ds:datastoreItem xmlns:ds="http://schemas.openxmlformats.org/officeDocument/2006/customXml" ds:itemID="{8300f4b7-dfd2-4161-9766-e258ac1d2fe5}">
  <ds:schemaRefs/>
</ds:datastoreItem>
</file>

<file path=customXml/itemProps2.xml><?xml version="1.0" encoding="utf-8"?>
<ds:datastoreItem xmlns:ds="http://schemas.openxmlformats.org/officeDocument/2006/customXml" ds:itemID="{959e0f9d-9265-484e-8baa-6f768ebdda19}">
  <ds:schemaRefs/>
</ds:datastoreItem>
</file>

<file path=customXml/itemProps3.xml><?xml version="1.0" encoding="utf-8"?>
<ds:datastoreItem xmlns:ds="http://schemas.openxmlformats.org/officeDocument/2006/customXml" ds:itemID="{289f49d3-f71d-4e52-8abb-7d56f01c8984}">
  <ds:schemaRefs/>
</ds:datastoreItem>
</file>

<file path=customXml/itemProps4.xml><?xml version="1.0" encoding="utf-8"?>
<ds:datastoreItem xmlns:ds="http://schemas.openxmlformats.org/officeDocument/2006/customXml" ds:itemID="{6a45bc9f-e9cd-424d-a330-624a11ad90ff}">
  <ds:schemaRefs/>
</ds:datastoreItem>
</file>

<file path=customXml/itemProps5.xml><?xml version="1.0" encoding="utf-8"?>
<ds:datastoreItem xmlns:ds="http://schemas.openxmlformats.org/officeDocument/2006/customXml" ds:itemID="{b0a7c279-d80a-485b-94e4-b8137ebc2e9c}">
  <ds:schemaRefs/>
</ds:datastoreItem>
</file>

<file path=customXml/itemProps6.xml><?xml version="1.0" encoding="utf-8"?>
<ds:datastoreItem xmlns:ds="http://schemas.openxmlformats.org/officeDocument/2006/customXml" ds:itemID="{684269a8-9e27-4017-8cf7-42d0294828d7}">
  <ds:schemaRefs/>
</ds:datastoreItem>
</file>

<file path=customXml/itemProps7.xml><?xml version="1.0" encoding="utf-8"?>
<ds:datastoreItem xmlns:ds="http://schemas.openxmlformats.org/officeDocument/2006/customXml" ds:itemID="{e1c0d7a4-7d67-4352-b800-b2b5bc6a0973}">
  <ds:schemaRefs/>
</ds:datastoreItem>
</file>

<file path=customXml/itemProps8.xml><?xml version="1.0" encoding="utf-8"?>
<ds:datastoreItem xmlns:ds="http://schemas.openxmlformats.org/officeDocument/2006/customXml" ds:itemID="{089ea18b-4088-4fc4-9613-738b545bf0ef}">
  <ds:schemaRefs/>
</ds:datastoreItem>
</file>

<file path=customXml/itemProps9.xml><?xml version="1.0" encoding="utf-8"?>
<ds:datastoreItem xmlns:ds="http://schemas.openxmlformats.org/officeDocument/2006/customXml" ds:itemID="{8dbe7fd0-5104-4ed2-a955-76750f7c02d7}">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2024-02-20T08:59:00Z</dcterms:created>
  <dc:creator>Administrator</dc:creator>
  <cp:lastModifiedBy>dirge.</cp:lastModifiedBy>
  <dcterms:modified xsi:type="dcterms:W3CDTF">2024-02-22T02:11:23Z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A313E4B81480429CB1BB6E3DDD026536_13</vt:lpwstr>
  </property>
</Properties>
</file>