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FA" w:rsidRDefault="008D51FA" w:rsidP="008D51FA">
      <w:pPr>
        <w:ind w:firstLine="560"/>
      </w:pPr>
      <w:r>
        <w:rPr>
          <w:rFonts w:ascii="方正仿宋_GBK" w:eastAsia="方正仿宋_GBK" w:hAnsi="方正仿宋_GBK" w:cs="方正仿宋_GBK"/>
          <w:color w:val="000000"/>
          <w:sz w:val="28"/>
        </w:rPr>
        <w:t>14、高阳县副中心排水防涝管网建设项目绩效目标表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2835"/>
        <w:gridCol w:w="2551"/>
        <w:gridCol w:w="2268"/>
        <w:gridCol w:w="1276"/>
      </w:tblGrid>
      <w:tr w:rsidR="008D51FA" w:rsidTr="00526764">
        <w:trPr>
          <w:trHeight w:val="397"/>
          <w:jc w:val="center"/>
        </w:trPr>
        <w:tc>
          <w:tcPr>
            <w:tcW w:w="1530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D51FA" w:rsidRDefault="008D51FA" w:rsidP="00526764">
            <w:pPr>
              <w:pStyle w:val="4"/>
            </w:pPr>
            <w:r>
              <w:t>单位：万元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项目编码</w:t>
            </w:r>
          </w:p>
        </w:tc>
        <w:tc>
          <w:tcPr>
            <w:tcW w:w="5102" w:type="dxa"/>
            <w:gridSpan w:val="2"/>
            <w:vAlign w:val="center"/>
          </w:tcPr>
          <w:p w:rsidR="008D51FA" w:rsidRDefault="008D51FA" w:rsidP="00526764">
            <w:pPr>
              <w:pStyle w:val="2"/>
            </w:pPr>
            <w:r>
              <w:t>13062824P00001610006D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项目名称</w:t>
            </w:r>
          </w:p>
        </w:tc>
        <w:tc>
          <w:tcPr>
            <w:tcW w:w="6094" w:type="dxa"/>
            <w:gridSpan w:val="3"/>
            <w:vAlign w:val="center"/>
          </w:tcPr>
          <w:p w:rsidR="008D51FA" w:rsidRDefault="008D51FA" w:rsidP="00526764">
            <w:pPr>
              <w:pStyle w:val="2"/>
            </w:pPr>
            <w:r>
              <w:t>高阳县副中心排水防涝管网建设项目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8D51FA" w:rsidRDefault="008D51FA" w:rsidP="00526764">
            <w:pPr>
              <w:pStyle w:val="1"/>
            </w:pPr>
            <w:r>
              <w:t>预算规模及资金用途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预算数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109.55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其中：财政    资金</w:t>
            </w:r>
          </w:p>
        </w:tc>
        <w:tc>
          <w:tcPr>
            <w:tcW w:w="2551" w:type="dxa"/>
            <w:vAlign w:val="center"/>
          </w:tcPr>
          <w:p w:rsidR="008D51FA" w:rsidRDefault="008D51FA" w:rsidP="00526764">
            <w:pPr>
              <w:pStyle w:val="2"/>
            </w:pPr>
            <w:r>
              <w:t>109.55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/>
          </w:tcPr>
          <w:p w:rsidR="008D51FA" w:rsidRDefault="008D51FA" w:rsidP="00526764"/>
        </w:tc>
        <w:tc>
          <w:tcPr>
            <w:tcW w:w="14031" w:type="dxa"/>
            <w:gridSpan w:val="6"/>
            <w:vAlign w:val="center"/>
          </w:tcPr>
          <w:p w:rsidR="008D51FA" w:rsidRDefault="008D51FA" w:rsidP="00526764">
            <w:pPr>
              <w:pStyle w:val="2"/>
            </w:pPr>
            <w:r>
              <w:t>高阳县副中心排水防涝管网建设项目资金</w:t>
            </w:r>
          </w:p>
          <w:p w:rsidR="008D51FA" w:rsidRDefault="008D51FA" w:rsidP="00526764">
            <w:pPr>
              <w:pStyle w:val="2"/>
            </w:pP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8D51FA" w:rsidRDefault="008D51FA" w:rsidP="00526764">
            <w:pPr>
              <w:pStyle w:val="1"/>
            </w:pPr>
            <w:r>
              <w:t>资金支出计划（%）</w:t>
            </w:r>
          </w:p>
        </w:tc>
        <w:tc>
          <w:tcPr>
            <w:tcW w:w="5102" w:type="dxa"/>
            <w:gridSpan w:val="2"/>
            <w:vAlign w:val="center"/>
          </w:tcPr>
          <w:p w:rsidR="008D51FA" w:rsidRDefault="008D51FA" w:rsidP="00526764">
            <w:pPr>
              <w:pStyle w:val="1"/>
            </w:pPr>
            <w:r>
              <w:t>3月底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6月底</w:t>
            </w:r>
          </w:p>
        </w:tc>
        <w:tc>
          <w:tcPr>
            <w:tcW w:w="2551" w:type="dxa"/>
            <w:vAlign w:val="center"/>
          </w:tcPr>
          <w:p w:rsidR="008D51FA" w:rsidRDefault="008D51FA" w:rsidP="00526764">
            <w:pPr>
              <w:pStyle w:val="1"/>
            </w:pPr>
            <w:r>
              <w:t>10月底</w:t>
            </w:r>
          </w:p>
        </w:tc>
        <w:tc>
          <w:tcPr>
            <w:tcW w:w="3543" w:type="dxa"/>
            <w:gridSpan w:val="2"/>
            <w:vAlign w:val="center"/>
          </w:tcPr>
          <w:p w:rsidR="008D51FA" w:rsidRDefault="008D51FA" w:rsidP="00526764">
            <w:pPr>
              <w:pStyle w:val="1"/>
            </w:pPr>
            <w:r>
              <w:t>12月底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/>
          </w:tcPr>
          <w:p w:rsidR="008D51FA" w:rsidRDefault="008D51FA" w:rsidP="00526764"/>
        </w:tc>
        <w:tc>
          <w:tcPr>
            <w:tcW w:w="5102" w:type="dxa"/>
            <w:gridSpan w:val="2"/>
            <w:vAlign w:val="center"/>
          </w:tcPr>
          <w:p w:rsidR="008D51FA" w:rsidRDefault="008D51FA" w:rsidP="00526764">
            <w:pPr>
              <w:pStyle w:val="3"/>
            </w:pPr>
            <w:r>
              <w:t>2</w:t>
            </w:r>
            <w:r w:rsidR="00FF4420">
              <w:rPr>
                <w:rFonts w:hint="eastAsia"/>
                <w:lang w:eastAsia="zh-CN"/>
              </w:rPr>
              <w:t>5%</w:t>
            </w:r>
          </w:p>
        </w:tc>
        <w:tc>
          <w:tcPr>
            <w:tcW w:w="2835" w:type="dxa"/>
            <w:vAlign w:val="center"/>
          </w:tcPr>
          <w:p w:rsidR="008D51FA" w:rsidRDefault="00FF4420" w:rsidP="00526764">
            <w:pPr>
              <w:pStyle w:val="3"/>
            </w:pPr>
            <w:r>
              <w:rPr>
                <w:rFonts w:hint="eastAsia"/>
                <w:lang w:eastAsia="zh-CN"/>
              </w:rPr>
              <w:t>50%</w:t>
            </w:r>
          </w:p>
        </w:tc>
        <w:tc>
          <w:tcPr>
            <w:tcW w:w="2551" w:type="dxa"/>
            <w:vAlign w:val="center"/>
          </w:tcPr>
          <w:p w:rsidR="008D51FA" w:rsidRDefault="00FF4420" w:rsidP="00526764">
            <w:pPr>
              <w:pStyle w:val="3"/>
            </w:pPr>
            <w:r>
              <w:rPr>
                <w:rFonts w:hint="eastAsia"/>
                <w:lang w:eastAsia="zh-CN"/>
              </w:rPr>
              <w:t>75%</w:t>
            </w:r>
          </w:p>
        </w:tc>
        <w:tc>
          <w:tcPr>
            <w:tcW w:w="3543" w:type="dxa"/>
            <w:gridSpan w:val="2"/>
            <w:vAlign w:val="center"/>
          </w:tcPr>
          <w:p w:rsidR="008D51FA" w:rsidRDefault="00FF4420" w:rsidP="00526764">
            <w:pPr>
              <w:pStyle w:val="3"/>
            </w:pPr>
            <w:r>
              <w:rPr>
                <w:rFonts w:hint="eastAsia"/>
                <w:lang w:eastAsia="zh-CN"/>
              </w:rPr>
              <w:t>100%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绩效目标</w:t>
            </w:r>
          </w:p>
        </w:tc>
        <w:tc>
          <w:tcPr>
            <w:tcW w:w="14031" w:type="dxa"/>
            <w:gridSpan w:val="6"/>
            <w:vAlign w:val="center"/>
          </w:tcPr>
          <w:p w:rsidR="008D51FA" w:rsidRDefault="008D51FA" w:rsidP="00526764">
            <w:pPr>
              <w:pStyle w:val="2"/>
            </w:pPr>
            <w:r>
              <w:t>1.城市排水防涝能力提升</w:t>
            </w:r>
          </w:p>
        </w:tc>
      </w:tr>
    </w:tbl>
    <w:p w:rsidR="008D51FA" w:rsidRDefault="008D51FA" w:rsidP="008D51FA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5386"/>
        <w:gridCol w:w="2268"/>
        <w:gridCol w:w="1276"/>
      </w:tblGrid>
      <w:tr w:rsidR="008D51FA" w:rsidTr="0052676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一级指标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二级指标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三级指标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1"/>
            </w:pPr>
            <w:r>
              <w:t>绩效指标描述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指标值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指标值确定依据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8D51FA" w:rsidRDefault="008D51FA" w:rsidP="00526764">
            <w:pPr>
              <w:pStyle w:val="3"/>
            </w:pPr>
            <w:r>
              <w:t>产出指标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数量指标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城市排水防涝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城市排水防涝完成率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工程量清单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8D51FA" w:rsidRDefault="008D51FA" w:rsidP="00526764"/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质量指标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验收合格率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对整体排水能力验收合格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工程质量检验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8D51FA" w:rsidRDefault="008D51FA" w:rsidP="00526764"/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时效指标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工程完成及时率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全部完成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竣工验收报告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8D51FA" w:rsidRDefault="008D51FA" w:rsidP="00526764"/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成本指标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预算执行情况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预算执行率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支付凭证及预算成本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3"/>
            </w:pPr>
            <w:r>
              <w:t>满意度指标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服务对象满意度指标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受益群众满意度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受益群众满意度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收益群众满意度调查</w:t>
            </w:r>
          </w:p>
        </w:tc>
      </w:tr>
    </w:tbl>
    <w:p w:rsidR="008D51FA" w:rsidRDefault="008D51FA" w:rsidP="008D51FA">
      <w:pPr>
        <w:sectPr w:rsidR="008D51FA">
          <w:pgSz w:w="16840" w:h="11900" w:orient="landscape"/>
          <w:pgMar w:top="1361" w:right="1020" w:bottom="1134" w:left="1020" w:header="720" w:footer="720" w:gutter="0"/>
          <w:cols w:space="720"/>
        </w:sectPr>
      </w:pPr>
    </w:p>
    <w:p w:rsidR="00B15D82" w:rsidRDefault="00B15D82"/>
    <w:sectPr w:rsidR="00B15D82" w:rsidSect="008D51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FA" w:rsidRDefault="008D51FA" w:rsidP="008D51FA">
      <w:r>
        <w:separator/>
      </w:r>
    </w:p>
  </w:endnote>
  <w:endnote w:type="continuationSeparator" w:id="1">
    <w:p w:rsidR="008D51FA" w:rsidRDefault="008D51FA" w:rsidP="008D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FA" w:rsidRDefault="008D51FA" w:rsidP="008D51FA">
      <w:r>
        <w:separator/>
      </w:r>
    </w:p>
  </w:footnote>
  <w:footnote w:type="continuationSeparator" w:id="1">
    <w:p w:rsidR="008D51FA" w:rsidRDefault="008D51FA" w:rsidP="008D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1FA"/>
    <w:rsid w:val="00445350"/>
    <w:rsid w:val="008D51FA"/>
    <w:rsid w:val="00B15D82"/>
    <w:rsid w:val="00FF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FA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1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D5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1F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D51FA"/>
    <w:rPr>
      <w:sz w:val="18"/>
      <w:szCs w:val="18"/>
    </w:rPr>
  </w:style>
  <w:style w:type="paragraph" w:customStyle="1" w:styleId="1">
    <w:name w:val="单元格样式1"/>
    <w:basedOn w:val="a"/>
    <w:qFormat/>
    <w:rsid w:val="008D51FA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8D51FA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8D51FA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8D51FA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2024-03-23T03:50:00Z</dcterms:created>
  <dcterms:modified xsi:type="dcterms:W3CDTF">2024-03-23T03:55:00Z</dcterms:modified>
</cp:coreProperties>
</file>