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720" w:firstLineChars="200"/>
        <w:jc w:val="center"/>
        <w:rPr>
          <w:rFonts w:ascii="宋体" w:hAnsi="宋体"/>
          <w:bCs/>
          <w:sz w:val="36"/>
          <w:szCs w:val="36"/>
        </w:rPr>
      </w:pPr>
      <w:bookmarkStart w:id="0" w:name="_GoBack"/>
      <w:bookmarkEnd w:id="0"/>
      <w:r>
        <w:rPr>
          <w:rFonts w:hint="eastAsia" w:ascii="宋体" w:hAnsi="宋体" w:cs="FZXiaoBiaoSong-B05"/>
          <w:color w:val="000000"/>
          <w:kern w:val="0"/>
          <w:sz w:val="36"/>
          <w:szCs w:val="36"/>
        </w:rPr>
        <w:t>高阳县关于</w:t>
      </w:r>
      <w:r>
        <w:rPr>
          <w:rFonts w:ascii="宋体" w:hAnsi="宋体"/>
          <w:color w:val="000000"/>
          <w:kern w:val="0"/>
          <w:sz w:val="36"/>
          <w:szCs w:val="36"/>
        </w:rPr>
        <w:t>202</w:t>
      </w:r>
      <w:r>
        <w:rPr>
          <w:rFonts w:hint="eastAsia" w:ascii="宋体" w:hAnsi="宋体"/>
          <w:color w:val="000000"/>
          <w:kern w:val="0"/>
          <w:sz w:val="36"/>
          <w:szCs w:val="36"/>
        </w:rPr>
        <w:t>3</w:t>
      </w:r>
      <w:r>
        <w:rPr>
          <w:rFonts w:hint="eastAsia" w:ascii="宋体" w:hAnsi="宋体" w:cs="FZXiaoBiaoSong-B05"/>
          <w:color w:val="000000"/>
          <w:kern w:val="0"/>
          <w:sz w:val="36"/>
          <w:szCs w:val="36"/>
        </w:rPr>
        <w:t>年预算公开有关事项的说明</w:t>
      </w: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一、安排“三公”经费预算情况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2023年，我县根据国家相关规定，不折不扣落实过“紧日子”要求，厉行节约，严控和压缩“三公”经费，2023年县级“三公”经费共安排686.63万元。具体安排情况如下：</w:t>
      </w:r>
    </w:p>
    <w:p>
      <w:pPr>
        <w:spacing w:line="560" w:lineRule="exact"/>
        <w:ind w:firstLine="643" w:firstLineChars="200"/>
        <w:rPr>
          <w:rFonts w:ascii="仿宋_GB2312" w:eastAsia="仿宋_GB2312"/>
          <w:sz w:val="32"/>
          <w:szCs w:val="32"/>
        </w:rPr>
      </w:pPr>
      <w:r>
        <w:rPr>
          <w:rFonts w:hint="eastAsia" w:ascii="楷体" w:hAnsi="楷体" w:eastAsia="楷体"/>
          <w:b/>
          <w:sz w:val="32"/>
          <w:szCs w:val="32"/>
        </w:rPr>
        <w:t>（一）因公出国（境）费。</w:t>
      </w:r>
      <w:r>
        <w:rPr>
          <w:rFonts w:hint="eastAsia" w:ascii="仿宋_GB2312" w:eastAsia="仿宋_GB2312"/>
          <w:sz w:val="32"/>
          <w:szCs w:val="32"/>
        </w:rPr>
        <w:t>共安排0万元，较上年无变化。</w:t>
      </w:r>
    </w:p>
    <w:p>
      <w:pPr>
        <w:spacing w:line="560" w:lineRule="exact"/>
        <w:ind w:firstLine="643" w:firstLineChars="200"/>
        <w:rPr>
          <w:rFonts w:ascii="仿宋_GB2312" w:eastAsia="仿宋_GB2312"/>
          <w:sz w:val="32"/>
          <w:szCs w:val="32"/>
        </w:rPr>
      </w:pPr>
      <w:r>
        <w:rPr>
          <w:rFonts w:hint="eastAsia" w:ascii="楷体" w:hAnsi="楷体" w:eastAsia="楷体"/>
          <w:b/>
          <w:sz w:val="32"/>
          <w:szCs w:val="32"/>
        </w:rPr>
        <w:t>（二）公务用车购置及运维费。</w:t>
      </w:r>
      <w:r>
        <w:rPr>
          <w:rFonts w:hint="eastAsia" w:ascii="仿宋_GB2312" w:eastAsia="仿宋_GB2312"/>
          <w:sz w:val="32"/>
          <w:szCs w:val="32"/>
        </w:rPr>
        <w:t>按照“精打细算、勤俭节约”原则，共安排512.34万元，较上年减少65.48万元，其中：一是公务用车购置费52万元，二是公务用车运行维护费460.34万元。</w:t>
      </w:r>
    </w:p>
    <w:p>
      <w:pPr>
        <w:spacing w:line="560" w:lineRule="exact"/>
        <w:ind w:firstLine="643" w:firstLineChars="200"/>
        <w:rPr>
          <w:rFonts w:ascii="仿宋_GB2312" w:eastAsia="仿宋_GB2312"/>
          <w:sz w:val="32"/>
          <w:szCs w:val="32"/>
        </w:rPr>
      </w:pPr>
      <w:r>
        <w:rPr>
          <w:rFonts w:hint="eastAsia" w:ascii="楷体" w:hAnsi="楷体" w:eastAsia="楷体"/>
          <w:b/>
          <w:sz w:val="32"/>
          <w:szCs w:val="32"/>
        </w:rPr>
        <w:t>（三）公务接待费。</w:t>
      </w:r>
      <w:r>
        <w:rPr>
          <w:rFonts w:hint="eastAsia" w:ascii="仿宋_GB2312" w:eastAsia="仿宋_GB2312"/>
          <w:sz w:val="32"/>
          <w:szCs w:val="32"/>
        </w:rPr>
        <w:t>共安排174.29万元，较上年减少4.4万元，主要是根据厉行节约要求，接待任务安排减少。</w:t>
      </w: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二、县级政府债务及还本付息情况</w:t>
      </w:r>
    </w:p>
    <w:p>
      <w:pPr>
        <w:spacing w:line="560" w:lineRule="exact"/>
        <w:ind w:firstLine="640" w:firstLineChars="200"/>
        <w:rPr>
          <w:rFonts w:ascii="仿宋" w:hAnsi="仿宋" w:eastAsia="仿宋"/>
          <w:bCs/>
          <w:sz w:val="32"/>
          <w:szCs w:val="32"/>
        </w:rPr>
      </w:pPr>
      <w:r>
        <w:rPr>
          <w:rFonts w:hint="eastAsia" w:ascii="楷体" w:hAnsi="楷体" w:eastAsia="楷体"/>
          <w:bCs/>
          <w:sz w:val="32"/>
          <w:szCs w:val="32"/>
        </w:rPr>
        <w:t>（一）一般债务。</w:t>
      </w:r>
      <w:r>
        <w:rPr>
          <w:rFonts w:hint="eastAsia" w:ascii="仿宋" w:hAnsi="仿宋" w:eastAsia="仿宋"/>
          <w:bCs/>
          <w:sz w:val="32"/>
          <w:szCs w:val="32"/>
        </w:rPr>
        <w:t>截至2022年底，县本级一般债务限额10.83亿元、一般债务余额10.12亿元。</w:t>
      </w:r>
    </w:p>
    <w:p>
      <w:pPr>
        <w:spacing w:line="560" w:lineRule="exact"/>
        <w:ind w:firstLine="640" w:firstLineChars="200"/>
        <w:rPr>
          <w:rFonts w:ascii="仿宋" w:hAnsi="仿宋" w:eastAsia="仿宋"/>
          <w:bCs/>
          <w:sz w:val="32"/>
          <w:szCs w:val="32"/>
        </w:rPr>
      </w:pPr>
      <w:r>
        <w:rPr>
          <w:rFonts w:hint="eastAsia" w:ascii="仿宋" w:hAnsi="仿宋" w:eastAsia="仿宋"/>
          <w:bCs/>
          <w:sz w:val="32"/>
          <w:szCs w:val="32"/>
        </w:rPr>
        <w:t>2023年县本级需偿还地方政府一般债券本息共计1.83亿元，其中：债券本金1.38亿元、债券利息0.45亿元。</w:t>
      </w:r>
    </w:p>
    <w:p>
      <w:pPr>
        <w:spacing w:line="560" w:lineRule="exact"/>
        <w:ind w:firstLine="640" w:firstLineChars="200"/>
        <w:rPr>
          <w:rFonts w:ascii="仿宋" w:hAnsi="仿宋" w:eastAsia="仿宋"/>
          <w:bCs/>
          <w:sz w:val="32"/>
          <w:szCs w:val="32"/>
        </w:rPr>
      </w:pPr>
      <w:r>
        <w:rPr>
          <w:rFonts w:hint="eastAsia" w:ascii="楷体" w:hAnsi="楷体" w:eastAsia="楷体"/>
          <w:bCs/>
          <w:sz w:val="32"/>
          <w:szCs w:val="32"/>
        </w:rPr>
        <w:t>（二）专项债券。</w:t>
      </w:r>
      <w:r>
        <w:rPr>
          <w:rFonts w:hint="eastAsia" w:ascii="仿宋" w:hAnsi="仿宋" w:eastAsia="仿宋"/>
          <w:bCs/>
          <w:sz w:val="32"/>
          <w:szCs w:val="32"/>
        </w:rPr>
        <w:t xml:space="preserve">截至2022年底，县本级专项债务限额27.69亿元、专项债务余额27.69亿元。 </w:t>
      </w:r>
    </w:p>
    <w:p>
      <w:pPr>
        <w:spacing w:line="560" w:lineRule="exact"/>
        <w:ind w:firstLine="640" w:firstLineChars="200"/>
        <w:rPr>
          <w:rFonts w:ascii="仿宋" w:hAnsi="仿宋" w:eastAsia="仿宋"/>
          <w:bCs/>
          <w:sz w:val="32"/>
          <w:szCs w:val="32"/>
        </w:rPr>
      </w:pPr>
      <w:r>
        <w:rPr>
          <w:rFonts w:hint="eastAsia" w:ascii="仿宋" w:hAnsi="仿宋" w:eastAsia="仿宋"/>
          <w:bCs/>
          <w:sz w:val="32"/>
          <w:szCs w:val="32"/>
        </w:rPr>
        <w:t>2023年县本级需偿还地方政府专项债券本息共计2.68亿元，其中：债券本金1.56亿元、债券利息1.12亿元。</w:t>
      </w:r>
    </w:p>
    <w:p>
      <w:pPr>
        <w:spacing w:line="360" w:lineRule="auto"/>
        <w:ind w:firstLine="640" w:firstLineChars="200"/>
        <w:rPr>
          <w:rFonts w:ascii="黑体" w:hAnsi="黑体" w:eastAsia="黑体"/>
          <w:bCs/>
          <w:sz w:val="32"/>
          <w:szCs w:val="32"/>
        </w:rPr>
      </w:pPr>
      <w:r>
        <w:rPr>
          <w:rFonts w:hint="eastAsia" w:ascii="黑体" w:hAnsi="黑体" w:eastAsia="黑体"/>
          <w:bCs/>
          <w:sz w:val="32"/>
          <w:szCs w:val="32"/>
        </w:rPr>
        <w:t>三、财政转移支付预算安排情况</w:t>
      </w:r>
    </w:p>
    <w:tbl>
      <w:tblPr>
        <w:tblW w:w="7266"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84"/>
        <w:gridCol w:w="882"/>
      </w:tblGrid>
      <w:tr>
        <w:trPr>
          <w:trHeight w:val="402" w:hRule="atLeast"/>
        </w:trPr>
        <w:tc>
          <w:tcPr>
            <w:tcW w:w="638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22"/>
                <w:szCs w:val="22"/>
              </w:rPr>
            </w:pPr>
            <w:r>
              <w:rPr>
                <w:rFonts w:hint="eastAsia" w:ascii="宋体" w:hAnsi="宋体" w:cs="宋体"/>
                <w:kern w:val="0"/>
                <w:sz w:val="22"/>
                <w:szCs w:val="22"/>
              </w:rPr>
              <w:t>项 目</w:t>
            </w:r>
          </w:p>
        </w:tc>
        <w:tc>
          <w:tcPr>
            <w:tcW w:w="88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金额</w:t>
            </w:r>
          </w:p>
        </w:tc>
      </w:tr>
      <w:tr>
        <w:trPr>
          <w:trHeight w:val="402" w:hRule="atLeast"/>
        </w:trPr>
        <w:tc>
          <w:tcPr>
            <w:tcW w:w="638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转移性收入</w:t>
            </w:r>
          </w:p>
        </w:tc>
        <w:tc>
          <w:tcPr>
            <w:tcW w:w="88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ascii="宋体" w:hAnsi="宋体" w:cs="宋体"/>
                <w:kern w:val="0"/>
                <w:sz w:val="22"/>
                <w:szCs w:val="22"/>
              </w:rPr>
              <w:t>226643</w:t>
            </w:r>
          </w:p>
        </w:tc>
      </w:tr>
      <w:tr>
        <w:trPr>
          <w:trHeight w:val="402" w:hRule="atLeast"/>
        </w:trPr>
        <w:tc>
          <w:tcPr>
            <w:tcW w:w="638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上级补助收入</w:t>
            </w:r>
          </w:p>
        </w:tc>
        <w:tc>
          <w:tcPr>
            <w:tcW w:w="88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ascii="宋体" w:hAnsi="宋体" w:cs="宋体"/>
                <w:kern w:val="0"/>
                <w:sz w:val="22"/>
                <w:szCs w:val="22"/>
              </w:rPr>
              <w:t>111138</w:t>
            </w:r>
          </w:p>
        </w:tc>
      </w:tr>
      <w:tr>
        <w:trPr>
          <w:trHeight w:val="402" w:hRule="atLeast"/>
        </w:trPr>
        <w:tc>
          <w:tcPr>
            <w:tcW w:w="638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返还性收入</w:t>
            </w:r>
          </w:p>
        </w:tc>
        <w:tc>
          <w:tcPr>
            <w:tcW w:w="88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ascii="宋体" w:hAnsi="宋体" w:cs="宋体"/>
                <w:kern w:val="0"/>
                <w:sz w:val="22"/>
                <w:szCs w:val="22"/>
              </w:rPr>
              <w:t>5092</w:t>
            </w:r>
          </w:p>
        </w:tc>
      </w:tr>
      <w:tr>
        <w:trPr>
          <w:trHeight w:val="402" w:hRule="atLeast"/>
        </w:trPr>
        <w:tc>
          <w:tcPr>
            <w:tcW w:w="638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所得税基数返还收入 </w:t>
            </w:r>
          </w:p>
        </w:tc>
        <w:tc>
          <w:tcPr>
            <w:tcW w:w="882" w:type="dxa"/>
            <w:tcBorders>
              <w:top w:val="single" w:color="auto" w:sz="4" w:space="0"/>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1975</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成品油税费改革税收返还收入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551</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增值税税收返还收入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2200</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增值税“五五分享”税收返还收入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366</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一般性转移支付收入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102188</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均衡性转移支付收入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27846</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县级基本财力保障机制奖补资金收入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14,183</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结算补助收入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-1,956</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重点生态功能区转移支付收入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3,373</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固定数额补助收入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8,121</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革命老区转移支付收入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472</w:t>
            </w:r>
          </w:p>
        </w:tc>
      </w:tr>
      <w:tr>
        <w:trPr>
          <w:trHeight w:val="402" w:hRule="atLeast"/>
        </w:trPr>
        <w:tc>
          <w:tcPr>
            <w:tcW w:w="638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w:t>
            </w:r>
            <w:r>
              <w:rPr>
                <w:rFonts w:hint="eastAsia" w:ascii="宋体" w:hAnsi="宋体" w:cs="宋体"/>
                <w:kern w:val="0"/>
                <w:sz w:val="22"/>
                <w:szCs w:val="22"/>
                <w:lang w:eastAsia="zh-CN"/>
              </w:rPr>
              <w:t>巩固拓展脱贫攻坚成果</w:t>
            </w:r>
            <w:r>
              <w:rPr>
                <w:rFonts w:hint="eastAsia" w:ascii="宋体" w:hAnsi="宋体" w:cs="宋体"/>
                <w:kern w:val="0"/>
                <w:sz w:val="22"/>
                <w:szCs w:val="22"/>
              </w:rPr>
              <w:t>衔接乡村振兴转移支付收入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560</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一般公共服务共同财政事权转移支付收入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46</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公共安全共同财政事权转移支付收入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716</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教育共同财政事权转移支付收入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7889</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科学技术共同财政事权转移支付收入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784</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文化旅游体育与传媒共同财政事权转移支付收入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229</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社会保障和就业共同财政事权转移支付收入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15172</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医疗卫生共同财政事权转移支付收入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3213</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农林水共同财政事权转移支付收入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13654</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交通运输共同财政事权转移支付收入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73</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住房保障共同财政事权转移支付收入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5457</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灾害防治及应急管理共同财政事权转移支付收入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40</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其他一般性转移支付收入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2,316</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专项转移支付收入</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3,858</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卫生健康</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39</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节能环保</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2,834</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农林水</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977</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资源勘探工业信息等</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3</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22"/>
                <w:szCs w:val="22"/>
              </w:rPr>
            </w:pPr>
            <w:r>
              <w:rPr>
                <w:rFonts w:hint="eastAsia" w:ascii="宋体" w:hAnsi="宋体" w:cs="宋体"/>
                <w:kern w:val="0"/>
                <w:sz w:val="22"/>
                <w:szCs w:val="22"/>
              </w:rPr>
              <w:t xml:space="preserve">      商业服务业等</w:t>
            </w:r>
          </w:p>
        </w:tc>
        <w:tc>
          <w:tcPr>
            <w:tcW w:w="882" w:type="dxa"/>
            <w:tcBorders>
              <w:top w:val="nil"/>
              <w:left w:val="nil"/>
              <w:bottom w:val="single" w:color="auto" w:sz="4" w:space="0"/>
              <w:right w:val="single" w:color="auto" w:sz="4" w:space="0"/>
            </w:tcBorders>
            <w:vAlign w:val="center"/>
          </w:tcPr>
          <w:p>
            <w:pPr>
              <w:widowControl/>
              <w:jc w:val="right"/>
              <w:rPr>
                <w:rFonts w:ascii="宋体" w:hAnsi="宋体" w:cs="宋体"/>
                <w:kern w:val="0"/>
                <w:sz w:val="22"/>
                <w:szCs w:val="22"/>
              </w:rPr>
            </w:pPr>
            <w:r>
              <w:rPr>
                <w:rFonts w:hint="eastAsia" w:ascii="宋体" w:hAnsi="宋体" w:cs="宋体"/>
                <w:kern w:val="0"/>
                <w:sz w:val="22"/>
                <w:szCs w:val="22"/>
              </w:rPr>
              <w:t>5</w:t>
            </w:r>
          </w:p>
        </w:tc>
      </w:tr>
      <w:tr>
        <w:trPr>
          <w:trHeight w:val="402" w:hRule="atLeast"/>
        </w:trPr>
        <w:tc>
          <w:tcPr>
            <w:tcW w:w="6384"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b/>
                <w:bCs/>
                <w:kern w:val="0"/>
                <w:sz w:val="22"/>
                <w:szCs w:val="22"/>
              </w:rPr>
            </w:pPr>
            <w:r>
              <w:rPr>
                <w:rFonts w:hint="eastAsia" w:ascii="宋体" w:hAnsi="宋体" w:cs="宋体"/>
                <w:b/>
                <w:bCs/>
                <w:kern w:val="0"/>
                <w:sz w:val="22"/>
                <w:szCs w:val="22"/>
              </w:rPr>
              <w:t>收入总计</w:t>
            </w:r>
          </w:p>
        </w:tc>
        <w:tc>
          <w:tcPr>
            <w:tcW w:w="882" w:type="dxa"/>
            <w:tcBorders>
              <w:top w:val="nil"/>
              <w:left w:val="nil"/>
              <w:bottom w:val="single" w:color="auto" w:sz="4" w:space="0"/>
              <w:right w:val="single" w:color="auto" w:sz="4" w:space="0"/>
            </w:tcBorders>
            <w:vAlign w:val="center"/>
          </w:tcPr>
          <w:p>
            <w:pPr>
              <w:widowControl/>
              <w:jc w:val="left"/>
              <w:rPr>
                <w:rFonts w:ascii="宋体" w:hAnsi="宋体" w:cs="宋体"/>
                <w:b/>
                <w:bCs/>
                <w:kern w:val="0"/>
                <w:sz w:val="22"/>
                <w:szCs w:val="22"/>
              </w:rPr>
            </w:pPr>
            <w:r>
              <w:rPr>
                <w:rFonts w:hint="eastAsia" w:ascii="宋体" w:hAnsi="宋体" w:cs="宋体"/>
                <w:b/>
                <w:bCs/>
                <w:kern w:val="0"/>
                <w:sz w:val="22"/>
                <w:szCs w:val="22"/>
              </w:rPr>
              <w:t>328553</w:t>
            </w:r>
          </w:p>
        </w:tc>
      </w:tr>
    </w:tbl>
    <w:p>
      <w:pPr>
        <w:spacing w:line="360" w:lineRule="auto"/>
        <w:ind w:firstLine="640" w:firstLineChars="200"/>
        <w:rPr>
          <w:rFonts w:ascii="黑体" w:hAnsi="黑体" w:eastAsia="黑体"/>
          <w:bCs/>
          <w:sz w:val="32"/>
          <w:szCs w:val="32"/>
        </w:rPr>
      </w:pPr>
    </w:p>
    <w:p>
      <w:pPr>
        <w:spacing w:line="360" w:lineRule="auto"/>
        <w:ind w:firstLine="640" w:firstLineChars="200"/>
        <w:rPr>
          <w:rFonts w:ascii="黑体" w:hAnsi="黑体" w:eastAsia="黑体"/>
          <w:bCs/>
          <w:sz w:val="32"/>
          <w:szCs w:val="32"/>
        </w:rPr>
      </w:pPr>
      <w:r>
        <w:rPr>
          <w:rFonts w:hint="eastAsia" w:ascii="黑体" w:hAnsi="黑体" w:eastAsia="黑体"/>
          <w:bCs/>
          <w:sz w:val="32"/>
          <w:szCs w:val="32"/>
        </w:rPr>
        <w:t>四、预算绩效管理工作开展情况</w:t>
      </w:r>
    </w:p>
    <w:p>
      <w:pPr>
        <w:ind w:firstLine="640" w:firstLineChars="200"/>
        <w:rPr>
          <w:rFonts w:ascii="仿宋_GB2312" w:hAnsi="宋体" w:eastAsia="仿宋_GB2312"/>
          <w:sz w:val="32"/>
          <w:szCs w:val="32"/>
        </w:rPr>
      </w:pPr>
      <w:r>
        <w:rPr>
          <w:rFonts w:hint="eastAsia" w:ascii="仿宋_GB2312" w:hAnsi="宋体" w:eastAsia="仿宋_GB2312"/>
          <w:sz w:val="32"/>
          <w:szCs w:val="32"/>
        </w:rPr>
        <w:t>我县深入贯彻落实中央、省、市预算绩效管理工作相关要求，高度重视预算绩效管理工作，进一步加强县级部门预算绩效管理，现将预算绩效管理工作情况汇报如下</w:t>
      </w:r>
      <w:r>
        <w:rPr>
          <w:rFonts w:hint="eastAsia" w:ascii="仿宋_GB2312" w:hAnsi="仿宋" w:eastAsia="仿宋_GB2312"/>
          <w:sz w:val="32"/>
          <w:szCs w:val="32"/>
        </w:rPr>
        <w:t>：</w:t>
      </w:r>
    </w:p>
    <w:p>
      <w:pPr>
        <w:ind w:firstLine="640" w:firstLineChars="200"/>
        <w:rPr>
          <w:rFonts w:ascii="仿宋_GB2312" w:hAnsi="宋体" w:eastAsia="仿宋_GB2312"/>
          <w:sz w:val="32"/>
          <w:szCs w:val="32"/>
        </w:rPr>
      </w:pPr>
      <w:r>
        <w:rPr>
          <w:rFonts w:hint="eastAsia" w:ascii="仿宋_GB2312" w:hAnsi="宋体" w:eastAsia="仿宋_GB2312"/>
          <w:sz w:val="32"/>
          <w:szCs w:val="32"/>
        </w:rPr>
        <w:t>1.制度建设</w:t>
      </w:r>
    </w:p>
    <w:p>
      <w:pPr>
        <w:ind w:firstLine="640" w:firstLineChars="200"/>
        <w:rPr>
          <w:rFonts w:ascii="仿宋_GB2312" w:hAnsi="宋体" w:eastAsia="仿宋_GB2312"/>
          <w:sz w:val="32"/>
          <w:szCs w:val="32"/>
        </w:rPr>
      </w:pPr>
      <w:r>
        <w:rPr>
          <w:rFonts w:hint="eastAsia" w:ascii="仿宋_GB2312" w:hAnsi="宋体" w:eastAsia="仿宋_GB2312"/>
          <w:sz w:val="32"/>
          <w:szCs w:val="32"/>
        </w:rPr>
        <w:t>2022年度，我县进一步强化、完善预算绩效管理制度体系。印发了《高阳县财政局财政支出预算绩效管理内部工作规程》（高财预〔2022〕28号）、《高阳县财政局关于预算项目事前绩效评估全覆盖的通知》（高财预〔2022〕27号）、高阳县财政局关于《县级部门项目支出核心绩效目标和指标设置及取值指引（试行）》（高财预〔2022〕24号）、高阳县财政局关于印发《高阳县县级部门委托第三方机构参与预算绩效管理办法》的通知（高财预〔2022〕23号），使我县预算绩效管理工作更加具体、丰富。</w:t>
      </w:r>
    </w:p>
    <w:p>
      <w:pPr>
        <w:ind w:firstLine="640" w:firstLineChars="200"/>
        <w:rPr>
          <w:rFonts w:ascii="仿宋_GB2312" w:hAnsi="宋体" w:eastAsia="仿宋_GB2312"/>
          <w:sz w:val="32"/>
          <w:szCs w:val="32"/>
        </w:rPr>
      </w:pPr>
      <w:r>
        <w:rPr>
          <w:rFonts w:hint="eastAsia" w:ascii="仿宋_GB2312" w:hAnsi="宋体" w:eastAsia="仿宋_GB2312"/>
          <w:sz w:val="32"/>
          <w:szCs w:val="32"/>
        </w:rPr>
        <w:t>2.事前绩效评估</w:t>
      </w:r>
    </w:p>
    <w:p>
      <w:pPr>
        <w:ind w:firstLine="640" w:firstLineChars="200"/>
        <w:rPr>
          <w:rFonts w:ascii="仿宋_GB2312" w:hAnsi="宋体" w:eastAsia="仿宋_GB2312"/>
          <w:sz w:val="32"/>
          <w:szCs w:val="32"/>
        </w:rPr>
      </w:pPr>
      <w:r>
        <w:rPr>
          <w:rFonts w:hint="eastAsia" w:ascii="仿宋_GB2312" w:hAnsi="宋体" w:eastAsia="仿宋_GB2312"/>
          <w:sz w:val="32"/>
          <w:szCs w:val="32"/>
        </w:rPr>
        <w:t>聘请河北京韬信息咨询服务有限公司承担此次事前评估工作。评估结论为：38个项目中，予以支持7个，部分支持18个，不予支持13个。在17678.66万元中，支持11616.71万元，审减资金6061.95万元。</w:t>
      </w:r>
    </w:p>
    <w:p>
      <w:pPr>
        <w:ind w:firstLine="640" w:firstLineChars="200"/>
        <w:rPr>
          <w:rFonts w:ascii="仿宋_GB2312" w:hAnsi="宋体" w:eastAsia="仿宋_GB2312"/>
          <w:sz w:val="32"/>
          <w:szCs w:val="32"/>
        </w:rPr>
      </w:pPr>
      <w:r>
        <w:rPr>
          <w:rFonts w:hint="eastAsia" w:ascii="仿宋_GB2312" w:hAnsi="宋体" w:eastAsia="仿宋_GB2312"/>
          <w:sz w:val="32"/>
          <w:szCs w:val="32"/>
        </w:rPr>
        <w:t>3.绩效目标管理</w:t>
      </w:r>
    </w:p>
    <w:p>
      <w:pPr>
        <w:ind w:firstLine="640" w:firstLineChars="200"/>
        <w:rPr>
          <w:rFonts w:ascii="仿宋_GB2312" w:hAnsi="宋体" w:eastAsia="仿宋_GB2312"/>
          <w:sz w:val="32"/>
          <w:szCs w:val="32"/>
        </w:rPr>
      </w:pPr>
      <w:r>
        <w:rPr>
          <w:rFonts w:hint="eastAsia" w:ascii="仿宋_GB2312" w:hAnsi="宋体" w:eastAsia="仿宋_GB2312"/>
          <w:sz w:val="32"/>
          <w:szCs w:val="32"/>
        </w:rPr>
        <w:t>印发了《高阳县财政局关于做好2023年度部门预算绩效目标编制工作的通知》（高财稽查〔2022〕15号），要求各部门要高度重视做好2022年部门预算绩效文本编制工作。同时聘请第三方机构对各部门预算整体绩效目标和项目绩效目标指标集中会审，审核每个项目绩效指标是否全面体现、是否数值量化。</w:t>
      </w:r>
    </w:p>
    <w:p>
      <w:pPr>
        <w:ind w:firstLine="640" w:firstLineChars="200"/>
        <w:rPr>
          <w:rFonts w:ascii="仿宋_GB2312" w:hAnsi="宋体" w:eastAsia="仿宋_GB2312"/>
          <w:sz w:val="32"/>
          <w:szCs w:val="32"/>
        </w:rPr>
      </w:pPr>
      <w:r>
        <w:rPr>
          <w:rFonts w:hint="eastAsia" w:ascii="仿宋_GB2312" w:hAnsi="宋体" w:eastAsia="仿宋_GB2312"/>
          <w:sz w:val="32"/>
          <w:szCs w:val="32"/>
        </w:rPr>
        <w:t>4.绩效监控管理</w:t>
      </w:r>
    </w:p>
    <w:p>
      <w:pPr>
        <w:ind w:firstLine="640" w:firstLineChars="200"/>
        <w:rPr>
          <w:rFonts w:ascii="仿宋_GB2312" w:hAnsi="宋体" w:eastAsia="仿宋_GB2312"/>
          <w:sz w:val="32"/>
          <w:szCs w:val="32"/>
        </w:rPr>
      </w:pPr>
      <w:r>
        <w:rPr>
          <w:rFonts w:hint="eastAsia" w:ascii="仿宋_GB2312" w:hAnsi="宋体" w:eastAsia="仿宋_GB2312"/>
          <w:sz w:val="32"/>
          <w:szCs w:val="32"/>
        </w:rPr>
        <w:t>印发了《高阳县财政局关于开展2022年度预算绩效运行监控分析工作的通知》（高财预〔2022〕22号），对县级所有预算部门整体绩效目标和1091个预算项目绩效目标开展了绩效监控，涉及项目资金200734.65万元。</w:t>
      </w:r>
    </w:p>
    <w:p>
      <w:pPr>
        <w:ind w:firstLine="640" w:firstLineChars="200"/>
        <w:rPr>
          <w:rFonts w:ascii="仿宋_GB2312" w:hAnsi="宋体" w:eastAsia="仿宋_GB2312"/>
          <w:sz w:val="32"/>
          <w:szCs w:val="32"/>
        </w:rPr>
      </w:pPr>
      <w:r>
        <w:rPr>
          <w:rFonts w:hint="eastAsia" w:ascii="仿宋_GB2312" w:hAnsi="宋体" w:eastAsia="仿宋_GB2312"/>
          <w:sz w:val="32"/>
          <w:szCs w:val="32"/>
        </w:rPr>
        <w:t>5.绩效评价管理</w:t>
      </w:r>
    </w:p>
    <w:p>
      <w:pPr>
        <w:ind w:firstLine="640" w:firstLineChars="200"/>
        <w:rPr>
          <w:rFonts w:ascii="仿宋_GB2312" w:hAnsi="宋体" w:eastAsia="仿宋_GB2312"/>
          <w:sz w:val="32"/>
          <w:szCs w:val="32"/>
        </w:rPr>
      </w:pPr>
      <w:r>
        <w:rPr>
          <w:rFonts w:hint="eastAsia" w:ascii="仿宋_GB2312" w:hAnsi="宋体" w:eastAsia="仿宋_GB2312"/>
          <w:sz w:val="32"/>
          <w:szCs w:val="32"/>
        </w:rPr>
        <w:t>（1）全面开展部门自评</w:t>
      </w:r>
    </w:p>
    <w:p>
      <w:pPr>
        <w:ind w:firstLine="640" w:firstLineChars="200"/>
        <w:rPr>
          <w:rFonts w:ascii="仿宋_GB2312" w:hAnsi="宋体" w:eastAsia="仿宋_GB2312"/>
          <w:sz w:val="32"/>
          <w:szCs w:val="32"/>
        </w:rPr>
      </w:pPr>
      <w:r>
        <w:rPr>
          <w:rFonts w:hint="eastAsia" w:ascii="仿宋_GB2312" w:hAnsi="宋体" w:eastAsia="仿宋_GB2312"/>
          <w:sz w:val="32"/>
          <w:szCs w:val="32"/>
        </w:rPr>
        <w:t>根据2022年县级预算项目绩效自评工作计划，组织了县级各预算部门（乡镇）及其下属单位对2021年度部门管理或使用的所有专项资金和整体支出开展绩效自评工作，并于8月底前财政局部门预算主管股室核查部门绩效自评情况，将核查结果反馈预算部门并督促整改。</w:t>
      </w:r>
    </w:p>
    <w:p>
      <w:pPr>
        <w:ind w:firstLine="640" w:firstLineChars="200"/>
        <w:rPr>
          <w:rFonts w:ascii="仿宋_GB2312" w:hAnsi="宋体" w:eastAsia="仿宋_GB2312"/>
          <w:sz w:val="32"/>
          <w:szCs w:val="32"/>
        </w:rPr>
      </w:pPr>
      <w:r>
        <w:rPr>
          <w:rFonts w:hint="eastAsia" w:ascii="仿宋_GB2312" w:hAnsi="宋体" w:eastAsia="仿宋_GB2312"/>
          <w:sz w:val="32"/>
          <w:szCs w:val="32"/>
        </w:rPr>
        <w:t>（2）财政重点绩效评价</w:t>
      </w:r>
    </w:p>
    <w:p>
      <w:pPr>
        <w:ind w:firstLine="640" w:firstLineChars="200"/>
        <w:rPr>
          <w:rFonts w:ascii="仿宋_GB2312" w:hAnsi="宋体" w:eastAsia="仿宋_GB2312"/>
          <w:sz w:val="32"/>
          <w:szCs w:val="32"/>
        </w:rPr>
      </w:pPr>
      <w:r>
        <w:rPr>
          <w:rFonts w:hint="eastAsia" w:ascii="仿宋_GB2312" w:hAnsi="宋体" w:eastAsia="仿宋_GB2312"/>
          <w:sz w:val="32"/>
          <w:szCs w:val="32"/>
        </w:rPr>
        <w:t>根据2022年县级财政重点绩效评价计划，财政抽出专人，同时聘请第三方对高阳县2021年12个财政重点项目进行了绩效评价，共涉及7个单位。形成了财政重点绩效评价报告。根据评价结果，11个项目评价为“优”，1个评价为“良”。</w:t>
      </w:r>
    </w:p>
    <w:p>
      <w:pPr>
        <w:ind w:firstLine="640" w:firstLineChars="200"/>
        <w:rPr>
          <w:rFonts w:ascii="仿宋_GB2312" w:hAnsi="宋体" w:eastAsia="仿宋_GB2312"/>
          <w:sz w:val="32"/>
          <w:szCs w:val="32"/>
        </w:rPr>
      </w:pPr>
      <w:r>
        <w:rPr>
          <w:rFonts w:hint="eastAsia" w:ascii="仿宋_GB2312" w:hAnsi="宋体" w:eastAsia="仿宋_GB2312"/>
          <w:sz w:val="32"/>
          <w:szCs w:val="32"/>
        </w:rPr>
        <w:t>（3）组织开展2022年县直部门预算绩效自评抽查。</w:t>
      </w:r>
    </w:p>
    <w:p>
      <w:pPr>
        <w:ind w:firstLine="640" w:firstLineChars="200"/>
        <w:rPr>
          <w:rFonts w:ascii="仿宋_GB2312" w:hAnsi="宋体" w:eastAsia="仿宋_GB2312"/>
          <w:sz w:val="32"/>
          <w:szCs w:val="32"/>
        </w:rPr>
      </w:pPr>
      <w:r>
        <w:rPr>
          <w:rFonts w:hint="eastAsia" w:ascii="仿宋_GB2312" w:hAnsi="宋体" w:eastAsia="仿宋_GB2312"/>
          <w:sz w:val="32"/>
          <w:szCs w:val="32"/>
        </w:rPr>
        <w:t>组织完成2022年县直一级预算部门预算绩效自评的基础上，对农业农村局、锦华街道办事处、自规局、交通局等县直单位进行了关于2021年预算部门所有项目支出资金和年初绩效目标指标的实现情况进行了自评抽查。</w:t>
      </w:r>
    </w:p>
    <w:p>
      <w:pPr>
        <w:ind w:firstLine="640" w:firstLineChars="200"/>
        <w:rPr>
          <w:rFonts w:ascii="仿宋_GB2312" w:hAnsi="宋体" w:eastAsia="仿宋_GB2312"/>
          <w:sz w:val="32"/>
          <w:szCs w:val="32"/>
        </w:rPr>
      </w:pPr>
      <w:r>
        <w:rPr>
          <w:rFonts w:hint="eastAsia" w:ascii="仿宋_GB2312" w:hAnsi="宋体" w:eastAsia="仿宋_GB2312"/>
          <w:sz w:val="32"/>
          <w:szCs w:val="32"/>
        </w:rPr>
        <w:t>6.绩效结果应用</w:t>
      </w:r>
    </w:p>
    <w:p>
      <w:pPr>
        <w:ind w:firstLine="640" w:firstLineChars="200"/>
        <w:rPr>
          <w:rFonts w:ascii="仿宋_GB2312" w:hAnsi="宋体" w:eastAsia="仿宋_GB2312"/>
          <w:sz w:val="32"/>
          <w:szCs w:val="32"/>
        </w:rPr>
      </w:pPr>
      <w:r>
        <w:rPr>
          <w:rFonts w:hint="eastAsia" w:ascii="仿宋_GB2312" w:hAnsi="宋体" w:eastAsia="仿宋_GB2312"/>
          <w:sz w:val="32"/>
          <w:szCs w:val="32"/>
        </w:rPr>
        <w:t>（1）绩效评价结果应用：工作完成后，县级财政部门向县政府、县人大报送了《高阳县财政局关于2022年县级财政重点项目绩效评价情况的报告》，建议在以后年度预算安排中，对评价为“优”、“良”的项目予以支持，对评价为“中”、“差”的予以调减或取消。</w:t>
      </w:r>
    </w:p>
    <w:p>
      <w:pPr>
        <w:ind w:firstLine="640" w:firstLineChars="200"/>
        <w:rPr>
          <w:rFonts w:ascii="仿宋_GB2312" w:hAnsi="宋体" w:eastAsia="仿宋_GB2312"/>
          <w:sz w:val="32"/>
          <w:szCs w:val="32"/>
        </w:rPr>
      </w:pPr>
      <w:r>
        <w:rPr>
          <w:rFonts w:hint="eastAsia" w:ascii="仿宋_GB2312" w:hAnsi="宋体" w:eastAsia="仿宋_GB2312"/>
          <w:sz w:val="32"/>
          <w:szCs w:val="32"/>
        </w:rPr>
        <w:t>（2）事前绩效评估结果应用：同意评估报告意见,建议项目实施单位对照评估报告提出的问题进行认真整改完善。将事前绩效评估结果作为2023年预算安排的重要参考，统筹考虑。</w:t>
      </w:r>
    </w:p>
    <w:p>
      <w:pPr>
        <w:ind w:firstLine="640" w:firstLineChars="200"/>
        <w:rPr>
          <w:rFonts w:ascii="仿宋_GB2312" w:hAnsi="宋体" w:eastAsia="仿宋_GB2312"/>
          <w:sz w:val="32"/>
          <w:szCs w:val="32"/>
        </w:rPr>
      </w:pPr>
      <w:r>
        <w:rPr>
          <w:rFonts w:hint="eastAsia" w:ascii="仿宋_GB2312" w:hAnsi="宋体" w:eastAsia="仿宋_GB2312"/>
          <w:sz w:val="32"/>
          <w:szCs w:val="32"/>
        </w:rPr>
        <w:t>（3）绩效监控结果应用：预计年底完成情况与年初目标差距较大的项目有5个，涉及资金5564.59万元；预计年度内项目不能实施、资金不能支出的项目有5个项目，涉及资金6434.23万元，针对预算绩效监控结果较差的项目，2021年采取暂停或停止拨款、调整预算、调整绩效目标指标等措施。针对年度内预计不能实施，资金不能支出的项目，由财政收回统筹用于</w:t>
      </w:r>
      <w:r>
        <w:rPr>
          <w:rFonts w:hint="eastAsia" w:ascii="仿宋_GB2312" w:hAnsi="宋体" w:eastAsia="仿宋_GB2312"/>
          <w:sz w:val="32"/>
          <w:szCs w:val="32"/>
          <w:lang w:eastAsia="zh-CN"/>
        </w:rPr>
        <w:t>县委县政府</w:t>
      </w:r>
      <w:r>
        <w:rPr>
          <w:rFonts w:hint="eastAsia" w:ascii="仿宋_GB2312" w:hAnsi="宋体" w:eastAsia="仿宋_GB2312"/>
          <w:sz w:val="32"/>
          <w:szCs w:val="32"/>
        </w:rPr>
        <w:t>确定的急需支出。</w:t>
      </w:r>
    </w:p>
    <w:p>
      <w:pPr>
        <w:ind w:firstLine="640" w:firstLineChars="200"/>
        <w:rPr>
          <w:rFonts w:ascii="仿宋_GB2312" w:hAnsi="宋体" w:eastAsia="仿宋_GB2312"/>
          <w:sz w:val="32"/>
          <w:szCs w:val="32"/>
        </w:rPr>
      </w:pPr>
      <w:r>
        <w:rPr>
          <w:rFonts w:hint="eastAsia" w:ascii="仿宋_GB2312" w:hAnsi="宋体" w:eastAsia="仿宋_GB2312"/>
          <w:sz w:val="32"/>
          <w:szCs w:val="32"/>
        </w:rPr>
        <w:t>（4）坚持绩效信息公开，将自评报告及财政重点评价报告都及时上传到了“高阳县人民政府门户网站”向社会公开。</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（5）纳入政府绩效考核情况：将“预算绩效管理水平”指标纳入《高阳县2022年度科级领导班子和领导干部综合考核办法》（高干考发〔2022〕5号）县直单位领导班子2022年度综合考核指标体系内。</w:t>
      </w:r>
    </w:p>
    <w:p>
      <w:pPr>
        <w:ind w:firstLine="640" w:firstLineChars="200"/>
        <w:rPr>
          <w:rFonts w:ascii="仿宋_GB2312" w:hAnsi="宋体"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五、政府采购预算安排情况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2023年县本级政府采购预算项目资金安排10306万元，按采购类别分：货物类1783万元、工程类1717万元、服务类6806万元。</w:t>
      </w:r>
    </w:p>
    <w:p>
      <w:pPr>
        <w:spacing w:beforeLines="100" w:afterLines="80" w:line="560" w:lineRule="exact"/>
        <w:ind w:firstLine="640" w:firstLineChars="200"/>
        <w:rPr>
          <w:rFonts w:hint="eastAsia" w:ascii="黑体" w:hAnsi="黑体" w:eastAsia="黑体"/>
          <w:sz w:val="32"/>
          <w:szCs w:val="32"/>
        </w:rPr>
      </w:pPr>
      <w:r>
        <w:rPr>
          <w:rFonts w:hint="eastAsia" w:ascii="黑体" w:hAnsi="黑体" w:eastAsia="黑体"/>
          <w:sz w:val="32"/>
          <w:szCs w:val="32"/>
        </w:rPr>
        <w:t>六、重大政策重大项目绩效目标</w:t>
      </w:r>
    </w:p>
    <w:p>
      <w:pPr>
        <w:ind w:firstLine="560"/>
      </w:pPr>
      <w:r>
        <w:rPr>
          <w:rFonts w:hint="eastAsia" w:ascii="方正仿宋_GBK" w:hAnsi="方正仿宋_GBK" w:eastAsia="方正仿宋_GBK" w:cs="方正仿宋_GBK"/>
          <w:b/>
          <w:color w:val="000000"/>
          <w:sz w:val="28"/>
        </w:rPr>
        <w:t>1</w:t>
      </w:r>
      <w:r>
        <w:rPr>
          <w:rFonts w:ascii="方正仿宋_GBK" w:hAnsi="方正仿宋_GBK" w:eastAsia="方正仿宋_GBK" w:cs="方正仿宋_GBK"/>
          <w:b/>
          <w:color w:val="000000"/>
          <w:sz w:val="28"/>
        </w:rPr>
        <w:t>、冀财资环【2022】89号中央-大气污染防治资金（省级双代资金）绩效目标表</w:t>
      </w:r>
    </w:p>
    <w:tbl>
      <w:tblPr>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rPr>
          <w:trHeight w:val="397" w:hRule="atLeast"/>
          <w:jc w:val="center"/>
        </w:trPr>
        <w:tc>
          <w:tcPr>
            <w:tcW w:w="7399" w:type="dxa"/>
            <w:tcBorders>
              <w:bottom w:val="single" w:color="FFFFFF" w:sz="6" w:space="0"/>
            </w:tcBorders>
            <w:vAlign w:val="center"/>
          </w:tcPr>
          <w:p>
            <w:pPr>
              <w:pStyle w:val="9"/>
            </w:pPr>
            <w:r>
              <w:t>绩效目标</w:t>
            </w:r>
          </w:p>
        </w:tc>
        <w:tc>
          <w:tcPr>
            <w:tcW w:w="7399" w:type="dxa"/>
            <w:tcBorders>
              <w:bottom w:val="single" w:color="FFFFFF" w:sz="6" w:space="0"/>
            </w:tcBorders>
            <w:vAlign w:val="center"/>
          </w:tcPr>
          <w:p>
            <w:pPr>
              <w:pStyle w:val="10"/>
            </w:pPr>
            <w:r>
              <w:t>1.改善空气质量</w:t>
            </w:r>
          </w:p>
        </w:tc>
      </w:tr>
    </w:tbl>
    <w:p>
      <w:pPr>
        <w:spacing w:line="2" w:lineRule="exact"/>
        <w:jc w:val="center"/>
      </w:pPr>
      <w:r>
        <w:rPr>
          <w:rFonts w:ascii="方正书宋_GBK" w:hAnsi="方正书宋_GBK" w:eastAsia="方正书宋_GBK" w:cs="方正书宋_GBK"/>
          <w:color w:val="000000"/>
          <w:sz w:val="18"/>
        </w:rPr>
        <w:t xml:space="preserve"> </w:t>
      </w:r>
    </w:p>
    <w:tbl>
      <w:tblPr>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rPr>
          <w:trHeight w:val="397" w:hRule="atLeast"/>
          <w:tblHeader/>
          <w:jc w:val="center"/>
        </w:trPr>
        <w:tc>
          <w:tcPr>
            <w:tcW w:w="2466" w:type="dxa"/>
            <w:vAlign w:val="center"/>
          </w:tcPr>
          <w:p>
            <w:pPr>
              <w:pStyle w:val="9"/>
            </w:pPr>
            <w:r>
              <w:t>一级指标</w:t>
            </w:r>
          </w:p>
        </w:tc>
        <w:tc>
          <w:tcPr>
            <w:tcW w:w="2466" w:type="dxa"/>
            <w:vAlign w:val="center"/>
          </w:tcPr>
          <w:p>
            <w:pPr>
              <w:pStyle w:val="9"/>
            </w:pPr>
            <w:r>
              <w:t>二级指标</w:t>
            </w:r>
          </w:p>
        </w:tc>
        <w:tc>
          <w:tcPr>
            <w:tcW w:w="2466" w:type="dxa"/>
            <w:vAlign w:val="center"/>
          </w:tcPr>
          <w:p>
            <w:pPr>
              <w:pStyle w:val="9"/>
            </w:pPr>
            <w:r>
              <w:t>三级指标</w:t>
            </w:r>
          </w:p>
        </w:tc>
        <w:tc>
          <w:tcPr>
            <w:tcW w:w="2466" w:type="dxa"/>
            <w:vAlign w:val="center"/>
          </w:tcPr>
          <w:p>
            <w:pPr>
              <w:pStyle w:val="9"/>
            </w:pPr>
            <w:r>
              <w:t>绩效指标描述</w:t>
            </w:r>
          </w:p>
        </w:tc>
        <w:tc>
          <w:tcPr>
            <w:tcW w:w="2466" w:type="dxa"/>
            <w:vAlign w:val="center"/>
          </w:tcPr>
          <w:p>
            <w:pPr>
              <w:pStyle w:val="9"/>
            </w:pPr>
            <w:r>
              <w:t>指标值</w:t>
            </w:r>
          </w:p>
        </w:tc>
        <w:tc>
          <w:tcPr>
            <w:tcW w:w="2466" w:type="dxa"/>
            <w:vAlign w:val="center"/>
          </w:tcPr>
          <w:p>
            <w:pPr>
              <w:pStyle w:val="9"/>
            </w:pPr>
            <w:r>
              <w:t>指标值确定依据</w:t>
            </w:r>
          </w:p>
        </w:tc>
      </w:tr>
      <w:tr>
        <w:trPr>
          <w:trHeight w:val="397" w:hRule="atLeast"/>
          <w:jc w:val="center"/>
        </w:trPr>
        <w:tc>
          <w:tcPr>
            <w:tcW w:w="2466" w:type="dxa"/>
            <w:vMerge w:val="restart"/>
            <w:vAlign w:val="center"/>
          </w:tcPr>
          <w:p>
            <w:pPr>
              <w:pStyle w:val="11"/>
            </w:pPr>
            <w:r>
              <w:t>产出指标</w:t>
            </w:r>
          </w:p>
        </w:tc>
        <w:tc>
          <w:tcPr>
            <w:tcW w:w="2466" w:type="dxa"/>
            <w:vAlign w:val="center"/>
          </w:tcPr>
          <w:p>
            <w:pPr>
              <w:pStyle w:val="10"/>
            </w:pPr>
            <w:r>
              <w:t>数量指标</w:t>
            </w:r>
          </w:p>
        </w:tc>
        <w:tc>
          <w:tcPr>
            <w:tcW w:w="2466" w:type="dxa"/>
            <w:vAlign w:val="center"/>
          </w:tcPr>
          <w:p>
            <w:pPr>
              <w:pStyle w:val="10"/>
            </w:pPr>
            <w:r>
              <w:t>补贴户数</w:t>
            </w:r>
          </w:p>
        </w:tc>
        <w:tc>
          <w:tcPr>
            <w:tcW w:w="2466" w:type="dxa"/>
            <w:vAlign w:val="center"/>
          </w:tcPr>
          <w:p>
            <w:pPr>
              <w:pStyle w:val="10"/>
            </w:pPr>
            <w:r>
              <w:t>改造补贴户数</w:t>
            </w:r>
          </w:p>
        </w:tc>
        <w:tc>
          <w:tcPr>
            <w:tcW w:w="2466" w:type="dxa"/>
            <w:vAlign w:val="center"/>
          </w:tcPr>
          <w:p>
            <w:pPr>
              <w:pStyle w:val="10"/>
            </w:pPr>
            <w:r>
              <w:t>气代煤改造户</w:t>
            </w:r>
          </w:p>
        </w:tc>
        <w:tc>
          <w:tcPr>
            <w:tcW w:w="2466" w:type="dxa"/>
            <w:vAlign w:val="center"/>
          </w:tcPr>
          <w:p>
            <w:pPr>
              <w:pStyle w:val="10"/>
            </w:pPr>
            <w:r>
              <w:t>冀财资环【2022】89号</w:t>
            </w:r>
          </w:p>
        </w:tc>
      </w:tr>
      <w:tr>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补助率</w:t>
            </w:r>
          </w:p>
        </w:tc>
        <w:tc>
          <w:tcPr>
            <w:tcW w:w="2466" w:type="dxa"/>
            <w:vAlign w:val="center"/>
          </w:tcPr>
          <w:p>
            <w:pPr>
              <w:pStyle w:val="10"/>
            </w:pPr>
            <w:r>
              <w:t>对改造居民补助率</w:t>
            </w:r>
          </w:p>
        </w:tc>
        <w:tc>
          <w:tcPr>
            <w:tcW w:w="2466" w:type="dxa"/>
            <w:vAlign w:val="center"/>
          </w:tcPr>
          <w:p>
            <w:pPr>
              <w:pStyle w:val="10"/>
            </w:pPr>
            <w:r>
              <w:t>100%</w:t>
            </w:r>
          </w:p>
        </w:tc>
        <w:tc>
          <w:tcPr>
            <w:tcW w:w="2466" w:type="dxa"/>
            <w:vAlign w:val="center"/>
          </w:tcPr>
          <w:p>
            <w:pPr>
              <w:pStyle w:val="10"/>
            </w:pPr>
            <w:r>
              <w:t>冀财资环【2022】89号</w:t>
            </w:r>
          </w:p>
        </w:tc>
      </w:tr>
      <w:tr>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补贴完成进度</w:t>
            </w:r>
          </w:p>
        </w:tc>
        <w:tc>
          <w:tcPr>
            <w:tcW w:w="2466" w:type="dxa"/>
            <w:vAlign w:val="center"/>
          </w:tcPr>
          <w:p>
            <w:pPr>
              <w:pStyle w:val="10"/>
            </w:pPr>
            <w:r>
              <w:t>补贴完成进度</w:t>
            </w:r>
          </w:p>
        </w:tc>
        <w:tc>
          <w:tcPr>
            <w:tcW w:w="2466" w:type="dxa"/>
            <w:vAlign w:val="center"/>
          </w:tcPr>
          <w:p>
            <w:pPr>
              <w:pStyle w:val="10"/>
            </w:pPr>
            <w:r>
              <w:t>按资金到位进度拨付</w:t>
            </w:r>
          </w:p>
        </w:tc>
        <w:tc>
          <w:tcPr>
            <w:tcW w:w="2466" w:type="dxa"/>
            <w:vAlign w:val="center"/>
          </w:tcPr>
          <w:p>
            <w:pPr>
              <w:pStyle w:val="10"/>
            </w:pPr>
            <w:r>
              <w:t>冀财资环【2022】89号</w:t>
            </w:r>
          </w:p>
        </w:tc>
      </w:tr>
      <w:tr>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补贴金额</w:t>
            </w:r>
          </w:p>
        </w:tc>
        <w:tc>
          <w:tcPr>
            <w:tcW w:w="2466" w:type="dxa"/>
            <w:vAlign w:val="center"/>
          </w:tcPr>
          <w:p>
            <w:pPr>
              <w:pStyle w:val="10"/>
            </w:pPr>
            <w:r>
              <w:t>每户补贴金额</w:t>
            </w:r>
          </w:p>
        </w:tc>
        <w:tc>
          <w:tcPr>
            <w:tcW w:w="2466" w:type="dxa"/>
            <w:vAlign w:val="center"/>
          </w:tcPr>
          <w:p>
            <w:pPr>
              <w:pStyle w:val="10"/>
            </w:pPr>
            <w:r>
              <w:t>320元/户</w:t>
            </w:r>
          </w:p>
        </w:tc>
        <w:tc>
          <w:tcPr>
            <w:tcW w:w="2466" w:type="dxa"/>
            <w:vAlign w:val="center"/>
          </w:tcPr>
          <w:p>
            <w:pPr>
              <w:pStyle w:val="10"/>
            </w:pPr>
            <w:r>
              <w:t>冀财资环【2022】89号</w:t>
            </w:r>
          </w:p>
        </w:tc>
      </w:tr>
      <w:tr>
        <w:trPr>
          <w:trHeight w:val="397" w:hRule="atLeast"/>
          <w:jc w:val="center"/>
        </w:trPr>
        <w:tc>
          <w:tcPr>
            <w:tcW w:w="2466" w:type="dxa"/>
            <w:vAlign w:val="center"/>
          </w:tcPr>
          <w:p>
            <w:pPr>
              <w:pStyle w:val="11"/>
            </w:pPr>
            <w:r>
              <w:t>效益指标</w:t>
            </w:r>
          </w:p>
        </w:tc>
        <w:tc>
          <w:tcPr>
            <w:tcW w:w="2466" w:type="dxa"/>
            <w:vAlign w:val="center"/>
          </w:tcPr>
          <w:p>
            <w:pPr>
              <w:pStyle w:val="10"/>
            </w:pPr>
            <w:r>
              <w:t>生态效益指标</w:t>
            </w:r>
          </w:p>
        </w:tc>
        <w:tc>
          <w:tcPr>
            <w:tcW w:w="2466" w:type="dxa"/>
            <w:vAlign w:val="center"/>
          </w:tcPr>
          <w:p>
            <w:pPr>
              <w:pStyle w:val="10"/>
            </w:pPr>
            <w:r>
              <w:t>空气质量提升</w:t>
            </w:r>
          </w:p>
        </w:tc>
        <w:tc>
          <w:tcPr>
            <w:tcW w:w="2466" w:type="dxa"/>
            <w:vAlign w:val="center"/>
          </w:tcPr>
          <w:p>
            <w:pPr>
              <w:pStyle w:val="10"/>
            </w:pPr>
            <w:r>
              <w:t>较气代煤改造前有所提升</w:t>
            </w:r>
          </w:p>
        </w:tc>
        <w:tc>
          <w:tcPr>
            <w:tcW w:w="2466" w:type="dxa"/>
            <w:vAlign w:val="center"/>
          </w:tcPr>
          <w:p>
            <w:pPr>
              <w:pStyle w:val="10"/>
            </w:pPr>
            <w:r>
              <w:t>空气质量有所提升</w:t>
            </w:r>
          </w:p>
        </w:tc>
        <w:tc>
          <w:tcPr>
            <w:tcW w:w="2466" w:type="dxa"/>
            <w:vAlign w:val="center"/>
          </w:tcPr>
          <w:p>
            <w:pPr>
              <w:pStyle w:val="10"/>
            </w:pPr>
            <w:r>
              <w:t>冀财资环【2022】89号</w:t>
            </w:r>
          </w:p>
        </w:tc>
      </w:tr>
    </w:tbl>
    <w:p>
      <w:pPr>
        <w:ind w:firstLine="560"/>
        <w:rPr>
          <w:rFonts w:hint="eastAsia" w:ascii="方正仿宋_GBK" w:hAnsi="方正仿宋_GBK" w:eastAsia="方正仿宋_GBK" w:cs="方正仿宋_GBK"/>
          <w:b/>
          <w:color w:val="000000"/>
          <w:sz w:val="28"/>
        </w:rPr>
      </w:pPr>
    </w:p>
    <w:p>
      <w:pPr>
        <w:ind w:firstLine="560"/>
        <w:rPr>
          <w:rFonts w:hint="eastAsia" w:ascii="方正仿宋_GBK" w:hAnsi="方正仿宋_GBK" w:eastAsia="方正仿宋_GBK" w:cs="方正仿宋_GBK"/>
          <w:b/>
          <w:color w:val="000000"/>
          <w:sz w:val="28"/>
        </w:rPr>
      </w:pPr>
    </w:p>
    <w:p>
      <w:pPr>
        <w:ind w:firstLine="560"/>
        <w:rPr>
          <w:rFonts w:hint="eastAsia" w:ascii="方正仿宋_GBK" w:hAnsi="方正仿宋_GBK" w:eastAsia="方正仿宋_GBK" w:cs="方正仿宋_GBK"/>
          <w:b/>
          <w:color w:val="000000"/>
          <w:sz w:val="28"/>
        </w:rPr>
      </w:pPr>
    </w:p>
    <w:p>
      <w:pPr>
        <w:ind w:firstLine="560"/>
      </w:pPr>
      <w:r>
        <w:rPr>
          <w:rFonts w:hint="eastAsia" w:ascii="方正仿宋_GBK" w:hAnsi="方正仿宋_GBK" w:eastAsia="方正仿宋_GBK" w:cs="方正仿宋_GBK"/>
          <w:b/>
          <w:color w:val="000000"/>
          <w:sz w:val="28"/>
        </w:rPr>
        <w:t>2</w:t>
      </w:r>
      <w:r>
        <w:rPr>
          <w:rFonts w:ascii="方正仿宋_GBK" w:hAnsi="方正仿宋_GBK" w:eastAsia="方正仿宋_GBK" w:cs="方正仿宋_GBK"/>
          <w:b/>
          <w:color w:val="000000"/>
          <w:sz w:val="28"/>
        </w:rPr>
        <w:t>、冀财建【2022】256号-大气污染防治资金（节能与循环经济）绩效目标表</w:t>
      </w:r>
    </w:p>
    <w:tbl>
      <w:tblPr>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rPr>
          <w:trHeight w:val="397" w:hRule="atLeast"/>
          <w:jc w:val="center"/>
        </w:trPr>
        <w:tc>
          <w:tcPr>
            <w:tcW w:w="7399" w:type="dxa"/>
            <w:tcBorders>
              <w:bottom w:val="single" w:color="FFFFFF" w:sz="6" w:space="0"/>
            </w:tcBorders>
            <w:vAlign w:val="center"/>
          </w:tcPr>
          <w:p>
            <w:pPr>
              <w:pStyle w:val="9"/>
            </w:pPr>
            <w:r>
              <w:t>绩效目标</w:t>
            </w:r>
          </w:p>
        </w:tc>
        <w:tc>
          <w:tcPr>
            <w:tcW w:w="7399" w:type="dxa"/>
            <w:tcBorders>
              <w:bottom w:val="single" w:color="FFFFFF" w:sz="6" w:space="0"/>
            </w:tcBorders>
            <w:vAlign w:val="center"/>
          </w:tcPr>
          <w:p>
            <w:pPr>
              <w:pStyle w:val="10"/>
            </w:pPr>
            <w:r>
              <w:t>1.引导工业企业实施节能技术改造，推进大宗固废综合利用，提高资源利用效率。</w:t>
            </w:r>
          </w:p>
        </w:tc>
      </w:tr>
    </w:tbl>
    <w:p>
      <w:pPr>
        <w:spacing w:line="2" w:lineRule="exact"/>
        <w:jc w:val="center"/>
      </w:pPr>
      <w:r>
        <w:rPr>
          <w:rFonts w:ascii="方正书宋_GBK" w:hAnsi="方正书宋_GBK" w:eastAsia="方正书宋_GBK" w:cs="方正书宋_GBK"/>
          <w:color w:val="000000"/>
          <w:sz w:val="18"/>
        </w:rPr>
        <w:t xml:space="preserve"> </w:t>
      </w:r>
    </w:p>
    <w:tbl>
      <w:tblPr>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rPr>
          <w:trHeight w:val="397" w:hRule="atLeast"/>
          <w:tblHeader/>
          <w:jc w:val="center"/>
        </w:trPr>
        <w:tc>
          <w:tcPr>
            <w:tcW w:w="2466" w:type="dxa"/>
            <w:vAlign w:val="center"/>
          </w:tcPr>
          <w:p>
            <w:pPr>
              <w:pStyle w:val="9"/>
            </w:pPr>
            <w:r>
              <w:t>一级指标</w:t>
            </w:r>
          </w:p>
        </w:tc>
        <w:tc>
          <w:tcPr>
            <w:tcW w:w="2466" w:type="dxa"/>
            <w:vAlign w:val="center"/>
          </w:tcPr>
          <w:p>
            <w:pPr>
              <w:pStyle w:val="9"/>
            </w:pPr>
            <w:r>
              <w:t>二级指标</w:t>
            </w:r>
          </w:p>
        </w:tc>
        <w:tc>
          <w:tcPr>
            <w:tcW w:w="2466" w:type="dxa"/>
            <w:vAlign w:val="center"/>
          </w:tcPr>
          <w:p>
            <w:pPr>
              <w:pStyle w:val="9"/>
            </w:pPr>
            <w:r>
              <w:t>三级指标</w:t>
            </w:r>
          </w:p>
        </w:tc>
        <w:tc>
          <w:tcPr>
            <w:tcW w:w="2466" w:type="dxa"/>
            <w:vAlign w:val="center"/>
          </w:tcPr>
          <w:p>
            <w:pPr>
              <w:pStyle w:val="9"/>
            </w:pPr>
            <w:r>
              <w:t>绩效指标描述</w:t>
            </w:r>
          </w:p>
        </w:tc>
        <w:tc>
          <w:tcPr>
            <w:tcW w:w="2466" w:type="dxa"/>
            <w:vAlign w:val="center"/>
          </w:tcPr>
          <w:p>
            <w:pPr>
              <w:pStyle w:val="9"/>
            </w:pPr>
            <w:r>
              <w:t>指标值</w:t>
            </w:r>
          </w:p>
        </w:tc>
        <w:tc>
          <w:tcPr>
            <w:tcW w:w="2466" w:type="dxa"/>
            <w:vAlign w:val="center"/>
          </w:tcPr>
          <w:p>
            <w:pPr>
              <w:pStyle w:val="9"/>
            </w:pPr>
            <w:r>
              <w:t>指标值确定依据</w:t>
            </w:r>
          </w:p>
        </w:tc>
      </w:tr>
      <w:tr>
        <w:trPr>
          <w:trHeight w:val="397" w:hRule="atLeast"/>
          <w:jc w:val="center"/>
        </w:trPr>
        <w:tc>
          <w:tcPr>
            <w:tcW w:w="2466" w:type="dxa"/>
            <w:vMerge w:val="restart"/>
            <w:vAlign w:val="center"/>
          </w:tcPr>
          <w:p>
            <w:pPr>
              <w:pStyle w:val="11"/>
            </w:pPr>
            <w:r>
              <w:t>产出指标</w:t>
            </w:r>
          </w:p>
        </w:tc>
        <w:tc>
          <w:tcPr>
            <w:tcW w:w="2466" w:type="dxa"/>
            <w:vAlign w:val="center"/>
          </w:tcPr>
          <w:p>
            <w:pPr>
              <w:pStyle w:val="10"/>
            </w:pPr>
            <w:r>
              <w:t>数量指标</w:t>
            </w:r>
          </w:p>
        </w:tc>
        <w:tc>
          <w:tcPr>
            <w:tcW w:w="2466" w:type="dxa"/>
            <w:vAlign w:val="center"/>
          </w:tcPr>
          <w:p>
            <w:pPr>
              <w:pStyle w:val="10"/>
            </w:pPr>
            <w:r>
              <w:t>支持项目数</w:t>
            </w:r>
          </w:p>
        </w:tc>
        <w:tc>
          <w:tcPr>
            <w:tcW w:w="2466" w:type="dxa"/>
            <w:vAlign w:val="center"/>
          </w:tcPr>
          <w:p>
            <w:pPr>
              <w:pStyle w:val="10"/>
            </w:pPr>
            <w:r>
              <w:t>专项资金支持项目数量</w:t>
            </w:r>
          </w:p>
        </w:tc>
        <w:tc>
          <w:tcPr>
            <w:tcW w:w="2466" w:type="dxa"/>
            <w:vAlign w:val="center"/>
          </w:tcPr>
          <w:p>
            <w:pPr>
              <w:pStyle w:val="10"/>
            </w:pPr>
            <w:r>
              <w:t>1家</w:t>
            </w:r>
          </w:p>
        </w:tc>
        <w:tc>
          <w:tcPr>
            <w:tcW w:w="2466" w:type="dxa"/>
            <w:vAlign w:val="center"/>
          </w:tcPr>
          <w:p>
            <w:pPr>
              <w:pStyle w:val="10"/>
            </w:pPr>
            <w:r>
              <w:t>冀财建【2022】256号</w:t>
            </w:r>
          </w:p>
        </w:tc>
      </w:tr>
      <w:tr>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项目示范意义和带动性</w:t>
            </w:r>
          </w:p>
        </w:tc>
        <w:tc>
          <w:tcPr>
            <w:tcW w:w="2466" w:type="dxa"/>
            <w:vAlign w:val="center"/>
          </w:tcPr>
          <w:p>
            <w:pPr>
              <w:pStyle w:val="10"/>
            </w:pPr>
            <w:r>
              <w:t>具有示范意义、带动性强的项目</w:t>
            </w:r>
          </w:p>
        </w:tc>
        <w:tc>
          <w:tcPr>
            <w:tcW w:w="2466" w:type="dxa"/>
            <w:vAlign w:val="center"/>
          </w:tcPr>
          <w:p>
            <w:pPr>
              <w:pStyle w:val="10"/>
            </w:pPr>
            <w:r>
              <w:t>示范意义和带动性</w:t>
            </w:r>
          </w:p>
        </w:tc>
        <w:tc>
          <w:tcPr>
            <w:tcW w:w="2466" w:type="dxa"/>
            <w:vAlign w:val="center"/>
          </w:tcPr>
          <w:p>
            <w:pPr>
              <w:pStyle w:val="10"/>
            </w:pPr>
            <w:r>
              <w:t>冀财建【2022】256号</w:t>
            </w:r>
          </w:p>
        </w:tc>
      </w:tr>
      <w:tr>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当年获资金支持项目开工比例</w:t>
            </w:r>
          </w:p>
        </w:tc>
        <w:tc>
          <w:tcPr>
            <w:tcW w:w="2466" w:type="dxa"/>
            <w:vAlign w:val="center"/>
          </w:tcPr>
          <w:p>
            <w:pPr>
              <w:pStyle w:val="10"/>
            </w:pPr>
            <w:r>
              <w:t>当年开工项目占支持项目比例</w:t>
            </w:r>
          </w:p>
        </w:tc>
        <w:tc>
          <w:tcPr>
            <w:tcW w:w="2466" w:type="dxa"/>
            <w:vAlign w:val="center"/>
          </w:tcPr>
          <w:p>
            <w:pPr>
              <w:pStyle w:val="10"/>
            </w:pPr>
            <w:r>
              <w:t>≥80%</w:t>
            </w:r>
          </w:p>
        </w:tc>
        <w:tc>
          <w:tcPr>
            <w:tcW w:w="2466" w:type="dxa"/>
            <w:vAlign w:val="center"/>
          </w:tcPr>
          <w:p>
            <w:pPr>
              <w:pStyle w:val="10"/>
            </w:pPr>
            <w:r>
              <w:t>冀财建【2022】256号</w:t>
            </w:r>
          </w:p>
        </w:tc>
      </w:tr>
      <w:tr>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专项资金占项目投资比例</w:t>
            </w:r>
          </w:p>
        </w:tc>
        <w:tc>
          <w:tcPr>
            <w:tcW w:w="2466" w:type="dxa"/>
            <w:vAlign w:val="center"/>
          </w:tcPr>
          <w:p>
            <w:pPr>
              <w:pStyle w:val="10"/>
            </w:pPr>
            <w:r>
              <w:t>专项资金补助金额/项目的比例</w:t>
            </w:r>
          </w:p>
        </w:tc>
        <w:tc>
          <w:tcPr>
            <w:tcW w:w="2466" w:type="dxa"/>
            <w:vAlign w:val="center"/>
          </w:tcPr>
          <w:p>
            <w:pPr>
              <w:pStyle w:val="10"/>
            </w:pPr>
            <w:r>
              <w:t>≤8%</w:t>
            </w:r>
          </w:p>
        </w:tc>
        <w:tc>
          <w:tcPr>
            <w:tcW w:w="2466" w:type="dxa"/>
            <w:vAlign w:val="center"/>
          </w:tcPr>
          <w:p>
            <w:pPr>
              <w:pStyle w:val="10"/>
            </w:pPr>
            <w:r>
              <w:t>冀财建【2022】256号</w:t>
            </w:r>
          </w:p>
        </w:tc>
      </w:tr>
      <w:tr>
        <w:trPr>
          <w:trHeight w:val="397" w:hRule="atLeast"/>
          <w:jc w:val="center"/>
        </w:trPr>
        <w:tc>
          <w:tcPr>
            <w:tcW w:w="2466" w:type="dxa"/>
            <w:vAlign w:val="center"/>
          </w:tcPr>
          <w:p>
            <w:pPr>
              <w:pStyle w:val="11"/>
            </w:pPr>
            <w:r>
              <w:t>效益指标</w:t>
            </w:r>
          </w:p>
        </w:tc>
        <w:tc>
          <w:tcPr>
            <w:tcW w:w="2466" w:type="dxa"/>
            <w:vAlign w:val="center"/>
          </w:tcPr>
          <w:p>
            <w:pPr>
              <w:pStyle w:val="10"/>
            </w:pPr>
            <w:r>
              <w:t>生态效益指标</w:t>
            </w:r>
          </w:p>
        </w:tc>
        <w:tc>
          <w:tcPr>
            <w:tcW w:w="2466" w:type="dxa"/>
            <w:vAlign w:val="center"/>
          </w:tcPr>
          <w:p>
            <w:pPr>
              <w:pStyle w:val="10"/>
            </w:pPr>
            <w:r>
              <w:t>单位GDP能耗降低率</w:t>
            </w:r>
          </w:p>
        </w:tc>
        <w:tc>
          <w:tcPr>
            <w:tcW w:w="2466" w:type="dxa"/>
            <w:vAlign w:val="center"/>
          </w:tcPr>
          <w:p>
            <w:pPr>
              <w:pStyle w:val="10"/>
            </w:pPr>
            <w:r>
              <w:t>万元国内生产总值所消耗的综合能耗的降低比例</w:t>
            </w:r>
          </w:p>
        </w:tc>
        <w:tc>
          <w:tcPr>
            <w:tcW w:w="2466" w:type="dxa"/>
            <w:vAlign w:val="center"/>
          </w:tcPr>
          <w:p>
            <w:pPr>
              <w:pStyle w:val="10"/>
            </w:pPr>
            <w:r>
              <w:t>≥2%</w:t>
            </w:r>
          </w:p>
        </w:tc>
        <w:tc>
          <w:tcPr>
            <w:tcW w:w="2466" w:type="dxa"/>
            <w:vAlign w:val="center"/>
          </w:tcPr>
          <w:p>
            <w:pPr>
              <w:pStyle w:val="10"/>
            </w:pPr>
            <w:r>
              <w:t>冀财建【2022】256号</w:t>
            </w:r>
          </w:p>
        </w:tc>
      </w:tr>
      <w:tr>
        <w:trPr>
          <w:trHeight w:val="397" w:hRule="atLeast"/>
          <w:jc w:val="center"/>
        </w:trPr>
        <w:tc>
          <w:tcPr>
            <w:tcW w:w="2466" w:type="dxa"/>
            <w:vAlign w:val="center"/>
          </w:tcPr>
          <w:p>
            <w:pPr>
              <w:pStyle w:val="11"/>
            </w:pPr>
            <w:r>
              <w:t>满意度指标</w:t>
            </w:r>
          </w:p>
        </w:tc>
        <w:tc>
          <w:tcPr>
            <w:tcW w:w="2466" w:type="dxa"/>
            <w:vAlign w:val="center"/>
          </w:tcPr>
          <w:p>
            <w:pPr>
              <w:pStyle w:val="10"/>
            </w:pPr>
            <w:r>
              <w:t>服务对象满意度指标</w:t>
            </w:r>
          </w:p>
        </w:tc>
        <w:tc>
          <w:tcPr>
            <w:tcW w:w="2466" w:type="dxa"/>
            <w:vAlign w:val="center"/>
          </w:tcPr>
          <w:p>
            <w:pPr>
              <w:pStyle w:val="10"/>
            </w:pPr>
            <w:r>
              <w:t>相关企业满意度</w:t>
            </w:r>
          </w:p>
        </w:tc>
        <w:tc>
          <w:tcPr>
            <w:tcW w:w="2466" w:type="dxa"/>
            <w:vAlign w:val="center"/>
          </w:tcPr>
          <w:p>
            <w:pPr>
              <w:pStyle w:val="10"/>
            </w:pPr>
            <w:r>
              <w:t>相关企业满意度</w:t>
            </w:r>
          </w:p>
        </w:tc>
        <w:tc>
          <w:tcPr>
            <w:tcW w:w="2466" w:type="dxa"/>
            <w:vAlign w:val="center"/>
          </w:tcPr>
          <w:p>
            <w:pPr>
              <w:pStyle w:val="10"/>
            </w:pPr>
            <w:r>
              <w:t>≥90%</w:t>
            </w:r>
          </w:p>
        </w:tc>
        <w:tc>
          <w:tcPr>
            <w:tcW w:w="2466" w:type="dxa"/>
            <w:vAlign w:val="center"/>
          </w:tcPr>
          <w:p>
            <w:pPr>
              <w:pStyle w:val="10"/>
            </w:pPr>
            <w:r>
              <w:t>冀财建【2022】256号</w:t>
            </w:r>
          </w:p>
        </w:tc>
      </w:tr>
    </w:tbl>
    <w:p>
      <w:pPr>
        <w:ind w:firstLine="560"/>
        <w:rPr>
          <w:rFonts w:hint="eastAsia" w:ascii="方正仿宋_GBK" w:hAnsi="方正仿宋_GBK" w:eastAsia="方正仿宋_GBK" w:cs="方正仿宋_GBK"/>
          <w:b/>
          <w:color w:val="000000"/>
          <w:sz w:val="28"/>
        </w:rPr>
      </w:pPr>
    </w:p>
    <w:p>
      <w:pPr>
        <w:ind w:firstLine="560"/>
        <w:rPr>
          <w:rFonts w:hint="eastAsia" w:ascii="方正仿宋_GBK" w:hAnsi="方正仿宋_GBK" w:eastAsia="方正仿宋_GBK" w:cs="方正仿宋_GBK"/>
          <w:b/>
          <w:color w:val="000000"/>
          <w:sz w:val="28"/>
        </w:rPr>
      </w:pPr>
    </w:p>
    <w:p>
      <w:pPr>
        <w:ind w:firstLine="560"/>
        <w:rPr>
          <w:rFonts w:hint="eastAsia" w:ascii="方正仿宋_GBK" w:hAnsi="方正仿宋_GBK" w:eastAsia="方正仿宋_GBK" w:cs="方正仿宋_GBK"/>
          <w:b/>
          <w:color w:val="000000"/>
          <w:sz w:val="28"/>
        </w:rPr>
      </w:pPr>
    </w:p>
    <w:p>
      <w:pPr>
        <w:ind w:firstLine="560"/>
        <w:rPr>
          <w:rFonts w:hint="eastAsia" w:ascii="方正仿宋_GBK" w:hAnsi="方正仿宋_GBK" w:eastAsia="方正仿宋_GBK" w:cs="方正仿宋_GBK"/>
          <w:b/>
          <w:color w:val="000000"/>
          <w:sz w:val="28"/>
        </w:rPr>
      </w:pPr>
    </w:p>
    <w:p>
      <w:pPr>
        <w:ind w:firstLine="560"/>
        <w:rPr>
          <w:rFonts w:hint="eastAsia" w:ascii="方正仿宋_GBK" w:hAnsi="方正仿宋_GBK" w:eastAsia="方正仿宋_GBK" w:cs="方正仿宋_GBK"/>
          <w:b/>
          <w:color w:val="000000"/>
          <w:sz w:val="28"/>
        </w:rPr>
      </w:pPr>
    </w:p>
    <w:p>
      <w:pPr>
        <w:ind w:firstLine="560"/>
      </w:pPr>
      <w:r>
        <w:rPr>
          <w:rFonts w:hint="eastAsia" w:ascii="方正仿宋_GBK" w:hAnsi="方正仿宋_GBK" w:eastAsia="方正仿宋_GBK" w:cs="方正仿宋_GBK"/>
          <w:b/>
          <w:color w:val="000000"/>
          <w:sz w:val="28"/>
        </w:rPr>
        <w:t>3</w:t>
      </w:r>
      <w:r>
        <w:rPr>
          <w:rFonts w:ascii="方正仿宋_GBK" w:hAnsi="方正仿宋_GBK" w:eastAsia="方正仿宋_GBK" w:cs="方正仿宋_GBK"/>
          <w:b/>
          <w:color w:val="000000"/>
          <w:sz w:val="28"/>
        </w:rPr>
        <w:t>、冀财建【2022】216号中央-大气污染防治资金（省级双代资金）绩效目标表</w:t>
      </w:r>
    </w:p>
    <w:tbl>
      <w:tblPr>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rPr>
          <w:trHeight w:val="397" w:hRule="atLeast"/>
          <w:jc w:val="center"/>
        </w:trPr>
        <w:tc>
          <w:tcPr>
            <w:tcW w:w="7399" w:type="dxa"/>
            <w:tcBorders>
              <w:bottom w:val="single" w:color="FFFFFF" w:sz="6" w:space="0"/>
            </w:tcBorders>
            <w:vAlign w:val="center"/>
          </w:tcPr>
          <w:p>
            <w:pPr>
              <w:pStyle w:val="9"/>
            </w:pPr>
            <w:r>
              <w:t>绩效目标</w:t>
            </w:r>
          </w:p>
        </w:tc>
        <w:tc>
          <w:tcPr>
            <w:tcW w:w="7399" w:type="dxa"/>
            <w:tcBorders>
              <w:bottom w:val="single" w:color="FFFFFF" w:sz="6" w:space="0"/>
            </w:tcBorders>
            <w:vAlign w:val="center"/>
          </w:tcPr>
          <w:p>
            <w:pPr>
              <w:pStyle w:val="10"/>
            </w:pPr>
            <w:r>
              <w:t>1.改善空气质量</w:t>
            </w:r>
          </w:p>
        </w:tc>
      </w:tr>
    </w:tbl>
    <w:p>
      <w:pPr>
        <w:spacing w:line="2" w:lineRule="exact"/>
        <w:jc w:val="center"/>
      </w:pPr>
      <w:r>
        <w:rPr>
          <w:rFonts w:ascii="方正书宋_GBK" w:hAnsi="方正书宋_GBK" w:eastAsia="方正书宋_GBK" w:cs="方正书宋_GBK"/>
          <w:color w:val="000000"/>
          <w:sz w:val="18"/>
        </w:rPr>
        <w:t xml:space="preserve"> </w:t>
      </w:r>
    </w:p>
    <w:tbl>
      <w:tblPr>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rPr>
          <w:trHeight w:val="397" w:hRule="atLeast"/>
          <w:tblHeader/>
          <w:jc w:val="center"/>
        </w:trPr>
        <w:tc>
          <w:tcPr>
            <w:tcW w:w="2466" w:type="dxa"/>
            <w:vAlign w:val="center"/>
          </w:tcPr>
          <w:p>
            <w:pPr>
              <w:pStyle w:val="9"/>
            </w:pPr>
            <w:r>
              <w:t>一级指标</w:t>
            </w:r>
          </w:p>
        </w:tc>
        <w:tc>
          <w:tcPr>
            <w:tcW w:w="2466" w:type="dxa"/>
            <w:vAlign w:val="center"/>
          </w:tcPr>
          <w:p>
            <w:pPr>
              <w:pStyle w:val="9"/>
            </w:pPr>
            <w:r>
              <w:t>二级指标</w:t>
            </w:r>
          </w:p>
        </w:tc>
        <w:tc>
          <w:tcPr>
            <w:tcW w:w="2466" w:type="dxa"/>
            <w:vAlign w:val="center"/>
          </w:tcPr>
          <w:p>
            <w:pPr>
              <w:pStyle w:val="9"/>
            </w:pPr>
            <w:r>
              <w:t>三级指标</w:t>
            </w:r>
          </w:p>
        </w:tc>
        <w:tc>
          <w:tcPr>
            <w:tcW w:w="2466" w:type="dxa"/>
            <w:vAlign w:val="center"/>
          </w:tcPr>
          <w:p>
            <w:pPr>
              <w:pStyle w:val="9"/>
            </w:pPr>
            <w:r>
              <w:t>绩效指标描述</w:t>
            </w:r>
          </w:p>
        </w:tc>
        <w:tc>
          <w:tcPr>
            <w:tcW w:w="2466" w:type="dxa"/>
            <w:vAlign w:val="center"/>
          </w:tcPr>
          <w:p>
            <w:pPr>
              <w:pStyle w:val="9"/>
            </w:pPr>
            <w:r>
              <w:t>指标值</w:t>
            </w:r>
          </w:p>
        </w:tc>
        <w:tc>
          <w:tcPr>
            <w:tcW w:w="2466" w:type="dxa"/>
            <w:vAlign w:val="center"/>
          </w:tcPr>
          <w:p>
            <w:pPr>
              <w:pStyle w:val="9"/>
            </w:pPr>
            <w:r>
              <w:t>指标值确定依据</w:t>
            </w:r>
          </w:p>
        </w:tc>
      </w:tr>
      <w:tr>
        <w:trPr>
          <w:trHeight w:val="397" w:hRule="atLeast"/>
          <w:jc w:val="center"/>
        </w:trPr>
        <w:tc>
          <w:tcPr>
            <w:tcW w:w="2466" w:type="dxa"/>
            <w:vMerge w:val="restart"/>
            <w:vAlign w:val="center"/>
          </w:tcPr>
          <w:p>
            <w:pPr>
              <w:pStyle w:val="11"/>
            </w:pPr>
            <w:r>
              <w:t>产出指标</w:t>
            </w:r>
          </w:p>
        </w:tc>
        <w:tc>
          <w:tcPr>
            <w:tcW w:w="2466" w:type="dxa"/>
            <w:vAlign w:val="center"/>
          </w:tcPr>
          <w:p>
            <w:pPr>
              <w:pStyle w:val="10"/>
            </w:pPr>
            <w:r>
              <w:t>数量指标</w:t>
            </w:r>
          </w:p>
        </w:tc>
        <w:tc>
          <w:tcPr>
            <w:tcW w:w="2466" w:type="dxa"/>
            <w:vAlign w:val="center"/>
          </w:tcPr>
          <w:p>
            <w:pPr>
              <w:pStyle w:val="10"/>
            </w:pPr>
            <w:r>
              <w:t>补贴户数</w:t>
            </w:r>
          </w:p>
        </w:tc>
        <w:tc>
          <w:tcPr>
            <w:tcW w:w="2466" w:type="dxa"/>
            <w:vAlign w:val="center"/>
          </w:tcPr>
          <w:p>
            <w:pPr>
              <w:pStyle w:val="10"/>
            </w:pPr>
            <w:r>
              <w:t>改造补贴户数</w:t>
            </w:r>
          </w:p>
        </w:tc>
        <w:tc>
          <w:tcPr>
            <w:tcW w:w="2466" w:type="dxa"/>
            <w:vAlign w:val="center"/>
          </w:tcPr>
          <w:p>
            <w:pPr>
              <w:pStyle w:val="10"/>
            </w:pPr>
            <w:r>
              <w:t>气代煤改造户</w:t>
            </w:r>
          </w:p>
        </w:tc>
        <w:tc>
          <w:tcPr>
            <w:tcW w:w="2466" w:type="dxa"/>
            <w:vAlign w:val="center"/>
          </w:tcPr>
          <w:p>
            <w:pPr>
              <w:pStyle w:val="10"/>
            </w:pPr>
            <w:r>
              <w:t>冀财建【2022】216号</w:t>
            </w:r>
          </w:p>
        </w:tc>
      </w:tr>
      <w:tr>
        <w:trPr>
          <w:trHeight w:val="397" w:hRule="atLeast"/>
          <w:jc w:val="center"/>
        </w:trPr>
        <w:tc>
          <w:tcPr>
            <w:tcW w:w="2466" w:type="dxa"/>
            <w:vMerge w:val="continue"/>
            <w:vAlign w:val="center"/>
          </w:tcPr>
          <w:p/>
        </w:tc>
        <w:tc>
          <w:tcPr>
            <w:tcW w:w="2466" w:type="dxa"/>
            <w:vAlign w:val="center"/>
          </w:tcPr>
          <w:p>
            <w:pPr>
              <w:pStyle w:val="10"/>
            </w:pPr>
            <w:r>
              <w:t>质量指标</w:t>
            </w:r>
          </w:p>
        </w:tc>
        <w:tc>
          <w:tcPr>
            <w:tcW w:w="2466" w:type="dxa"/>
            <w:vAlign w:val="center"/>
          </w:tcPr>
          <w:p>
            <w:pPr>
              <w:pStyle w:val="10"/>
            </w:pPr>
            <w:r>
              <w:t>补助率</w:t>
            </w:r>
          </w:p>
        </w:tc>
        <w:tc>
          <w:tcPr>
            <w:tcW w:w="2466" w:type="dxa"/>
            <w:vAlign w:val="center"/>
          </w:tcPr>
          <w:p>
            <w:pPr>
              <w:pStyle w:val="10"/>
            </w:pPr>
            <w:r>
              <w:t>对改造居民补助率</w:t>
            </w:r>
          </w:p>
        </w:tc>
        <w:tc>
          <w:tcPr>
            <w:tcW w:w="2466" w:type="dxa"/>
            <w:vAlign w:val="center"/>
          </w:tcPr>
          <w:p>
            <w:pPr>
              <w:pStyle w:val="10"/>
            </w:pPr>
            <w:r>
              <w:t>100%</w:t>
            </w:r>
          </w:p>
        </w:tc>
        <w:tc>
          <w:tcPr>
            <w:tcW w:w="2466" w:type="dxa"/>
            <w:vAlign w:val="center"/>
          </w:tcPr>
          <w:p>
            <w:pPr>
              <w:pStyle w:val="10"/>
            </w:pPr>
            <w:r>
              <w:t>冀财建【2022】216号</w:t>
            </w:r>
          </w:p>
        </w:tc>
      </w:tr>
      <w:tr>
        <w:trPr>
          <w:trHeight w:val="397" w:hRule="atLeast"/>
          <w:jc w:val="center"/>
        </w:trPr>
        <w:tc>
          <w:tcPr>
            <w:tcW w:w="2466" w:type="dxa"/>
            <w:vMerge w:val="continue"/>
            <w:vAlign w:val="center"/>
          </w:tcPr>
          <w:p/>
        </w:tc>
        <w:tc>
          <w:tcPr>
            <w:tcW w:w="2466" w:type="dxa"/>
            <w:vAlign w:val="center"/>
          </w:tcPr>
          <w:p>
            <w:pPr>
              <w:pStyle w:val="10"/>
            </w:pPr>
            <w:r>
              <w:t>时效指标</w:t>
            </w:r>
          </w:p>
        </w:tc>
        <w:tc>
          <w:tcPr>
            <w:tcW w:w="2466" w:type="dxa"/>
            <w:vAlign w:val="center"/>
          </w:tcPr>
          <w:p>
            <w:pPr>
              <w:pStyle w:val="10"/>
            </w:pPr>
            <w:r>
              <w:t>补贴完成进度</w:t>
            </w:r>
          </w:p>
        </w:tc>
        <w:tc>
          <w:tcPr>
            <w:tcW w:w="2466" w:type="dxa"/>
            <w:vAlign w:val="center"/>
          </w:tcPr>
          <w:p>
            <w:pPr>
              <w:pStyle w:val="10"/>
            </w:pPr>
            <w:r>
              <w:t>补贴完成进度</w:t>
            </w:r>
          </w:p>
        </w:tc>
        <w:tc>
          <w:tcPr>
            <w:tcW w:w="2466" w:type="dxa"/>
            <w:vAlign w:val="center"/>
          </w:tcPr>
          <w:p>
            <w:pPr>
              <w:pStyle w:val="10"/>
            </w:pPr>
            <w:r>
              <w:t>按资金到位进度拨付</w:t>
            </w:r>
          </w:p>
        </w:tc>
        <w:tc>
          <w:tcPr>
            <w:tcW w:w="2466" w:type="dxa"/>
            <w:vAlign w:val="center"/>
          </w:tcPr>
          <w:p>
            <w:pPr>
              <w:pStyle w:val="10"/>
            </w:pPr>
            <w:r>
              <w:t>冀财建【2022】216号</w:t>
            </w:r>
          </w:p>
        </w:tc>
      </w:tr>
      <w:tr>
        <w:trPr>
          <w:trHeight w:val="397" w:hRule="atLeast"/>
          <w:jc w:val="center"/>
        </w:trPr>
        <w:tc>
          <w:tcPr>
            <w:tcW w:w="2466" w:type="dxa"/>
            <w:vMerge w:val="continue"/>
            <w:vAlign w:val="center"/>
          </w:tcPr>
          <w:p/>
        </w:tc>
        <w:tc>
          <w:tcPr>
            <w:tcW w:w="2466" w:type="dxa"/>
            <w:vAlign w:val="center"/>
          </w:tcPr>
          <w:p>
            <w:pPr>
              <w:pStyle w:val="10"/>
            </w:pPr>
            <w:r>
              <w:t>成本指标</w:t>
            </w:r>
          </w:p>
        </w:tc>
        <w:tc>
          <w:tcPr>
            <w:tcW w:w="2466" w:type="dxa"/>
            <w:vAlign w:val="center"/>
          </w:tcPr>
          <w:p>
            <w:pPr>
              <w:pStyle w:val="10"/>
            </w:pPr>
            <w:r>
              <w:t>补贴金额</w:t>
            </w:r>
          </w:p>
        </w:tc>
        <w:tc>
          <w:tcPr>
            <w:tcW w:w="2466" w:type="dxa"/>
            <w:vAlign w:val="center"/>
          </w:tcPr>
          <w:p>
            <w:pPr>
              <w:pStyle w:val="10"/>
            </w:pPr>
            <w:r>
              <w:t>每户补贴金额</w:t>
            </w:r>
          </w:p>
        </w:tc>
        <w:tc>
          <w:tcPr>
            <w:tcW w:w="2466" w:type="dxa"/>
            <w:vAlign w:val="center"/>
          </w:tcPr>
          <w:p>
            <w:pPr>
              <w:pStyle w:val="10"/>
            </w:pPr>
            <w:r>
              <w:t>320元/户</w:t>
            </w:r>
          </w:p>
        </w:tc>
        <w:tc>
          <w:tcPr>
            <w:tcW w:w="2466" w:type="dxa"/>
            <w:vAlign w:val="center"/>
          </w:tcPr>
          <w:p>
            <w:pPr>
              <w:pStyle w:val="10"/>
            </w:pPr>
            <w:r>
              <w:t>冀财建【2022】216号</w:t>
            </w:r>
          </w:p>
        </w:tc>
      </w:tr>
      <w:tr>
        <w:trPr>
          <w:trHeight w:val="397" w:hRule="atLeast"/>
          <w:jc w:val="center"/>
        </w:trPr>
        <w:tc>
          <w:tcPr>
            <w:tcW w:w="2466" w:type="dxa"/>
            <w:vAlign w:val="center"/>
          </w:tcPr>
          <w:p>
            <w:pPr>
              <w:pStyle w:val="11"/>
            </w:pPr>
            <w:r>
              <w:t>效益指标</w:t>
            </w:r>
          </w:p>
        </w:tc>
        <w:tc>
          <w:tcPr>
            <w:tcW w:w="2466" w:type="dxa"/>
            <w:vAlign w:val="center"/>
          </w:tcPr>
          <w:p>
            <w:pPr>
              <w:pStyle w:val="10"/>
            </w:pPr>
            <w:r>
              <w:t>生态效益指标</w:t>
            </w:r>
          </w:p>
        </w:tc>
        <w:tc>
          <w:tcPr>
            <w:tcW w:w="2466" w:type="dxa"/>
            <w:vAlign w:val="center"/>
          </w:tcPr>
          <w:p>
            <w:pPr>
              <w:pStyle w:val="10"/>
            </w:pPr>
            <w:r>
              <w:t>空气质量提升</w:t>
            </w:r>
          </w:p>
        </w:tc>
        <w:tc>
          <w:tcPr>
            <w:tcW w:w="2466" w:type="dxa"/>
            <w:vAlign w:val="center"/>
          </w:tcPr>
          <w:p>
            <w:pPr>
              <w:pStyle w:val="10"/>
            </w:pPr>
            <w:r>
              <w:t>较气代煤改造前有所提升</w:t>
            </w:r>
          </w:p>
        </w:tc>
        <w:tc>
          <w:tcPr>
            <w:tcW w:w="2466" w:type="dxa"/>
            <w:vAlign w:val="center"/>
          </w:tcPr>
          <w:p>
            <w:pPr>
              <w:pStyle w:val="10"/>
            </w:pPr>
            <w:r>
              <w:t>空气质量有所提升</w:t>
            </w:r>
          </w:p>
        </w:tc>
        <w:tc>
          <w:tcPr>
            <w:tcW w:w="2466" w:type="dxa"/>
            <w:vAlign w:val="center"/>
          </w:tcPr>
          <w:p>
            <w:pPr>
              <w:pStyle w:val="10"/>
            </w:pPr>
            <w:r>
              <w:t>冀财建【2022】216号</w:t>
            </w:r>
          </w:p>
        </w:tc>
      </w:tr>
    </w:tbl>
    <w:p>
      <w:pPr>
        <w:spacing w:beforeLines="100" w:afterLines="80" w:line="560" w:lineRule="exact"/>
        <w:ind w:firstLine="640" w:firstLineChars="200"/>
        <w:rPr>
          <w:rFonts w:hint="eastAsia" w:ascii="黑体" w:hAnsi="黑体" w:eastAsia="黑体"/>
          <w:sz w:val="32"/>
          <w:szCs w:val="32"/>
        </w:rPr>
      </w:pPr>
    </w:p>
    <w:p>
      <w:pPr>
        <w:spacing w:beforeLines="100" w:afterLines="80" w:line="560" w:lineRule="exact"/>
        <w:ind w:firstLine="640" w:firstLineChars="200"/>
        <w:rPr>
          <w:rFonts w:ascii="黑体" w:hAnsi="黑体" w:eastAsia="黑体"/>
          <w:sz w:val="32"/>
          <w:szCs w:val="32"/>
        </w:rPr>
      </w:pPr>
      <w:r>
        <w:rPr>
          <w:rFonts w:hint="eastAsia" w:ascii="黑体" w:hAnsi="黑体" w:eastAsia="黑体"/>
          <w:sz w:val="32"/>
          <w:szCs w:val="32"/>
        </w:rPr>
        <w:t>七、其他重要事项的说明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无其他事项说明。</w:t>
      </w:r>
    </w:p>
    <w:p>
      <w:pPr>
        <w:spacing w:line="560" w:lineRule="exact"/>
        <w:ind w:firstLine="640" w:firstLineChars="200"/>
        <w:rPr>
          <w:rFonts w:ascii="仿宋_GB2312" w:eastAsia="仿宋_GB2312"/>
          <w:sz w:val="32"/>
          <w:szCs w:val="32"/>
        </w:rPr>
      </w:pPr>
    </w:p>
    <w:sectPr>
      <w:footerReference r:id="rId4" w:type="default"/>
      <w:pgSz w:w="16838" w:h="11906" w:orient="landscape"/>
      <w:pgMar w:top="1474" w:right="1985" w:bottom="1588" w:left="2098"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200247B" w:usb2="00000009" w:usb3="00000000" w:csb0="200001FF" w:csb1="00000000"/>
  </w:font>
  <w:font w:name="FZKai-Z03">
    <w:altName w:val="宋体"/>
    <w:panose1 w:val="00000000000000000000"/>
    <w:charset w:val="86"/>
    <w:family w:val="auto"/>
    <w:pitch w:val="default"/>
    <w:sig w:usb0="00000000" w:usb1="00000000" w:usb2="00000010" w:usb3="00000000" w:csb0="00040000" w:csb1="00000000"/>
  </w:font>
  <w:font w:name="方正书宋_GBK">
    <w:altName w:val="宋体"/>
    <w:panose1 w:val="00000000000000000000"/>
    <w:charset w:val="86"/>
    <w:family w:val="auto"/>
    <w:pitch w:val="default"/>
    <w:sig w:usb0="00000000" w:usb1="00000000" w:usb2="00000000" w:usb3="00000000" w:csb0="00040001" w:csb1="00000000"/>
  </w:font>
  <w:font w:name="FZXiaoBiaoSong-B05">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K">
    <w:altName w:val="宋体"/>
    <w:panose1 w:val="03000509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jc w:val="center"/>
    </w:pPr>
    <w:r>
      <w:fldChar w:fldCharType="begin"/>
    </w:r>
    <w:r>
      <w:instrText xml:space="preserve"> PAGE   \* MERGEFORMAT </w:instrText>
    </w:r>
    <w:r>
      <w:fldChar w:fldCharType="separate"/>
    </w:r>
    <w:r>
      <w:rPr>
        <w:lang w:val="zh-CN"/>
      </w:rPr>
      <w:t>10</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paragraph" w:styleId="2">
    <w:name w:val="Balloon Text"/>
    <w:basedOn w:val="1"/>
    <w:link w:val="14"/>
    <w:semiHidden/>
    <w:unhideWhenUsed/>
    <w:uiPriority w:val="99"/>
    <w:rPr>
      <w:sz w:val="18"/>
      <w:szCs w:val="18"/>
    </w:rPr>
  </w:style>
  <w:style w:type="paragraph" w:styleId="3">
    <w:name w:val="footer"/>
    <w:basedOn w:val="1"/>
    <w:link w:val="13"/>
    <w:unhideWhenUsed/>
    <w:uiPriority w:val="99"/>
    <w:pPr>
      <w:tabs>
        <w:tab w:val="center" w:pos="4153"/>
        <w:tab w:val="right" w:pos="8306"/>
      </w:tabs>
      <w:snapToGrid w:val="0"/>
      <w:jc w:val="left"/>
    </w:pPr>
    <w:rPr>
      <w:rFonts w:cs="黑体"/>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rFonts w:cs="黑体"/>
      <w:sz w:val="18"/>
      <w:szCs w:val="18"/>
    </w:rPr>
  </w:style>
  <w:style w:type="paragraph" w:styleId="5">
    <w:name w:val="toc 2"/>
    <w:basedOn w:val="1"/>
    <w:next w:val="1"/>
    <w:qFormat/>
    <w:uiPriority w:val="0"/>
    <w:pPr>
      <w:ind w:left="420" w:leftChars="200"/>
    </w:pPr>
    <w:rPr>
      <w:rFonts w:cs="黑体"/>
    </w:rPr>
  </w:style>
  <w:style w:type="character" w:styleId="7">
    <w:name w:val="Emphasis"/>
    <w:basedOn w:val="6"/>
    <w:qFormat/>
    <w:uiPriority w:val="20"/>
    <w:rPr>
      <w:i/>
      <w:iCs/>
    </w:rPr>
  </w:style>
  <w:style w:type="paragraph" w:customStyle="1" w:styleId="8">
    <w:name w:val="Default"/>
    <w:uiPriority w:val="0"/>
    <w:pPr>
      <w:widowControl w:val="0"/>
      <w:autoSpaceDE w:val="0"/>
      <w:autoSpaceDN w:val="0"/>
      <w:adjustRightInd w:val="0"/>
    </w:pPr>
    <w:rPr>
      <w:rFonts w:ascii="FZKai-Z03" w:hAnsi="Times New Roman" w:eastAsia="FZKai-Z03" w:cs="FZKai-Z03"/>
      <w:color w:val="000000"/>
      <w:sz w:val="24"/>
      <w:szCs w:val="24"/>
      <w:lang w:val="en-US" w:eastAsia="zh-CN" w:bidi="ar-SA"/>
    </w:rPr>
  </w:style>
  <w:style w:type="paragraph" w:customStyle="1" w:styleId="9">
    <w:name w:val="单元格样式1"/>
    <w:basedOn w:val="1"/>
    <w:qFormat/>
    <w:uiPriority w:val="0"/>
    <w:pPr>
      <w:widowControl/>
      <w:jc w:val="center"/>
    </w:pPr>
    <w:rPr>
      <w:rFonts w:ascii="方正书宋_GBK" w:hAnsi="方正书宋_GBK" w:eastAsia="方正书宋_GBK" w:cs="方正书宋_GBK"/>
      <w:b/>
      <w:kern w:val="0"/>
      <w:lang/>
    </w:rPr>
  </w:style>
  <w:style w:type="paragraph" w:customStyle="1" w:styleId="10">
    <w:name w:val="单元格样式2"/>
    <w:basedOn w:val="1"/>
    <w:qFormat/>
    <w:uiPriority w:val="0"/>
    <w:pPr>
      <w:widowControl/>
      <w:jc w:val="left"/>
    </w:pPr>
    <w:rPr>
      <w:rFonts w:ascii="方正书宋_GBK" w:hAnsi="方正书宋_GBK" w:eastAsia="方正书宋_GBK" w:cs="方正书宋_GBK"/>
      <w:kern w:val="0"/>
      <w:lang/>
    </w:rPr>
  </w:style>
  <w:style w:type="paragraph" w:customStyle="1" w:styleId="11">
    <w:name w:val="单元格样式3"/>
    <w:basedOn w:val="1"/>
    <w:qFormat/>
    <w:uiPriority w:val="0"/>
    <w:pPr>
      <w:widowControl/>
      <w:jc w:val="center"/>
    </w:pPr>
    <w:rPr>
      <w:rFonts w:ascii="方正书宋_GBK" w:hAnsi="方正书宋_GBK" w:eastAsia="方正书宋_GBK" w:cs="方正书宋_GBK"/>
      <w:kern w:val="0"/>
      <w:lang/>
    </w:rPr>
  </w:style>
  <w:style w:type="character" w:customStyle="1" w:styleId="12">
    <w:name w:val="页眉 Char Char"/>
    <w:basedOn w:val="6"/>
    <w:link w:val="4"/>
    <w:uiPriority w:val="99"/>
    <w:rPr>
      <w:sz w:val="18"/>
      <w:szCs w:val="18"/>
    </w:rPr>
  </w:style>
  <w:style w:type="character" w:customStyle="1" w:styleId="13">
    <w:name w:val="页脚 Char Char"/>
    <w:basedOn w:val="6"/>
    <w:link w:val="3"/>
    <w:uiPriority w:val="99"/>
    <w:rPr>
      <w:sz w:val="18"/>
      <w:szCs w:val="18"/>
    </w:rPr>
  </w:style>
  <w:style w:type="character" w:customStyle="1" w:styleId="14">
    <w:name w:val="批注框文本 Char Char"/>
    <w:basedOn w:val="6"/>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627</Words>
  <Characters>3579</Characters>
  <Lines>29</Lines>
  <Paragraphs>8</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2022-02-09T09:39:00Z</dcterms:created>
  <dc:creator>user</dc:creator>
  <cp:lastModifiedBy>Lenovo</cp:lastModifiedBy>
  <cp:lastPrinted>2022-03-07T06:28:00Z</cp:lastPrinted>
  <dcterms:modified xsi:type="dcterms:W3CDTF">2024-05-31T06:55:56Z</dcterms:modified>
  <dc:title>高阳县关于2023年预算公开有关事项的说明</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