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44"/>
        </w:rPr>
        <w:t>2024年部门预算信息公开目录</w:t>
      </w:r>
    </w:p>
    <w:p>
      <w:pPr>
        <w:spacing w:before="0" w:after="0" w:line="240" w:lineRule="auto"/>
        <w:ind w:firstLine="0"/>
        <w:jc w:val="center"/>
        <w:outlineLvl w:val="9"/>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30"/>
        </w:rPr>
        <w:t xml:space="preserve"> </w:t>
      </w:r>
    </w:p>
    <w:p>
      <w:pPr>
        <w:spacing w:before="0" w:after="0" w:line="240" w:lineRule="auto"/>
        <w:ind w:firstLine="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28"/>
        </w:rPr>
        <w:t>部门预算公开表</w:t>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TOC \o "2-2" \h \z \u</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部门预算收支总表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_Toc_2_2_0000000001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部门预算收入总表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_Toc_2_2_0000000002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部门预算支出总表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_Toc_2_2_0000000003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"_Toc_2_2_0000000004"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部门预算财政拨款收支总表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_Toc_2_2_0000000004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5</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部门预算一般公共预算财政拨款支出表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_Toc_2_2_0000000005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"_Toc_2_2_0000000006"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部门预算一般公共预算财政拨款基本支出表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_Toc_2_2_0000000006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8</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部门预算政府性基金预算财政拨款支出表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_Toc_2_2_0000000007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部门预算国有资本经营预算财政拨款支出表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_Toc_2_2_0000000008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10</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部门预算财政拨款“三公”经费支出表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_Toc_2_2_0000000009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rPr>
          <w:rFonts w:hint="eastAsia" w:ascii="方正仿宋_GBK" w:hAnsi="方正仿宋_GBK" w:eastAsia="方正仿宋_GBK" w:cs="方正仿宋_GBK"/>
        </w:rPr>
      </w:pPr>
      <w:r>
        <w:rPr>
          <w:rFonts w:hint="eastAsia" w:ascii="方正仿宋_GBK" w:hAnsi="方正仿宋_GBK" w:eastAsia="方正仿宋_GBK" w:cs="方正仿宋_GBK"/>
        </w:rPr>
        <w:fldChar w:fldCharType="end"/>
      </w:r>
    </w:p>
    <w:p>
      <w:pPr>
        <w:spacing w:before="0" w:after="0" w:line="240" w:lineRule="auto"/>
        <w:ind w:firstLine="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28"/>
        </w:rPr>
        <w:t>部门预算信息公开情况说明</w:t>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TOC \o "3-3" \h \z \u</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"_Toc_3_3_0000000010"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一、部门职责及机构设置情况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_Toc_3_3_0000000010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12</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二、部门预算安排的总体情况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_Toc_3_3_0000000011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三、机关运行经费安排情况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_Toc_3_3_0000000012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"_Toc_3_3_0000000013"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四、财政拨款“三公”经费预算情况及增减变化原因</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_Toc_3_3_0000000013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"_Toc_3_3_0000000014"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五、部门整体绩效目标</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_Toc_3_3_0000000014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"_Toc_3_3_0000000015"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六、部门主管专项资金预算安排情况及绩效目标</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_Toc_3_3_0000000015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"_Toc_3_3_0000000016"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七、部门项目预算安排情况及绩效目标</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_Toc_3_3_0000000016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8</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"_Toc_3_3_0000000017"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八、政府采购预算情况</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_Toc_3_3_0000000017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"_Toc_3_3_0000000018"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九、国有资产信息</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_Toc_3_3_0000000018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pPr>
        <w:pStyle w:val="3"/>
        <w:tabs>
          <w:tab w:val="right" w:leader="dot" w:pos="14562"/>
        </w:tabs>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"_Toc_3_3_0000000019"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十、名词解释</w:t>
      </w:r>
      <w:r>
        <w:rPr>
          <w:rFonts w:hint="eastAsia" w:ascii="方正仿宋_GBK" w:hAnsi="方正仿宋_GBK" w:eastAsia="方正仿宋_GBK" w:cs="方正仿宋_GBK"/>
        </w:rPr>
        <w:tab/>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lang w:val="en-US" w:eastAsia="zh-CN"/>
        </w:rPr>
        <w:t>0</w:t>
      </w:r>
    </w:p>
    <w:p>
      <w:pPr>
        <w:pStyle w:val="3"/>
        <w:tabs>
          <w:tab w:val="right" w:leader="dot" w:pos="14562"/>
        </w:tabs>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"_Toc_3_3_0000000020"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十一、其他需要说明的事项</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_Toc_3_3_0000000020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lang w:val="en-US" w:eastAsia="zh-CN"/>
        </w:rPr>
        <w:t>1</w:t>
      </w:r>
    </w:p>
    <w:p>
      <w:pPr>
        <w:rPr>
          <w:rFonts w:hint="eastAsia" w:ascii="方正仿宋_GBK" w:hAnsi="方正仿宋_GBK" w:eastAsia="方正仿宋_GBK" w:cs="方正仿宋_GBK"/>
        </w:rPr>
        <w:sectPr>
          <w:pgSz w:w="16840" w:h="11900" w:orient="landscape"/>
          <w:pgMar w:top="1587" w:right="1134" w:bottom="1361" w:left="1134" w:header="720" w:footer="720" w:gutter="0"/>
          <w:pgNumType w:start="1"/>
          <w:cols w:space="720" w:num="1"/>
        </w:sectPr>
      </w:pPr>
      <w:r>
        <w:rPr>
          <w:rFonts w:hint="eastAsia" w:ascii="方正仿宋_GBK" w:hAnsi="方正仿宋_GBK" w:eastAsia="方正仿宋_GBK" w:cs="方正仿宋_GBK"/>
        </w:rPr>
        <w:fldChar w:fldCharType="end"/>
      </w:r>
    </w:p>
    <w:p>
      <w:pPr>
        <w:spacing w:before="0" w:after="0" w:line="240" w:lineRule="auto"/>
        <w:ind w:firstLine="0"/>
        <w:jc w:val="center"/>
        <w:outlineLvl w:val="1"/>
        <w:rPr>
          <w:rFonts w:hint="eastAsia" w:ascii="方正仿宋_GBK" w:hAnsi="方正仿宋_GBK" w:eastAsia="方正仿宋_GBK" w:cs="方正仿宋_GBK"/>
        </w:rPr>
      </w:pPr>
      <w:bookmarkStart w:id="0" w:name="_Toc_2_2_0000000001"/>
      <w:r>
        <w:rPr>
          <w:rFonts w:hint="eastAsia" w:ascii="方正仿宋_GBK" w:hAnsi="方正仿宋_GBK" w:eastAsia="方正仿宋_GBK" w:cs="方正仿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7"/>
        <w:gridCol w:w="3405"/>
        <w:gridCol w:w="2070"/>
        <w:gridCol w:w="3390"/>
        <w:gridCol w:w="25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92" w:type="dxa"/>
            <w:gridSpan w:val="2"/>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2070"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5922"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7"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5475"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收入</w:t>
            </w:r>
          </w:p>
        </w:tc>
        <w:tc>
          <w:tcPr>
            <w:tcW w:w="5922"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7" w:type="dxa"/>
            <w:vMerge w:val="continue"/>
          </w:tcPr>
          <w:p>
            <w:pPr>
              <w:rPr>
                <w:rFonts w:hint="eastAsia" w:ascii="方正仿宋_GBK" w:hAnsi="方正仿宋_GBK" w:eastAsia="方正仿宋_GBK" w:cs="方正仿宋_GBK"/>
              </w:rPr>
            </w:pPr>
          </w:p>
        </w:tc>
        <w:tc>
          <w:tcPr>
            <w:tcW w:w="340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  目</w:t>
            </w:r>
          </w:p>
        </w:tc>
        <w:tc>
          <w:tcPr>
            <w:tcW w:w="207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预算数</w:t>
            </w:r>
          </w:p>
        </w:tc>
        <w:tc>
          <w:tcPr>
            <w:tcW w:w="33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  目</w:t>
            </w:r>
          </w:p>
        </w:tc>
        <w:tc>
          <w:tcPr>
            <w:tcW w:w="2532"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7"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340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07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3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532"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34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一、一般公共预算拨款收入</w:t>
            </w:r>
          </w:p>
        </w:tc>
        <w:tc>
          <w:tcPr>
            <w:tcW w:w="207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一、一般公共服务支出</w:t>
            </w:r>
          </w:p>
        </w:tc>
        <w:tc>
          <w:tcPr>
            <w:tcW w:w="2532"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4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二、政府性基金预算拨款收入</w:t>
            </w: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二、外交支出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34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三、国有资本经营预算拨款收入</w:t>
            </w: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三、国防支出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34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四、财政专户管理资金收入</w:t>
            </w: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四、公共安全支出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34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五、单位资金</w:t>
            </w: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五、教育支出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六、科学技术支出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七、文化旅游体育与传媒支出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八、社会保障和就业支出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九、社会保险基金支出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十、卫生健康支出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十一、节能环保支出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十二、城乡社区支出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十三、农林水支出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十四、交通运输支出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15</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十五、资源勘探工业信息等支出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十六、商业服务业等支出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17</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十七、金融支出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18</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十八、援助其他地区支出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19</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十九、自然资源海洋气象等支出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20</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二十、住房保障支出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21</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二十一、粮油物资储备支出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22</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二十二、国有资本经营预算支出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23</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二十三、灾害防治及应急管理支出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24</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二十四、预备费</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25</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二十五、其他支出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26</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二十六、转移性支出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27</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二十七、债务还本支出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28</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二十八、债务付息支出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29</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二十九、债务发行费用支出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30</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三十、抗疫特别国债安排的支出</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31</w:t>
            </w:r>
          </w:p>
        </w:tc>
        <w:tc>
          <w:tcPr>
            <w:tcW w:w="3405" w:type="dxa"/>
            <w:vAlign w:val="center"/>
          </w:tcPr>
          <w:p>
            <w:pPr>
              <w:pStyle w:val="13"/>
              <w:rPr>
                <w:rFonts w:hint="eastAsia" w:ascii="方正仿宋_GBK" w:hAnsi="方正仿宋_GBK" w:eastAsia="方正仿宋_GBK" w:cs="方正仿宋_GBK"/>
              </w:rPr>
            </w:pP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三十一、人行科目</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32</w:t>
            </w:r>
          </w:p>
        </w:tc>
        <w:tc>
          <w:tcPr>
            <w:tcW w:w="3405"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本年收入合计</w:t>
            </w:r>
          </w:p>
        </w:tc>
        <w:tc>
          <w:tcPr>
            <w:tcW w:w="207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3390"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本年支出合计</w:t>
            </w:r>
          </w:p>
        </w:tc>
        <w:tc>
          <w:tcPr>
            <w:tcW w:w="2532"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33</w:t>
            </w:r>
          </w:p>
        </w:tc>
        <w:tc>
          <w:tcPr>
            <w:tcW w:w="34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上年结转结余</w:t>
            </w:r>
          </w:p>
        </w:tc>
        <w:tc>
          <w:tcPr>
            <w:tcW w:w="2070" w:type="dxa"/>
            <w:vAlign w:val="center"/>
          </w:tcPr>
          <w:p>
            <w:pPr>
              <w:pStyle w:val="12"/>
              <w:rPr>
                <w:rFonts w:hint="eastAsia" w:ascii="方正仿宋_GBK" w:hAnsi="方正仿宋_GBK" w:eastAsia="方正仿宋_GBK" w:cs="方正仿宋_GBK"/>
              </w:rPr>
            </w:pPr>
          </w:p>
        </w:tc>
        <w:tc>
          <w:tcPr>
            <w:tcW w:w="33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年终结转结余</w:t>
            </w:r>
          </w:p>
        </w:tc>
        <w:tc>
          <w:tcPr>
            <w:tcW w:w="2532"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34</w:t>
            </w:r>
          </w:p>
        </w:tc>
        <w:tc>
          <w:tcPr>
            <w:tcW w:w="3405"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收入总计</w:t>
            </w:r>
          </w:p>
        </w:tc>
        <w:tc>
          <w:tcPr>
            <w:tcW w:w="207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3390"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支出总计</w:t>
            </w:r>
          </w:p>
        </w:tc>
        <w:tc>
          <w:tcPr>
            <w:tcW w:w="2532"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r>
    </w:tbl>
    <w:p>
      <w:pPr>
        <w:rPr>
          <w:rFonts w:hint="eastAsia" w:ascii="方正仿宋_GBK" w:hAnsi="方正仿宋_GBK" w:eastAsia="方正仿宋_GBK" w:cs="方正仿宋_GBK"/>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rPr>
          <w:rFonts w:hint="eastAsia" w:ascii="方正仿宋_GBK" w:hAnsi="方正仿宋_GBK" w:eastAsia="方正仿宋_GBK" w:cs="方正仿宋_GBK"/>
        </w:rPr>
      </w:pPr>
      <w:bookmarkStart w:id="1" w:name="_Toc_2_2_0000000002"/>
      <w:r>
        <w:rPr>
          <w:rFonts w:hint="eastAsia" w:ascii="方正仿宋_GBK" w:hAnsi="方正仿宋_GBK" w:eastAsia="方正仿宋_GBK" w:cs="方正仿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0"/>
        <w:gridCol w:w="1305"/>
        <w:gridCol w:w="2085"/>
        <w:gridCol w:w="1065"/>
        <w:gridCol w:w="945"/>
        <w:gridCol w:w="983"/>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00" w:type="dxa"/>
            <w:gridSpan w:val="5"/>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2499" w:type="dxa"/>
            <w:gridSpan w:val="3"/>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3790" w:type="dxa"/>
            <w:gridSpan w:val="5"/>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0"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390"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功能分类科目</w:t>
            </w:r>
          </w:p>
        </w:tc>
        <w:tc>
          <w:tcPr>
            <w:tcW w:w="106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6476" w:type="dxa"/>
            <w:gridSpan w:val="8"/>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本年收入</w:t>
            </w:r>
          </w:p>
        </w:tc>
        <w:tc>
          <w:tcPr>
            <w:tcW w:w="758"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0" w:type="dxa"/>
            <w:vMerge w:val="continue"/>
          </w:tcPr>
          <w:p>
            <w:pPr>
              <w:rPr>
                <w:rFonts w:hint="eastAsia" w:ascii="方正仿宋_GBK" w:hAnsi="方正仿宋_GBK" w:eastAsia="方正仿宋_GBK" w:cs="方正仿宋_GBK"/>
              </w:rPr>
            </w:pPr>
          </w:p>
        </w:tc>
        <w:tc>
          <w:tcPr>
            <w:tcW w:w="130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    编码</w:t>
            </w:r>
          </w:p>
        </w:tc>
        <w:tc>
          <w:tcPr>
            <w:tcW w:w="20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科目名称</w:t>
            </w:r>
          </w:p>
        </w:tc>
        <w:tc>
          <w:tcPr>
            <w:tcW w:w="1065" w:type="dxa"/>
            <w:vMerge w:val="continue"/>
          </w:tcPr>
          <w:p>
            <w:pPr>
              <w:rPr>
                <w:rFonts w:hint="eastAsia" w:ascii="方正仿宋_GBK" w:hAnsi="方正仿宋_GBK" w:eastAsia="方正仿宋_GBK" w:cs="方正仿宋_GBK"/>
              </w:rPr>
            </w:pPr>
          </w:p>
        </w:tc>
        <w:tc>
          <w:tcPr>
            <w:tcW w:w="94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小计</w:t>
            </w:r>
          </w:p>
        </w:tc>
        <w:tc>
          <w:tcPr>
            <w:tcW w:w="98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财政拨款 收入</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财政专户 收入</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事业收入</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经营收入</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上级补助收入</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附属单位上缴收入</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其他收入</w:t>
            </w:r>
          </w:p>
        </w:tc>
        <w:tc>
          <w:tcPr>
            <w:tcW w:w="758" w:type="dxa"/>
            <w:vMerge w:val="continue"/>
          </w:tcPr>
          <w:p>
            <w:pPr>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130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0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06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94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98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75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0"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305" w:type="dxa"/>
            <w:vAlign w:val="center"/>
          </w:tcPr>
          <w:p>
            <w:pPr>
              <w:pStyle w:val="17"/>
              <w:rPr>
                <w:rFonts w:hint="eastAsia" w:ascii="方正仿宋_GBK" w:hAnsi="方正仿宋_GBK" w:eastAsia="方正仿宋_GBK" w:cs="方正仿宋_GBK"/>
              </w:rPr>
            </w:pPr>
          </w:p>
        </w:tc>
        <w:tc>
          <w:tcPr>
            <w:tcW w:w="2085"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06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94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983"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758" w:type="dxa"/>
            <w:vAlign w:val="center"/>
          </w:tcPr>
          <w:p>
            <w:pPr>
              <w:pStyle w:val="16"/>
              <w:rPr>
                <w:rFonts w:hint="eastAsia" w:ascii="方正仿宋_GBK" w:hAnsi="方正仿宋_GBK" w:eastAsia="方正仿宋_GBK" w:cs="方正仿宋_GBK"/>
              </w:rPr>
            </w:pPr>
          </w:p>
        </w:tc>
        <w:tc>
          <w:tcPr>
            <w:tcW w:w="758" w:type="dxa"/>
            <w:vAlign w:val="center"/>
          </w:tcPr>
          <w:p>
            <w:pPr>
              <w:pStyle w:val="16"/>
              <w:rPr>
                <w:rFonts w:hint="eastAsia" w:ascii="方正仿宋_GBK" w:hAnsi="方正仿宋_GBK" w:eastAsia="方正仿宋_GBK" w:cs="方正仿宋_GBK"/>
              </w:rPr>
            </w:pPr>
          </w:p>
        </w:tc>
        <w:tc>
          <w:tcPr>
            <w:tcW w:w="758" w:type="dxa"/>
            <w:vAlign w:val="center"/>
          </w:tcPr>
          <w:p>
            <w:pPr>
              <w:pStyle w:val="16"/>
              <w:rPr>
                <w:rFonts w:hint="eastAsia" w:ascii="方正仿宋_GBK" w:hAnsi="方正仿宋_GBK" w:eastAsia="方正仿宋_GBK" w:cs="方正仿宋_GBK"/>
              </w:rPr>
            </w:pPr>
          </w:p>
        </w:tc>
        <w:tc>
          <w:tcPr>
            <w:tcW w:w="758" w:type="dxa"/>
            <w:vAlign w:val="center"/>
          </w:tcPr>
          <w:p>
            <w:pPr>
              <w:pStyle w:val="16"/>
              <w:rPr>
                <w:rFonts w:hint="eastAsia" w:ascii="方正仿宋_GBK" w:hAnsi="方正仿宋_GBK" w:eastAsia="方正仿宋_GBK" w:cs="方正仿宋_GBK"/>
              </w:rPr>
            </w:pPr>
          </w:p>
        </w:tc>
        <w:tc>
          <w:tcPr>
            <w:tcW w:w="758" w:type="dxa"/>
            <w:vAlign w:val="center"/>
          </w:tcPr>
          <w:p>
            <w:pPr>
              <w:pStyle w:val="16"/>
              <w:rPr>
                <w:rFonts w:hint="eastAsia" w:ascii="方正仿宋_GBK" w:hAnsi="方正仿宋_GBK" w:eastAsia="方正仿宋_GBK" w:cs="方正仿宋_GBK"/>
              </w:rPr>
            </w:pPr>
          </w:p>
        </w:tc>
        <w:tc>
          <w:tcPr>
            <w:tcW w:w="758" w:type="dxa"/>
            <w:vAlign w:val="center"/>
          </w:tcPr>
          <w:p>
            <w:pPr>
              <w:pStyle w:val="16"/>
              <w:rPr>
                <w:rFonts w:hint="eastAsia" w:ascii="方正仿宋_GBK" w:hAnsi="方正仿宋_GBK" w:eastAsia="方正仿宋_GBK" w:cs="方正仿宋_GBK"/>
              </w:rPr>
            </w:pPr>
          </w:p>
        </w:tc>
        <w:tc>
          <w:tcPr>
            <w:tcW w:w="758" w:type="dxa"/>
            <w:vAlign w:val="center"/>
          </w:tcPr>
          <w:p>
            <w:pPr>
              <w:pStyle w:val="16"/>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0"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3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w:t>
            </w:r>
          </w:p>
        </w:tc>
        <w:tc>
          <w:tcPr>
            <w:tcW w:w="20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一般公共服务支出</w:t>
            </w:r>
          </w:p>
        </w:tc>
        <w:tc>
          <w:tcPr>
            <w:tcW w:w="106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94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98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0"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3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w:t>
            </w:r>
          </w:p>
        </w:tc>
        <w:tc>
          <w:tcPr>
            <w:tcW w:w="20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商贸事务</w:t>
            </w:r>
          </w:p>
        </w:tc>
        <w:tc>
          <w:tcPr>
            <w:tcW w:w="106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94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98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0"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3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2011350</w:t>
            </w:r>
          </w:p>
        </w:tc>
        <w:tc>
          <w:tcPr>
            <w:tcW w:w="20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事业运行</w:t>
            </w:r>
          </w:p>
        </w:tc>
        <w:tc>
          <w:tcPr>
            <w:tcW w:w="106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94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98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0"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30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2011399</w:t>
            </w:r>
          </w:p>
        </w:tc>
        <w:tc>
          <w:tcPr>
            <w:tcW w:w="20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其他商贸事务支出</w:t>
            </w:r>
          </w:p>
        </w:tc>
        <w:tc>
          <w:tcPr>
            <w:tcW w:w="106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94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98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c>
          <w:tcPr>
            <w:tcW w:w="758" w:type="dxa"/>
            <w:vAlign w:val="center"/>
          </w:tcPr>
          <w:p>
            <w:pPr>
              <w:pStyle w:val="12"/>
              <w:rPr>
                <w:rFonts w:hint="eastAsia" w:ascii="方正仿宋_GBK" w:hAnsi="方正仿宋_GBK" w:eastAsia="方正仿宋_GBK" w:cs="方正仿宋_GBK"/>
              </w:rPr>
            </w:pPr>
          </w:p>
        </w:tc>
      </w:tr>
    </w:tbl>
    <w:p>
      <w:pPr>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仿宋_GBK" w:hAnsi="方正仿宋_GBK" w:eastAsia="方正仿宋_GBK" w:cs="方正仿宋_GBK"/>
        </w:rPr>
      </w:pPr>
      <w:bookmarkStart w:id="2" w:name="_Toc_2_2_0000000003"/>
      <w:r>
        <w:rPr>
          <w:rFonts w:hint="eastAsia" w:ascii="方正仿宋_GBK" w:hAnsi="方正仿宋_GBK" w:eastAsia="方正仿宋_GBK" w:cs="方正仿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6"/>
        <w:gridCol w:w="1185"/>
        <w:gridCol w:w="2111"/>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22"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2190" w:type="dxa"/>
            <w:gridSpan w:val="2"/>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4380" w:type="dxa"/>
            <w:gridSpan w:val="4"/>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6"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296"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功能分类科目</w:t>
            </w:r>
          </w:p>
        </w:tc>
        <w:tc>
          <w:tcPr>
            <w:tcW w:w="109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09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基本支出</w:t>
            </w:r>
          </w:p>
        </w:tc>
        <w:tc>
          <w:tcPr>
            <w:tcW w:w="109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项目支出</w:t>
            </w:r>
          </w:p>
        </w:tc>
        <w:tc>
          <w:tcPr>
            <w:tcW w:w="109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经营支出</w:t>
            </w:r>
          </w:p>
        </w:tc>
        <w:tc>
          <w:tcPr>
            <w:tcW w:w="109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上解上级     支出</w:t>
            </w:r>
          </w:p>
        </w:tc>
        <w:tc>
          <w:tcPr>
            <w:tcW w:w="109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6" w:type="dxa"/>
            <w:vMerge w:val="continue"/>
          </w:tcPr>
          <w:p>
            <w:pPr>
              <w:rPr>
                <w:rFonts w:hint="eastAsia" w:ascii="方正仿宋_GBK" w:hAnsi="方正仿宋_GBK" w:eastAsia="方正仿宋_GBK" w:cs="方正仿宋_GBK"/>
              </w:rPr>
            </w:pPr>
          </w:p>
        </w:tc>
        <w:tc>
          <w:tcPr>
            <w:tcW w:w="11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    编码</w:t>
            </w:r>
          </w:p>
        </w:tc>
        <w:tc>
          <w:tcPr>
            <w:tcW w:w="2111"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科目名称</w:t>
            </w:r>
          </w:p>
        </w:tc>
        <w:tc>
          <w:tcPr>
            <w:tcW w:w="1095" w:type="dxa"/>
            <w:vMerge w:val="continue"/>
          </w:tcPr>
          <w:p>
            <w:pPr>
              <w:rPr>
                <w:rFonts w:hint="eastAsia" w:ascii="方正仿宋_GBK" w:hAnsi="方正仿宋_GBK" w:eastAsia="方正仿宋_GBK" w:cs="方正仿宋_GBK"/>
              </w:rPr>
            </w:pPr>
          </w:p>
        </w:tc>
        <w:tc>
          <w:tcPr>
            <w:tcW w:w="1095" w:type="dxa"/>
            <w:vMerge w:val="continue"/>
          </w:tcPr>
          <w:p>
            <w:pPr>
              <w:rPr>
                <w:rFonts w:hint="eastAsia" w:ascii="方正仿宋_GBK" w:hAnsi="方正仿宋_GBK" w:eastAsia="方正仿宋_GBK" w:cs="方正仿宋_GBK"/>
              </w:rPr>
            </w:pPr>
          </w:p>
        </w:tc>
        <w:tc>
          <w:tcPr>
            <w:tcW w:w="1095" w:type="dxa"/>
            <w:vMerge w:val="continue"/>
          </w:tcPr>
          <w:p>
            <w:pPr>
              <w:rPr>
                <w:rFonts w:hint="eastAsia" w:ascii="方正仿宋_GBK" w:hAnsi="方正仿宋_GBK" w:eastAsia="方正仿宋_GBK" w:cs="方正仿宋_GBK"/>
              </w:rPr>
            </w:pPr>
          </w:p>
        </w:tc>
        <w:tc>
          <w:tcPr>
            <w:tcW w:w="1095" w:type="dxa"/>
            <w:vMerge w:val="continue"/>
          </w:tcPr>
          <w:p>
            <w:pPr>
              <w:rPr>
                <w:rFonts w:hint="eastAsia" w:ascii="方正仿宋_GBK" w:hAnsi="方正仿宋_GBK" w:eastAsia="方正仿宋_GBK" w:cs="方正仿宋_GBK"/>
              </w:rPr>
            </w:pPr>
          </w:p>
        </w:tc>
        <w:tc>
          <w:tcPr>
            <w:tcW w:w="1095" w:type="dxa"/>
            <w:vMerge w:val="continue"/>
          </w:tcPr>
          <w:p>
            <w:pPr>
              <w:rPr>
                <w:rFonts w:hint="eastAsia" w:ascii="方正仿宋_GBK" w:hAnsi="方正仿宋_GBK" w:eastAsia="方正仿宋_GBK" w:cs="方正仿宋_GBK"/>
              </w:rPr>
            </w:pPr>
          </w:p>
        </w:tc>
        <w:tc>
          <w:tcPr>
            <w:tcW w:w="1095" w:type="dxa"/>
            <w:vMerge w:val="continue"/>
          </w:tcPr>
          <w:p>
            <w:pPr>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11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111"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09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09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09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09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109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109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6"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185" w:type="dxa"/>
            <w:vAlign w:val="center"/>
          </w:tcPr>
          <w:p>
            <w:pPr>
              <w:pStyle w:val="17"/>
              <w:rPr>
                <w:rFonts w:hint="eastAsia" w:ascii="方正仿宋_GBK" w:hAnsi="方正仿宋_GBK" w:eastAsia="方正仿宋_GBK" w:cs="方正仿宋_GBK"/>
              </w:rPr>
            </w:pPr>
          </w:p>
        </w:tc>
        <w:tc>
          <w:tcPr>
            <w:tcW w:w="2111"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09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09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09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1095" w:type="dxa"/>
            <w:vAlign w:val="center"/>
          </w:tcPr>
          <w:p>
            <w:pPr>
              <w:pStyle w:val="16"/>
              <w:rPr>
                <w:rFonts w:hint="eastAsia" w:ascii="方正仿宋_GBK" w:hAnsi="方正仿宋_GBK" w:eastAsia="方正仿宋_GBK" w:cs="方正仿宋_GBK"/>
              </w:rPr>
            </w:pPr>
          </w:p>
        </w:tc>
        <w:tc>
          <w:tcPr>
            <w:tcW w:w="1095" w:type="dxa"/>
            <w:vAlign w:val="center"/>
          </w:tcPr>
          <w:p>
            <w:pPr>
              <w:pStyle w:val="16"/>
              <w:rPr>
                <w:rFonts w:hint="eastAsia" w:ascii="方正仿宋_GBK" w:hAnsi="方正仿宋_GBK" w:eastAsia="方正仿宋_GBK" w:cs="方正仿宋_GBK"/>
              </w:rPr>
            </w:pPr>
          </w:p>
        </w:tc>
        <w:tc>
          <w:tcPr>
            <w:tcW w:w="1095" w:type="dxa"/>
            <w:vAlign w:val="center"/>
          </w:tcPr>
          <w:p>
            <w:pPr>
              <w:pStyle w:val="16"/>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6"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1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w:t>
            </w:r>
          </w:p>
        </w:tc>
        <w:tc>
          <w:tcPr>
            <w:tcW w:w="211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一般公共服务支出</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6"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1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w:t>
            </w:r>
          </w:p>
        </w:tc>
        <w:tc>
          <w:tcPr>
            <w:tcW w:w="211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商贸事务</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6"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1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2011350</w:t>
            </w:r>
          </w:p>
        </w:tc>
        <w:tc>
          <w:tcPr>
            <w:tcW w:w="211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事业运行</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6"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1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2011399</w:t>
            </w:r>
          </w:p>
        </w:tc>
        <w:tc>
          <w:tcPr>
            <w:tcW w:w="211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其他商贸事务支出</w:t>
            </w: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c>
          <w:tcPr>
            <w:tcW w:w="1095" w:type="dxa"/>
            <w:vAlign w:val="center"/>
          </w:tcPr>
          <w:p>
            <w:pPr>
              <w:pStyle w:val="12"/>
              <w:rPr>
                <w:rFonts w:hint="eastAsia" w:ascii="方正仿宋_GBK" w:hAnsi="方正仿宋_GBK" w:eastAsia="方正仿宋_GBK" w:cs="方正仿宋_GBK"/>
              </w:rPr>
            </w:pPr>
          </w:p>
        </w:tc>
      </w:tr>
    </w:tbl>
    <w:p>
      <w:pPr>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仿宋_GBK" w:hAnsi="方正仿宋_GBK" w:eastAsia="方正仿宋_GBK" w:cs="方正仿宋_GBK"/>
        </w:rPr>
      </w:pPr>
      <w:bookmarkStart w:id="3" w:name="_Toc_2_2_0000000004"/>
      <w:r>
        <w:rPr>
          <w:rFonts w:hint="eastAsia" w:ascii="方正仿宋_GBK" w:hAnsi="方正仿宋_GBK" w:eastAsia="方正仿宋_GBK" w:cs="方正仿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9"/>
        <w:gridCol w:w="2760"/>
        <w:gridCol w:w="855"/>
        <w:gridCol w:w="3591"/>
        <w:gridCol w:w="1140"/>
        <w:gridCol w:w="1185"/>
        <w:gridCol w:w="1348"/>
        <w:gridCol w:w="13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64"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3591"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5010" w:type="dxa"/>
            <w:gridSpan w:val="4"/>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9"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615"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收入</w:t>
            </w:r>
          </w:p>
        </w:tc>
        <w:tc>
          <w:tcPr>
            <w:tcW w:w="8601" w:type="dxa"/>
            <w:gridSpan w:val="5"/>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9" w:type="dxa"/>
            <w:vMerge w:val="continue"/>
          </w:tcPr>
          <w:p>
            <w:pPr>
              <w:rPr>
                <w:rFonts w:hint="eastAsia" w:ascii="方正仿宋_GBK" w:hAnsi="方正仿宋_GBK" w:eastAsia="方正仿宋_GBK" w:cs="方正仿宋_GBK"/>
              </w:rPr>
            </w:pPr>
          </w:p>
        </w:tc>
        <w:tc>
          <w:tcPr>
            <w:tcW w:w="276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  目</w:t>
            </w:r>
          </w:p>
        </w:tc>
        <w:tc>
          <w:tcPr>
            <w:tcW w:w="85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金额</w:t>
            </w:r>
          </w:p>
        </w:tc>
        <w:tc>
          <w:tcPr>
            <w:tcW w:w="3591"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  目</w:t>
            </w:r>
          </w:p>
        </w:tc>
        <w:tc>
          <w:tcPr>
            <w:tcW w:w="114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185" w:type="dxa"/>
            <w:vAlign w:val="center"/>
          </w:tcPr>
          <w:p>
            <w:pPr>
              <w:pStyle w:val="11"/>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一般公共预算财政拨款</w:t>
            </w:r>
          </w:p>
        </w:tc>
        <w:tc>
          <w:tcPr>
            <w:tcW w:w="1348" w:type="dxa"/>
            <w:vAlign w:val="center"/>
          </w:tcPr>
          <w:p>
            <w:pPr>
              <w:pStyle w:val="11"/>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政府性基金预算财政拨款</w:t>
            </w:r>
          </w:p>
        </w:tc>
        <w:tc>
          <w:tcPr>
            <w:tcW w:w="1337" w:type="dxa"/>
            <w:vAlign w:val="center"/>
          </w:tcPr>
          <w:p>
            <w:pPr>
              <w:pStyle w:val="11"/>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9"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276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85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591"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14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1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34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1337"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一、一般公共预算拨款</w:t>
            </w:r>
          </w:p>
        </w:tc>
        <w:tc>
          <w:tcPr>
            <w:tcW w:w="85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一、一般公共服务支出</w:t>
            </w:r>
          </w:p>
        </w:tc>
        <w:tc>
          <w:tcPr>
            <w:tcW w:w="114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18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二、政府性基金预算拨款</w:t>
            </w: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二、外交支出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三、国有资本经营预算拨款</w:t>
            </w: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三、国防支出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四、公共安全支出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五、教育支出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六、科学技术支出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七、文化旅游体育与传媒支出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八、社会保障和就业支出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九、社会保险基金支出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十、卫生健康支出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十一、节能环保支出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十二、城乡社区支出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十三、农林水支出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14</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十四、交通运输支出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15</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十五、资源勘探工业信息等支出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16</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十六、商业服务业等支出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17</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十七、金融支出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18</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十八、援助其他地区支出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19</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十九、自然资源海洋气象等支出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20</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二十、住房保障支出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21</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二十一、粮油物资储备支出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22</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二十二、国有资本经营预算支出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23</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二十三、灾害防治及应急管理支出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24</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二十四、预备费</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25</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二十五、其他支出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26</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二十六、转移性支出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27</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二十七、债务还本支出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28</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二十八、债务付息支出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29</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二十九、债务发行费用支出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30</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三十、抗疫特别国债安排的支出</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31</w:t>
            </w:r>
          </w:p>
        </w:tc>
        <w:tc>
          <w:tcPr>
            <w:tcW w:w="2760" w:type="dxa"/>
            <w:vAlign w:val="center"/>
          </w:tcPr>
          <w:p>
            <w:pPr>
              <w:pStyle w:val="13"/>
              <w:rPr>
                <w:rFonts w:hint="eastAsia" w:ascii="方正仿宋_GBK" w:hAnsi="方正仿宋_GBK" w:eastAsia="方正仿宋_GBK" w:cs="方正仿宋_GBK"/>
              </w:rPr>
            </w:pP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三十一、人行科目</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32</w:t>
            </w:r>
          </w:p>
        </w:tc>
        <w:tc>
          <w:tcPr>
            <w:tcW w:w="2760"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本年收入合计</w:t>
            </w:r>
          </w:p>
        </w:tc>
        <w:tc>
          <w:tcPr>
            <w:tcW w:w="85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3591"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本年支出合计</w:t>
            </w:r>
          </w:p>
        </w:tc>
        <w:tc>
          <w:tcPr>
            <w:tcW w:w="114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18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348" w:type="dxa"/>
            <w:vAlign w:val="center"/>
          </w:tcPr>
          <w:p>
            <w:pPr>
              <w:pStyle w:val="16"/>
              <w:rPr>
                <w:rFonts w:hint="eastAsia" w:ascii="方正仿宋_GBK" w:hAnsi="方正仿宋_GBK" w:eastAsia="方正仿宋_GBK" w:cs="方正仿宋_GBK"/>
              </w:rPr>
            </w:pPr>
          </w:p>
        </w:tc>
        <w:tc>
          <w:tcPr>
            <w:tcW w:w="1337" w:type="dxa"/>
            <w:vAlign w:val="center"/>
          </w:tcPr>
          <w:p>
            <w:pPr>
              <w:pStyle w:val="16"/>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33</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年初财政拨款结转和结余</w:t>
            </w: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年末财政拨款结转和结余</w:t>
            </w: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34</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一、一般公共预算拨款</w:t>
            </w: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35</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二、政府性基金预算拨款</w:t>
            </w: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36</w:t>
            </w:r>
          </w:p>
        </w:tc>
        <w:tc>
          <w:tcPr>
            <w:tcW w:w="27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三、国有资本经营预算拨款</w:t>
            </w:r>
          </w:p>
        </w:tc>
        <w:tc>
          <w:tcPr>
            <w:tcW w:w="855" w:type="dxa"/>
            <w:vAlign w:val="center"/>
          </w:tcPr>
          <w:p>
            <w:pPr>
              <w:pStyle w:val="12"/>
              <w:rPr>
                <w:rFonts w:hint="eastAsia" w:ascii="方正仿宋_GBK" w:hAnsi="方正仿宋_GBK" w:eastAsia="方正仿宋_GBK" w:cs="方正仿宋_GBK"/>
              </w:rPr>
            </w:pPr>
          </w:p>
        </w:tc>
        <w:tc>
          <w:tcPr>
            <w:tcW w:w="3591" w:type="dxa"/>
            <w:vAlign w:val="center"/>
          </w:tcPr>
          <w:p>
            <w:pPr>
              <w:pStyle w:val="13"/>
              <w:rPr>
                <w:rFonts w:hint="eastAsia" w:ascii="方正仿宋_GBK" w:hAnsi="方正仿宋_GBK" w:eastAsia="方正仿宋_GBK" w:cs="方正仿宋_GBK"/>
              </w:rPr>
            </w:pPr>
          </w:p>
        </w:tc>
        <w:tc>
          <w:tcPr>
            <w:tcW w:w="1140" w:type="dxa"/>
            <w:vAlign w:val="center"/>
          </w:tcPr>
          <w:p>
            <w:pPr>
              <w:pStyle w:val="12"/>
              <w:rPr>
                <w:rFonts w:hint="eastAsia" w:ascii="方正仿宋_GBK" w:hAnsi="方正仿宋_GBK" w:eastAsia="方正仿宋_GBK" w:cs="方正仿宋_GBK"/>
              </w:rPr>
            </w:pPr>
          </w:p>
        </w:tc>
        <w:tc>
          <w:tcPr>
            <w:tcW w:w="1185" w:type="dxa"/>
            <w:vAlign w:val="center"/>
          </w:tcPr>
          <w:p>
            <w:pPr>
              <w:pStyle w:val="12"/>
              <w:rPr>
                <w:rFonts w:hint="eastAsia" w:ascii="方正仿宋_GBK" w:hAnsi="方正仿宋_GBK" w:eastAsia="方正仿宋_GBK" w:cs="方正仿宋_GBK"/>
              </w:rPr>
            </w:pPr>
          </w:p>
        </w:tc>
        <w:tc>
          <w:tcPr>
            <w:tcW w:w="1348" w:type="dxa"/>
            <w:vAlign w:val="center"/>
          </w:tcPr>
          <w:p>
            <w:pPr>
              <w:pStyle w:val="12"/>
              <w:rPr>
                <w:rFonts w:hint="eastAsia" w:ascii="方正仿宋_GBK" w:hAnsi="方正仿宋_GBK" w:eastAsia="方正仿宋_GBK" w:cs="方正仿宋_GBK"/>
              </w:rPr>
            </w:pPr>
          </w:p>
        </w:tc>
        <w:tc>
          <w:tcPr>
            <w:tcW w:w="1337"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9"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37</w:t>
            </w:r>
          </w:p>
        </w:tc>
        <w:tc>
          <w:tcPr>
            <w:tcW w:w="2760"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收入总计</w:t>
            </w:r>
          </w:p>
        </w:tc>
        <w:tc>
          <w:tcPr>
            <w:tcW w:w="85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3591"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支出总计</w:t>
            </w:r>
          </w:p>
        </w:tc>
        <w:tc>
          <w:tcPr>
            <w:tcW w:w="114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18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348" w:type="dxa"/>
            <w:vAlign w:val="center"/>
          </w:tcPr>
          <w:p>
            <w:pPr>
              <w:pStyle w:val="16"/>
              <w:rPr>
                <w:rFonts w:hint="eastAsia" w:ascii="方正仿宋_GBK" w:hAnsi="方正仿宋_GBK" w:eastAsia="方正仿宋_GBK" w:cs="方正仿宋_GBK"/>
              </w:rPr>
            </w:pPr>
          </w:p>
        </w:tc>
        <w:tc>
          <w:tcPr>
            <w:tcW w:w="1337" w:type="dxa"/>
            <w:vAlign w:val="center"/>
          </w:tcPr>
          <w:p>
            <w:pPr>
              <w:pStyle w:val="16"/>
              <w:rPr>
                <w:rFonts w:hint="eastAsia" w:ascii="方正仿宋_GBK" w:hAnsi="方正仿宋_GBK" w:eastAsia="方正仿宋_GBK" w:cs="方正仿宋_GBK"/>
              </w:rPr>
            </w:pPr>
          </w:p>
        </w:tc>
      </w:tr>
    </w:tbl>
    <w:p>
      <w:pPr>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仿宋_GBK" w:hAnsi="方正仿宋_GBK" w:eastAsia="方正仿宋_GBK" w:cs="方正仿宋_GBK"/>
        </w:rPr>
      </w:pPr>
      <w:bookmarkStart w:id="4" w:name="_Toc_2_2_0000000005"/>
      <w:r>
        <w:rPr>
          <w:rFonts w:hint="eastAsia" w:ascii="方正仿宋_GBK" w:hAnsi="方正仿宋_GBK" w:eastAsia="方正仿宋_GBK" w:cs="方正仿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7"/>
        <w:gridCol w:w="1485"/>
        <w:gridCol w:w="2460"/>
        <w:gridCol w:w="1905"/>
        <w:gridCol w:w="189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2"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1905"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3537"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7"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945"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功能分类科目</w:t>
            </w:r>
          </w:p>
        </w:tc>
        <w:tc>
          <w:tcPr>
            <w:tcW w:w="190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894"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基本支出</w:t>
            </w:r>
          </w:p>
        </w:tc>
        <w:tc>
          <w:tcPr>
            <w:tcW w:w="1643"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7" w:type="dxa"/>
            <w:vMerge w:val="continue"/>
          </w:tcPr>
          <w:p>
            <w:pPr>
              <w:rPr>
                <w:rFonts w:hint="eastAsia" w:ascii="方正仿宋_GBK" w:hAnsi="方正仿宋_GBK" w:eastAsia="方正仿宋_GBK" w:cs="方正仿宋_GBK"/>
              </w:rPr>
            </w:pPr>
          </w:p>
        </w:tc>
        <w:tc>
          <w:tcPr>
            <w:tcW w:w="14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科目编码</w:t>
            </w:r>
          </w:p>
        </w:tc>
        <w:tc>
          <w:tcPr>
            <w:tcW w:w="246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科目名称</w:t>
            </w:r>
          </w:p>
        </w:tc>
        <w:tc>
          <w:tcPr>
            <w:tcW w:w="1905" w:type="dxa"/>
            <w:vMerge w:val="continue"/>
          </w:tcPr>
          <w:p>
            <w:pPr>
              <w:rPr>
                <w:rFonts w:hint="eastAsia" w:ascii="方正仿宋_GBK" w:hAnsi="方正仿宋_GBK" w:eastAsia="方正仿宋_GBK" w:cs="方正仿宋_GBK"/>
              </w:rPr>
            </w:pPr>
          </w:p>
        </w:tc>
        <w:tc>
          <w:tcPr>
            <w:tcW w:w="1894" w:type="dxa"/>
            <w:vMerge w:val="continue"/>
          </w:tcPr>
          <w:p>
            <w:pPr>
              <w:rPr>
                <w:rFonts w:hint="eastAsia" w:ascii="方正仿宋_GBK" w:hAnsi="方正仿宋_GBK" w:eastAsia="方正仿宋_GBK" w:cs="方正仿宋_GBK"/>
              </w:rPr>
            </w:pPr>
          </w:p>
        </w:tc>
        <w:tc>
          <w:tcPr>
            <w:tcW w:w="1643" w:type="dxa"/>
            <w:vMerge w:val="continue"/>
          </w:tcPr>
          <w:p>
            <w:pPr>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37"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148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46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90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89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64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485" w:type="dxa"/>
            <w:vAlign w:val="center"/>
          </w:tcPr>
          <w:p>
            <w:pPr>
              <w:pStyle w:val="17"/>
              <w:rPr>
                <w:rFonts w:hint="eastAsia" w:ascii="方正仿宋_GBK" w:hAnsi="方正仿宋_GBK" w:eastAsia="方正仿宋_GBK" w:cs="方正仿宋_GBK"/>
              </w:rPr>
            </w:pPr>
          </w:p>
        </w:tc>
        <w:tc>
          <w:tcPr>
            <w:tcW w:w="2460"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905"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894"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643"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w:t>
            </w:r>
          </w:p>
        </w:tc>
        <w:tc>
          <w:tcPr>
            <w:tcW w:w="24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一般公共服务支出</w:t>
            </w:r>
          </w:p>
        </w:tc>
        <w:tc>
          <w:tcPr>
            <w:tcW w:w="190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894"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4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w:t>
            </w:r>
          </w:p>
        </w:tc>
        <w:tc>
          <w:tcPr>
            <w:tcW w:w="24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商贸事务</w:t>
            </w:r>
          </w:p>
        </w:tc>
        <w:tc>
          <w:tcPr>
            <w:tcW w:w="190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393.60</w:t>
            </w:r>
          </w:p>
        </w:tc>
        <w:tc>
          <w:tcPr>
            <w:tcW w:w="1894"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4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2011350</w:t>
            </w:r>
          </w:p>
        </w:tc>
        <w:tc>
          <w:tcPr>
            <w:tcW w:w="24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事业运行</w:t>
            </w:r>
          </w:p>
        </w:tc>
        <w:tc>
          <w:tcPr>
            <w:tcW w:w="190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894"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3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48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2011399</w:t>
            </w:r>
          </w:p>
        </w:tc>
        <w:tc>
          <w:tcPr>
            <w:tcW w:w="246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其他商贸事务支出</w:t>
            </w:r>
          </w:p>
        </w:tc>
        <w:tc>
          <w:tcPr>
            <w:tcW w:w="190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189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45.00</w:t>
            </w:r>
          </w:p>
        </w:tc>
      </w:tr>
    </w:tbl>
    <w:p>
      <w:pPr>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仿宋_GBK" w:hAnsi="方正仿宋_GBK" w:eastAsia="方正仿宋_GBK" w:cs="方正仿宋_GBK"/>
        </w:rPr>
      </w:pPr>
      <w:bookmarkStart w:id="5" w:name="_Toc_2_2_0000000006"/>
      <w:r>
        <w:rPr>
          <w:rFonts w:hint="eastAsia" w:ascii="方正仿宋_GBK" w:hAnsi="方正仿宋_GBK" w:eastAsia="方正仿宋_GBK" w:cs="方正仿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7"/>
        <w:gridCol w:w="1470"/>
        <w:gridCol w:w="3225"/>
        <w:gridCol w:w="2190"/>
        <w:gridCol w:w="196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22"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2190"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3612"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4695"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支出部门经济分类科目</w:t>
            </w:r>
          </w:p>
        </w:tc>
        <w:tc>
          <w:tcPr>
            <w:tcW w:w="5802" w:type="dxa"/>
            <w:gridSpan w:val="3"/>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 w:type="dxa"/>
            <w:vMerge w:val="continue"/>
          </w:tcPr>
          <w:p>
            <w:pPr>
              <w:rPr>
                <w:rFonts w:hint="eastAsia" w:ascii="方正仿宋_GBK" w:hAnsi="方正仿宋_GBK" w:eastAsia="方正仿宋_GBK" w:cs="方正仿宋_GBK"/>
              </w:rPr>
            </w:pPr>
          </w:p>
        </w:tc>
        <w:tc>
          <w:tcPr>
            <w:tcW w:w="147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科目编码</w:t>
            </w:r>
          </w:p>
        </w:tc>
        <w:tc>
          <w:tcPr>
            <w:tcW w:w="322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科目名称</w:t>
            </w:r>
          </w:p>
        </w:tc>
        <w:tc>
          <w:tcPr>
            <w:tcW w:w="21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969"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人员经费</w:t>
            </w:r>
          </w:p>
        </w:tc>
        <w:tc>
          <w:tcPr>
            <w:tcW w:w="164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147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322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1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969"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64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470" w:type="dxa"/>
            <w:vAlign w:val="center"/>
          </w:tcPr>
          <w:p>
            <w:pPr>
              <w:pStyle w:val="17"/>
              <w:rPr>
                <w:rFonts w:hint="eastAsia" w:ascii="方正仿宋_GBK" w:hAnsi="方正仿宋_GBK" w:eastAsia="方正仿宋_GBK" w:cs="方正仿宋_GBK"/>
              </w:rPr>
            </w:pPr>
          </w:p>
        </w:tc>
        <w:tc>
          <w:tcPr>
            <w:tcW w:w="3225"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219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348.60</w:t>
            </w:r>
          </w:p>
        </w:tc>
        <w:tc>
          <w:tcPr>
            <w:tcW w:w="1969"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325.66</w:t>
            </w:r>
          </w:p>
        </w:tc>
        <w:tc>
          <w:tcPr>
            <w:tcW w:w="1643"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22.94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301</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工资福利支出</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325.66</w:t>
            </w:r>
          </w:p>
        </w:tc>
        <w:tc>
          <w:tcPr>
            <w:tcW w:w="1969"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325.66</w:t>
            </w: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30199</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其他工资福利支出</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325.66</w:t>
            </w:r>
          </w:p>
        </w:tc>
        <w:tc>
          <w:tcPr>
            <w:tcW w:w="1969"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325.66</w:t>
            </w: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商品和服务支出</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22.34</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22.34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30201</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办公费</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8.68</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30207</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邮电费</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5.37</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5.37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30208</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取暖费</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2.28</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30217</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公务接待费</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30228</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工会经费</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2.43</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10</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30229</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福利费</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1.85</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11</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30299</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其他商品和服务支出</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0.23</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12</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310</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资本性支出</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0.60</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13</w:t>
            </w:r>
          </w:p>
        </w:tc>
        <w:tc>
          <w:tcPr>
            <w:tcW w:w="14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31002</w:t>
            </w:r>
          </w:p>
        </w:tc>
        <w:tc>
          <w:tcPr>
            <w:tcW w:w="322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办公设备购置</w:t>
            </w:r>
          </w:p>
        </w:tc>
        <w:tc>
          <w:tcPr>
            <w:tcW w:w="21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0.60</w:t>
            </w:r>
          </w:p>
        </w:tc>
        <w:tc>
          <w:tcPr>
            <w:tcW w:w="1969"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0.60</w:t>
            </w:r>
          </w:p>
        </w:tc>
      </w:tr>
    </w:tbl>
    <w:p>
      <w:pPr>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仿宋_GBK" w:hAnsi="方正仿宋_GBK" w:eastAsia="方正仿宋_GBK" w:cs="方正仿宋_GBK"/>
        </w:rPr>
      </w:pPr>
      <w:bookmarkStart w:id="6" w:name="_Toc_2_2_0000000007"/>
      <w:r>
        <w:rPr>
          <w:rFonts w:hint="eastAsia" w:ascii="方正仿宋_GBK" w:hAnsi="方正仿宋_GBK" w:eastAsia="方正仿宋_GBK" w:cs="方正仿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44"/>
        <w:gridCol w:w="2220"/>
        <w:gridCol w:w="1920"/>
        <w:gridCol w:w="2355"/>
        <w:gridCol w:w="2055"/>
        <w:gridCol w:w="2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4"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2355"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4418"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44"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4140"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功能分类科目</w:t>
            </w:r>
          </w:p>
        </w:tc>
        <w:tc>
          <w:tcPr>
            <w:tcW w:w="235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205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基本支出</w:t>
            </w:r>
          </w:p>
        </w:tc>
        <w:tc>
          <w:tcPr>
            <w:tcW w:w="2363"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44" w:type="dxa"/>
            <w:vMerge w:val="continue"/>
          </w:tcPr>
          <w:p>
            <w:pPr>
              <w:rPr>
                <w:rFonts w:hint="eastAsia" w:ascii="方正仿宋_GBK" w:hAnsi="方正仿宋_GBK" w:eastAsia="方正仿宋_GBK" w:cs="方正仿宋_GBK"/>
              </w:rPr>
            </w:pPr>
          </w:p>
        </w:tc>
        <w:tc>
          <w:tcPr>
            <w:tcW w:w="22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科目编码</w:t>
            </w:r>
          </w:p>
        </w:tc>
        <w:tc>
          <w:tcPr>
            <w:tcW w:w="19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科目名称</w:t>
            </w:r>
          </w:p>
        </w:tc>
        <w:tc>
          <w:tcPr>
            <w:tcW w:w="2355" w:type="dxa"/>
            <w:vMerge w:val="continue"/>
          </w:tcPr>
          <w:p>
            <w:pPr>
              <w:rPr>
                <w:rFonts w:hint="eastAsia" w:ascii="方正仿宋_GBK" w:hAnsi="方正仿宋_GBK" w:eastAsia="方正仿宋_GBK" w:cs="方正仿宋_GBK"/>
              </w:rPr>
            </w:pPr>
          </w:p>
        </w:tc>
        <w:tc>
          <w:tcPr>
            <w:tcW w:w="2055" w:type="dxa"/>
            <w:vMerge w:val="continue"/>
          </w:tcPr>
          <w:p>
            <w:pPr>
              <w:rPr>
                <w:rFonts w:hint="eastAsia" w:ascii="方正仿宋_GBK" w:hAnsi="方正仿宋_GBK" w:eastAsia="方正仿宋_GBK" w:cs="方正仿宋_GBK"/>
              </w:rPr>
            </w:pPr>
          </w:p>
        </w:tc>
        <w:tc>
          <w:tcPr>
            <w:tcW w:w="2363" w:type="dxa"/>
            <w:vMerge w:val="continue"/>
          </w:tcPr>
          <w:p>
            <w:pPr>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4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22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9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35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05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236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44" w:type="dxa"/>
            <w:vAlign w:val="center"/>
          </w:tcPr>
          <w:p>
            <w:pPr>
              <w:pStyle w:val="14"/>
              <w:rPr>
                <w:rFonts w:hint="eastAsia" w:ascii="方正仿宋_GBK" w:hAnsi="方正仿宋_GBK" w:eastAsia="方正仿宋_GBK" w:cs="方正仿宋_GBK"/>
              </w:rPr>
            </w:pPr>
          </w:p>
        </w:tc>
        <w:tc>
          <w:tcPr>
            <w:tcW w:w="2220" w:type="dxa"/>
            <w:vAlign w:val="center"/>
          </w:tcPr>
          <w:p>
            <w:pPr>
              <w:pStyle w:val="13"/>
              <w:rPr>
                <w:rFonts w:hint="eastAsia" w:ascii="方正仿宋_GBK" w:hAnsi="方正仿宋_GBK" w:eastAsia="方正仿宋_GBK" w:cs="方正仿宋_GBK"/>
              </w:rPr>
            </w:pPr>
          </w:p>
        </w:tc>
        <w:tc>
          <w:tcPr>
            <w:tcW w:w="1920" w:type="dxa"/>
            <w:vAlign w:val="center"/>
          </w:tcPr>
          <w:p>
            <w:pPr>
              <w:pStyle w:val="13"/>
              <w:rPr>
                <w:rFonts w:hint="eastAsia" w:ascii="方正仿宋_GBK" w:hAnsi="方正仿宋_GBK" w:eastAsia="方正仿宋_GBK" w:cs="方正仿宋_GBK"/>
              </w:rPr>
            </w:pPr>
          </w:p>
        </w:tc>
        <w:tc>
          <w:tcPr>
            <w:tcW w:w="2355" w:type="dxa"/>
            <w:vAlign w:val="center"/>
          </w:tcPr>
          <w:p>
            <w:pPr>
              <w:pStyle w:val="12"/>
              <w:rPr>
                <w:rFonts w:hint="eastAsia" w:ascii="方正仿宋_GBK" w:hAnsi="方正仿宋_GBK" w:eastAsia="方正仿宋_GBK" w:cs="方正仿宋_GBK"/>
              </w:rPr>
            </w:pPr>
          </w:p>
        </w:tc>
        <w:tc>
          <w:tcPr>
            <w:tcW w:w="2055" w:type="dxa"/>
            <w:vAlign w:val="center"/>
          </w:tcPr>
          <w:p>
            <w:pPr>
              <w:pStyle w:val="12"/>
              <w:rPr>
                <w:rFonts w:hint="eastAsia" w:ascii="方正仿宋_GBK" w:hAnsi="方正仿宋_GBK" w:eastAsia="方正仿宋_GBK" w:cs="方正仿宋_GBK"/>
              </w:rPr>
            </w:pPr>
          </w:p>
        </w:tc>
        <w:tc>
          <w:tcPr>
            <w:tcW w:w="2363" w:type="dxa"/>
            <w:vAlign w:val="center"/>
          </w:tcPr>
          <w:p>
            <w:pPr>
              <w:pStyle w:val="12"/>
              <w:rPr>
                <w:rFonts w:hint="eastAsia" w:ascii="方正仿宋_GBK" w:hAnsi="方正仿宋_GBK" w:eastAsia="方正仿宋_GBK" w:cs="方正仿宋_GBK"/>
              </w:rPr>
            </w:pPr>
          </w:p>
        </w:tc>
      </w:tr>
    </w:tbl>
    <w:p>
      <w:pPr>
        <w:spacing w:before="0" w:after="0" w:line="240" w:lineRule="auto"/>
        <w:ind w:firstLine="892" w:firstLineChars="425"/>
        <w:jc w:val="left"/>
        <w:outlineLvl w:val="9"/>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1"/>
        </w:rPr>
        <w:t>注：无政府基金预算财政拨款预算，空表列示。</w:t>
      </w:r>
    </w:p>
    <w:p>
      <w:pPr>
        <w:spacing w:before="0" w:after="0" w:line="240" w:lineRule="auto"/>
        <w:ind w:firstLine="0"/>
        <w:jc w:val="center"/>
        <w:outlineLvl w:val="1"/>
        <w:rPr>
          <w:rFonts w:hint="eastAsia" w:ascii="方正仿宋_GBK" w:hAnsi="方正仿宋_GBK" w:eastAsia="方正仿宋_GBK" w:cs="方正仿宋_GBK"/>
        </w:rPr>
      </w:pPr>
      <w:bookmarkStart w:id="7" w:name="_Toc_2_2_0000000008"/>
      <w:r>
        <w:rPr>
          <w:rFonts w:hint="eastAsia" w:ascii="方正仿宋_GBK" w:hAnsi="方正仿宋_GBK" w:eastAsia="方正仿宋_GBK" w:cs="方正仿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82"/>
        <w:gridCol w:w="1920"/>
        <w:gridCol w:w="2025"/>
        <w:gridCol w:w="2220"/>
        <w:gridCol w:w="2235"/>
        <w:gridCol w:w="22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27"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2220"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4437"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82"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945"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功能分类科目</w:t>
            </w:r>
          </w:p>
        </w:tc>
        <w:tc>
          <w:tcPr>
            <w:tcW w:w="2220"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2235"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基本支出</w:t>
            </w:r>
          </w:p>
        </w:tc>
        <w:tc>
          <w:tcPr>
            <w:tcW w:w="2202"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82" w:type="dxa"/>
            <w:vMerge w:val="continue"/>
          </w:tcPr>
          <w:p>
            <w:pPr>
              <w:rPr>
                <w:rFonts w:hint="eastAsia" w:ascii="方正仿宋_GBK" w:hAnsi="方正仿宋_GBK" w:eastAsia="方正仿宋_GBK" w:cs="方正仿宋_GBK"/>
              </w:rPr>
            </w:pPr>
          </w:p>
        </w:tc>
        <w:tc>
          <w:tcPr>
            <w:tcW w:w="19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科目编码</w:t>
            </w:r>
          </w:p>
        </w:tc>
        <w:tc>
          <w:tcPr>
            <w:tcW w:w="202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科目名称</w:t>
            </w:r>
          </w:p>
        </w:tc>
        <w:tc>
          <w:tcPr>
            <w:tcW w:w="2220" w:type="dxa"/>
            <w:vMerge w:val="continue"/>
          </w:tcPr>
          <w:p>
            <w:pPr>
              <w:rPr>
                <w:rFonts w:hint="eastAsia" w:ascii="方正仿宋_GBK" w:hAnsi="方正仿宋_GBK" w:eastAsia="方正仿宋_GBK" w:cs="方正仿宋_GBK"/>
              </w:rPr>
            </w:pPr>
          </w:p>
        </w:tc>
        <w:tc>
          <w:tcPr>
            <w:tcW w:w="2235" w:type="dxa"/>
            <w:vMerge w:val="continue"/>
          </w:tcPr>
          <w:p>
            <w:pPr>
              <w:rPr>
                <w:rFonts w:hint="eastAsia" w:ascii="方正仿宋_GBK" w:hAnsi="方正仿宋_GBK" w:eastAsia="方正仿宋_GBK" w:cs="方正仿宋_GBK"/>
              </w:rPr>
            </w:pPr>
          </w:p>
        </w:tc>
        <w:tc>
          <w:tcPr>
            <w:tcW w:w="2202" w:type="dxa"/>
            <w:vMerge w:val="continue"/>
          </w:tcPr>
          <w:p>
            <w:pPr>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382"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19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02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2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22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2202"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382" w:type="dxa"/>
            <w:vAlign w:val="center"/>
          </w:tcPr>
          <w:p>
            <w:pPr>
              <w:pStyle w:val="14"/>
              <w:rPr>
                <w:rFonts w:hint="eastAsia" w:ascii="方正仿宋_GBK" w:hAnsi="方正仿宋_GBK" w:eastAsia="方正仿宋_GBK" w:cs="方正仿宋_GBK"/>
              </w:rPr>
            </w:pPr>
          </w:p>
        </w:tc>
        <w:tc>
          <w:tcPr>
            <w:tcW w:w="1920" w:type="dxa"/>
            <w:vAlign w:val="center"/>
          </w:tcPr>
          <w:p>
            <w:pPr>
              <w:pStyle w:val="13"/>
              <w:rPr>
                <w:rFonts w:hint="eastAsia" w:ascii="方正仿宋_GBK" w:hAnsi="方正仿宋_GBK" w:eastAsia="方正仿宋_GBK" w:cs="方正仿宋_GBK"/>
              </w:rPr>
            </w:pPr>
          </w:p>
        </w:tc>
        <w:tc>
          <w:tcPr>
            <w:tcW w:w="2025" w:type="dxa"/>
            <w:vAlign w:val="center"/>
          </w:tcPr>
          <w:p>
            <w:pPr>
              <w:pStyle w:val="13"/>
              <w:rPr>
                <w:rFonts w:hint="eastAsia" w:ascii="方正仿宋_GBK" w:hAnsi="方正仿宋_GBK" w:eastAsia="方正仿宋_GBK" w:cs="方正仿宋_GBK"/>
              </w:rPr>
            </w:pPr>
          </w:p>
        </w:tc>
        <w:tc>
          <w:tcPr>
            <w:tcW w:w="2220" w:type="dxa"/>
            <w:vAlign w:val="center"/>
          </w:tcPr>
          <w:p>
            <w:pPr>
              <w:pStyle w:val="12"/>
              <w:rPr>
                <w:rFonts w:hint="eastAsia" w:ascii="方正仿宋_GBK" w:hAnsi="方正仿宋_GBK" w:eastAsia="方正仿宋_GBK" w:cs="方正仿宋_GBK"/>
              </w:rPr>
            </w:pPr>
          </w:p>
        </w:tc>
        <w:tc>
          <w:tcPr>
            <w:tcW w:w="2235" w:type="dxa"/>
            <w:vAlign w:val="center"/>
          </w:tcPr>
          <w:p>
            <w:pPr>
              <w:pStyle w:val="12"/>
              <w:rPr>
                <w:rFonts w:hint="eastAsia" w:ascii="方正仿宋_GBK" w:hAnsi="方正仿宋_GBK" w:eastAsia="方正仿宋_GBK" w:cs="方正仿宋_GBK"/>
              </w:rPr>
            </w:pPr>
          </w:p>
        </w:tc>
        <w:tc>
          <w:tcPr>
            <w:tcW w:w="2202" w:type="dxa"/>
            <w:vAlign w:val="center"/>
          </w:tcPr>
          <w:p>
            <w:pPr>
              <w:pStyle w:val="12"/>
              <w:rPr>
                <w:rFonts w:hint="eastAsia" w:ascii="方正仿宋_GBK" w:hAnsi="方正仿宋_GBK" w:eastAsia="方正仿宋_GBK" w:cs="方正仿宋_GBK"/>
              </w:rPr>
            </w:pPr>
          </w:p>
        </w:tc>
      </w:tr>
    </w:tbl>
    <w:p>
      <w:pPr>
        <w:spacing w:before="0" w:after="0" w:line="240" w:lineRule="auto"/>
        <w:ind w:firstLine="892" w:firstLineChars="425"/>
        <w:jc w:val="left"/>
        <w:outlineLvl w:val="9"/>
        <w:rPr>
          <w:rFonts w:hint="eastAsia" w:ascii="方正仿宋_GBK" w:hAnsi="方正仿宋_GBK" w:eastAsia="方正仿宋_GBK" w:cs="方正仿宋_GBK"/>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1"/>
        </w:rPr>
        <w:t>注：无国有资本经营预算财政拨款预算，空表列示。</w:t>
      </w:r>
    </w:p>
    <w:p>
      <w:pPr>
        <w:spacing w:before="0" w:after="0" w:line="240" w:lineRule="auto"/>
        <w:ind w:firstLine="0"/>
        <w:jc w:val="center"/>
        <w:outlineLvl w:val="1"/>
        <w:rPr>
          <w:rFonts w:hint="eastAsia" w:ascii="方正仿宋_GBK" w:hAnsi="方正仿宋_GBK" w:eastAsia="方正仿宋_GBK" w:cs="方正仿宋_GBK"/>
        </w:rPr>
      </w:pPr>
      <w:bookmarkStart w:id="8" w:name="_Toc_2_2_0000000009"/>
      <w:r>
        <w:rPr>
          <w:rFonts w:hint="eastAsia" w:ascii="方正仿宋_GBK" w:hAnsi="方正仿宋_GBK" w:eastAsia="方正仿宋_GBK" w:cs="方正仿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7"/>
        <w:gridCol w:w="3990"/>
        <w:gridCol w:w="1290"/>
        <w:gridCol w:w="1920"/>
        <w:gridCol w:w="186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7" w:type="dxa"/>
            <w:gridSpan w:val="3"/>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1920" w:type="dxa"/>
            <w:tcBorders>
              <w:top w:val="single" w:color="FFFFFF" w:sz="6" w:space="0"/>
              <w:left w:val="single" w:color="FFFFFF" w:sz="6" w:space="0"/>
              <w:right w:val="single" w:color="FFFFFF" w:sz="6" w:space="0"/>
            </w:tcBorders>
            <w:vAlign w:val="center"/>
          </w:tcPr>
          <w:p>
            <w:pPr>
              <w:pStyle w:val="9"/>
              <w:rPr>
                <w:rFonts w:hint="eastAsia" w:ascii="方正仿宋_GBK" w:hAnsi="方正仿宋_GBK" w:eastAsia="方正仿宋_GBK" w:cs="方正仿宋_GBK"/>
              </w:rPr>
            </w:pPr>
            <w:r>
              <w:rPr>
                <w:rFonts w:hint="eastAsia" w:ascii="方正仿宋_GBK" w:hAnsi="方正仿宋_GBK" w:eastAsia="方正仿宋_GBK" w:cs="方正仿宋_GBK"/>
              </w:rPr>
              <w:t>预算年度：2024</w:t>
            </w:r>
          </w:p>
        </w:tc>
        <w:tc>
          <w:tcPr>
            <w:tcW w:w="3507"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7"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3990"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  目</w:t>
            </w:r>
          </w:p>
        </w:tc>
        <w:tc>
          <w:tcPr>
            <w:tcW w:w="6717" w:type="dxa"/>
            <w:gridSpan w:val="4"/>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97" w:type="dxa"/>
            <w:vMerge w:val="continue"/>
          </w:tcPr>
          <w:p>
            <w:pPr>
              <w:rPr>
                <w:rFonts w:hint="eastAsia" w:ascii="方正仿宋_GBK" w:hAnsi="方正仿宋_GBK" w:eastAsia="方正仿宋_GBK" w:cs="方正仿宋_GBK"/>
              </w:rPr>
            </w:pPr>
          </w:p>
        </w:tc>
        <w:tc>
          <w:tcPr>
            <w:tcW w:w="3990" w:type="dxa"/>
            <w:vMerge w:val="continue"/>
          </w:tcPr>
          <w:p>
            <w:pPr>
              <w:rPr>
                <w:rFonts w:hint="eastAsia" w:ascii="方正仿宋_GBK" w:hAnsi="方正仿宋_GBK" w:eastAsia="方正仿宋_GBK" w:cs="方正仿宋_GBK"/>
              </w:rPr>
            </w:pPr>
          </w:p>
        </w:tc>
        <w:tc>
          <w:tcPr>
            <w:tcW w:w="12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9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一般公共预算              财政拨款</w:t>
            </w:r>
          </w:p>
        </w:tc>
        <w:tc>
          <w:tcPr>
            <w:tcW w:w="18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政府性基金                  预算拨款</w:t>
            </w:r>
          </w:p>
        </w:tc>
        <w:tc>
          <w:tcPr>
            <w:tcW w:w="164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97"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栏次</w:t>
            </w:r>
          </w:p>
        </w:tc>
        <w:tc>
          <w:tcPr>
            <w:tcW w:w="39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29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192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18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1643"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3990" w:type="dxa"/>
            <w:vAlign w:val="center"/>
          </w:tcPr>
          <w:p>
            <w:pPr>
              <w:pStyle w:val="15"/>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129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920" w:type="dxa"/>
            <w:vAlign w:val="center"/>
          </w:tcPr>
          <w:p>
            <w:pPr>
              <w:pStyle w:val="16"/>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864" w:type="dxa"/>
            <w:vAlign w:val="center"/>
          </w:tcPr>
          <w:p>
            <w:pPr>
              <w:pStyle w:val="16"/>
              <w:rPr>
                <w:rFonts w:hint="eastAsia" w:ascii="方正仿宋_GBK" w:hAnsi="方正仿宋_GBK" w:eastAsia="方正仿宋_GBK" w:cs="方正仿宋_GBK"/>
              </w:rPr>
            </w:pPr>
          </w:p>
        </w:tc>
        <w:tc>
          <w:tcPr>
            <w:tcW w:w="1643" w:type="dxa"/>
            <w:vAlign w:val="center"/>
          </w:tcPr>
          <w:p>
            <w:pPr>
              <w:pStyle w:val="16"/>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“三公”经费小计</w:t>
            </w:r>
          </w:p>
        </w:tc>
        <w:tc>
          <w:tcPr>
            <w:tcW w:w="12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92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3</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一、因公出国（境）费</w:t>
            </w:r>
          </w:p>
        </w:tc>
        <w:tc>
          <w:tcPr>
            <w:tcW w:w="1290" w:type="dxa"/>
            <w:vAlign w:val="center"/>
          </w:tcPr>
          <w:p>
            <w:pPr>
              <w:pStyle w:val="12"/>
              <w:rPr>
                <w:rFonts w:hint="eastAsia" w:ascii="方正仿宋_GBK" w:hAnsi="方正仿宋_GBK" w:eastAsia="方正仿宋_GBK" w:cs="方正仿宋_GBK"/>
              </w:rPr>
            </w:pPr>
          </w:p>
        </w:tc>
        <w:tc>
          <w:tcPr>
            <w:tcW w:w="1920" w:type="dxa"/>
            <w:vAlign w:val="center"/>
          </w:tcPr>
          <w:p>
            <w:pPr>
              <w:pStyle w:val="12"/>
              <w:rPr>
                <w:rFonts w:hint="eastAsia" w:ascii="方正仿宋_GBK" w:hAnsi="方正仿宋_GBK" w:eastAsia="方正仿宋_GBK" w:cs="方正仿宋_GBK"/>
              </w:rPr>
            </w:pP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4</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 xml:space="preserve">    其中：教学科研人员因公出国（境）费</w:t>
            </w:r>
          </w:p>
        </w:tc>
        <w:tc>
          <w:tcPr>
            <w:tcW w:w="1290" w:type="dxa"/>
            <w:vAlign w:val="center"/>
          </w:tcPr>
          <w:p>
            <w:pPr>
              <w:pStyle w:val="12"/>
              <w:rPr>
                <w:rFonts w:hint="eastAsia" w:ascii="方正仿宋_GBK" w:hAnsi="方正仿宋_GBK" w:eastAsia="方正仿宋_GBK" w:cs="方正仿宋_GBK"/>
              </w:rPr>
            </w:pPr>
          </w:p>
        </w:tc>
        <w:tc>
          <w:tcPr>
            <w:tcW w:w="1920" w:type="dxa"/>
            <w:vAlign w:val="center"/>
          </w:tcPr>
          <w:p>
            <w:pPr>
              <w:pStyle w:val="12"/>
              <w:rPr>
                <w:rFonts w:hint="eastAsia" w:ascii="方正仿宋_GBK" w:hAnsi="方正仿宋_GBK" w:eastAsia="方正仿宋_GBK" w:cs="方正仿宋_GBK"/>
              </w:rPr>
            </w:pP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5</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 xml:space="preserve">          其他因公出国（境）费</w:t>
            </w:r>
          </w:p>
        </w:tc>
        <w:tc>
          <w:tcPr>
            <w:tcW w:w="1290" w:type="dxa"/>
            <w:vAlign w:val="center"/>
          </w:tcPr>
          <w:p>
            <w:pPr>
              <w:pStyle w:val="12"/>
              <w:rPr>
                <w:rFonts w:hint="eastAsia" w:ascii="方正仿宋_GBK" w:hAnsi="方正仿宋_GBK" w:eastAsia="方正仿宋_GBK" w:cs="方正仿宋_GBK"/>
              </w:rPr>
            </w:pPr>
          </w:p>
        </w:tc>
        <w:tc>
          <w:tcPr>
            <w:tcW w:w="1920" w:type="dxa"/>
            <w:vAlign w:val="center"/>
          </w:tcPr>
          <w:p>
            <w:pPr>
              <w:pStyle w:val="12"/>
              <w:rPr>
                <w:rFonts w:hint="eastAsia" w:ascii="方正仿宋_GBK" w:hAnsi="方正仿宋_GBK" w:eastAsia="方正仿宋_GBK" w:cs="方正仿宋_GBK"/>
              </w:rPr>
            </w:pP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6</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二、公务用车购置及运维费</w:t>
            </w:r>
          </w:p>
        </w:tc>
        <w:tc>
          <w:tcPr>
            <w:tcW w:w="1290" w:type="dxa"/>
            <w:vAlign w:val="center"/>
          </w:tcPr>
          <w:p>
            <w:pPr>
              <w:pStyle w:val="12"/>
              <w:rPr>
                <w:rFonts w:hint="eastAsia" w:ascii="方正仿宋_GBK" w:hAnsi="方正仿宋_GBK" w:eastAsia="方正仿宋_GBK" w:cs="方正仿宋_GBK"/>
              </w:rPr>
            </w:pPr>
          </w:p>
        </w:tc>
        <w:tc>
          <w:tcPr>
            <w:tcW w:w="1920" w:type="dxa"/>
            <w:vAlign w:val="center"/>
          </w:tcPr>
          <w:p>
            <w:pPr>
              <w:pStyle w:val="12"/>
              <w:rPr>
                <w:rFonts w:hint="eastAsia" w:ascii="方正仿宋_GBK" w:hAnsi="方正仿宋_GBK" w:eastAsia="方正仿宋_GBK" w:cs="方正仿宋_GBK"/>
              </w:rPr>
            </w:pP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7</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 xml:space="preserve">    其中：公务用车购置费</w:t>
            </w:r>
          </w:p>
        </w:tc>
        <w:tc>
          <w:tcPr>
            <w:tcW w:w="1290" w:type="dxa"/>
            <w:vAlign w:val="center"/>
          </w:tcPr>
          <w:p>
            <w:pPr>
              <w:pStyle w:val="12"/>
              <w:rPr>
                <w:rFonts w:hint="eastAsia" w:ascii="方正仿宋_GBK" w:hAnsi="方正仿宋_GBK" w:eastAsia="方正仿宋_GBK" w:cs="方正仿宋_GBK"/>
              </w:rPr>
            </w:pPr>
          </w:p>
        </w:tc>
        <w:tc>
          <w:tcPr>
            <w:tcW w:w="1920" w:type="dxa"/>
            <w:vAlign w:val="center"/>
          </w:tcPr>
          <w:p>
            <w:pPr>
              <w:pStyle w:val="12"/>
              <w:rPr>
                <w:rFonts w:hint="eastAsia" w:ascii="方正仿宋_GBK" w:hAnsi="方正仿宋_GBK" w:eastAsia="方正仿宋_GBK" w:cs="方正仿宋_GBK"/>
              </w:rPr>
            </w:pP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8</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 xml:space="preserve">          公务用车运行维护费</w:t>
            </w:r>
          </w:p>
        </w:tc>
        <w:tc>
          <w:tcPr>
            <w:tcW w:w="1290" w:type="dxa"/>
            <w:vAlign w:val="center"/>
          </w:tcPr>
          <w:p>
            <w:pPr>
              <w:pStyle w:val="12"/>
              <w:rPr>
                <w:rFonts w:hint="eastAsia" w:ascii="方正仿宋_GBK" w:hAnsi="方正仿宋_GBK" w:eastAsia="方正仿宋_GBK" w:cs="方正仿宋_GBK"/>
              </w:rPr>
            </w:pPr>
          </w:p>
        </w:tc>
        <w:tc>
          <w:tcPr>
            <w:tcW w:w="1920" w:type="dxa"/>
            <w:vAlign w:val="center"/>
          </w:tcPr>
          <w:p>
            <w:pPr>
              <w:pStyle w:val="12"/>
              <w:rPr>
                <w:rFonts w:hint="eastAsia" w:ascii="方正仿宋_GBK" w:hAnsi="方正仿宋_GBK" w:eastAsia="方正仿宋_GBK" w:cs="方正仿宋_GBK"/>
              </w:rPr>
            </w:pP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97"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9</w:t>
            </w:r>
          </w:p>
        </w:tc>
        <w:tc>
          <w:tcPr>
            <w:tcW w:w="399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三、公务接待费</w:t>
            </w:r>
          </w:p>
        </w:tc>
        <w:tc>
          <w:tcPr>
            <w:tcW w:w="129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920"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1.50</w:t>
            </w:r>
          </w:p>
        </w:tc>
        <w:tc>
          <w:tcPr>
            <w:tcW w:w="1864" w:type="dxa"/>
            <w:vAlign w:val="center"/>
          </w:tcPr>
          <w:p>
            <w:pPr>
              <w:pStyle w:val="12"/>
              <w:rPr>
                <w:rFonts w:hint="eastAsia" w:ascii="方正仿宋_GBK" w:hAnsi="方正仿宋_GBK" w:eastAsia="方正仿宋_GBK" w:cs="方正仿宋_GBK"/>
              </w:rPr>
            </w:pPr>
          </w:p>
        </w:tc>
        <w:tc>
          <w:tcPr>
            <w:tcW w:w="1643" w:type="dxa"/>
            <w:vAlign w:val="center"/>
          </w:tcPr>
          <w:p>
            <w:pPr>
              <w:pStyle w:val="12"/>
              <w:rPr>
                <w:rFonts w:hint="eastAsia" w:ascii="方正仿宋_GBK" w:hAnsi="方正仿宋_GBK" w:eastAsia="方正仿宋_GBK" w:cs="方正仿宋_GBK"/>
              </w:rPr>
            </w:pPr>
          </w:p>
        </w:tc>
      </w:tr>
    </w:tbl>
    <w:p>
      <w:pPr>
        <w:spacing w:before="0" w:after="0" w:line="240" w:lineRule="auto"/>
        <w:ind w:firstLine="1140" w:firstLineChars="475"/>
        <w:jc w:val="left"/>
        <w:outlineLvl w:val="9"/>
        <w:rPr>
          <w:rFonts w:hint="eastAsia" w:ascii="方正仿宋_GBK" w:hAnsi="方正仿宋_GBK" w:eastAsia="方正仿宋_GBK" w:cs="方正仿宋_GBK"/>
        </w:rPr>
      </w:pPr>
    </w:p>
    <w:p>
      <w:pPr>
        <w:spacing w:before="0" w:after="0" w:line="240" w:lineRule="auto"/>
        <w:ind w:firstLine="0"/>
        <w:jc w:val="center"/>
        <w:outlineLvl w:val="9"/>
        <w:rPr>
          <w:rFonts w:hint="eastAsia" w:ascii="方正仿宋_GBK" w:hAnsi="方正仿宋_GBK" w:eastAsia="方正仿宋_GBK" w:cs="方正仿宋_GBK"/>
          <w:color w:val="000000"/>
          <w:sz w:val="44"/>
        </w:rPr>
      </w:pPr>
    </w:p>
    <w:p>
      <w:pPr>
        <w:spacing w:before="0" w:after="0" w:line="240" w:lineRule="auto"/>
        <w:ind w:firstLine="0"/>
        <w:jc w:val="center"/>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44"/>
        </w:rPr>
        <w:t>高阳县市场建设服务中心2024年部门预算信息公开情况说明</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按照《中华人民共和国预算法》、《地方预决算公开操作规程》和《关于进一步推进预算公开工作的实施意见》规定，现将高阳县市场建设服务中心2024年部门预算公开如下：</w:t>
      </w:r>
    </w:p>
    <w:p>
      <w:pPr>
        <w:spacing w:before="10" w:after="10" w:line="360" w:lineRule="auto"/>
        <w:ind w:firstLine="640"/>
        <w:jc w:val="left"/>
        <w:outlineLvl w:val="2"/>
        <w:rPr>
          <w:rFonts w:hint="eastAsia" w:ascii="方正仿宋_GBK" w:hAnsi="方正仿宋_GBK" w:eastAsia="方正仿宋_GBK" w:cs="方正仿宋_GBK"/>
          <w:b/>
          <w:bCs/>
        </w:rPr>
      </w:pPr>
      <w:bookmarkStart w:id="9" w:name="_Toc_3_3_0000000010"/>
      <w:r>
        <w:rPr>
          <w:rFonts w:hint="eastAsia" w:ascii="方正仿宋_GBK" w:hAnsi="方正仿宋_GBK" w:eastAsia="方正仿宋_GBK" w:cs="方正仿宋_GBK"/>
          <w:b/>
          <w:bCs/>
          <w:color w:val="000000"/>
          <w:sz w:val="32"/>
        </w:rPr>
        <w:t>一、部门职责及机构设置情况</w:t>
      </w:r>
      <w:bookmarkEnd w:id="9"/>
    </w:p>
    <w:p>
      <w:pPr>
        <w:spacing w:before="0" w:after="0" w:line="240" w:lineRule="auto"/>
        <w:ind w:firstLine="640"/>
        <w:jc w:val="left"/>
        <w:outlineLvl w:val="9"/>
        <w:rPr>
          <w:rFonts w:hint="eastAsia" w:ascii="方正仿宋_GBK" w:hAnsi="方正仿宋_GBK" w:eastAsia="方正仿宋_GBK" w:cs="方正仿宋_GBK"/>
          <w:b/>
          <w:color w:val="000000"/>
          <w:sz w:val="32"/>
        </w:rPr>
      </w:pPr>
      <w:r>
        <w:rPr>
          <w:rFonts w:hint="eastAsia" w:ascii="方正仿宋_GBK" w:hAnsi="方正仿宋_GBK" w:eastAsia="方正仿宋_GBK" w:cs="方正仿宋_GBK"/>
          <w:b/>
          <w:color w:val="000000"/>
          <w:sz w:val="32"/>
        </w:rPr>
        <w:t>部门职责：</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(一）、市场的规划与建设，组织市场论证，适时提出市场建设的意见，搞好市场的规划与建设，培育和发展好市场；</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（二）、负责全县市场的登记，统计与分析，掌握市场动态，收集信息，搞好市场预测；</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（三）、负责市场的资产经营，管理市场物业，提供有偿服务，收取市场设施租赁费；</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（四）、负责市场的管理；组织好市场检查，评比和验收工作；</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（五）、组织各种类型的庙会，商品交易会；</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（六）、协助有关部门查处经营户违法行为，做好文明市场的建设工作；</w:t>
      </w:r>
    </w:p>
    <w:p>
      <w:pPr>
        <w:pStyle w:val="26"/>
        <w:rPr>
          <w:rFonts w:hint="eastAsia" w:ascii="方正仿宋_GBK" w:hAnsi="方正仿宋_GBK" w:eastAsia="方正仿宋_GBK" w:cs="方正仿宋_GBK"/>
        </w:rPr>
      </w:pPr>
      <w:r>
        <w:rPr>
          <w:rFonts w:hint="eastAsia" w:ascii="方正仿宋_GBK" w:hAnsi="方正仿宋_GBK" w:eastAsia="方正仿宋_GBK" w:cs="方正仿宋_GBK"/>
        </w:rPr>
        <w:t>（七）、承担县政府交办的其他事项。</w:t>
      </w:r>
    </w:p>
    <w:p>
      <w:pPr>
        <w:spacing w:before="0" w:after="0" w:line="240" w:lineRule="auto"/>
        <w:ind w:firstLine="643" w:firstLineChars="20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32"/>
        </w:rPr>
        <w:t>机构设置：</w:t>
      </w:r>
    </w:p>
    <w:p>
      <w:pPr>
        <w:spacing w:before="0" w:after="0" w:line="240" w:lineRule="auto"/>
        <w:ind w:firstLine="0"/>
        <w:jc w:val="center"/>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5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5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单位名称</w:t>
            </w:r>
          </w:p>
        </w:tc>
        <w:tc>
          <w:tcPr>
            <w:tcW w:w="24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单位性质</w:t>
            </w:r>
          </w:p>
        </w:tc>
        <w:tc>
          <w:tcPr>
            <w:tcW w:w="24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单位规格</w:t>
            </w:r>
          </w:p>
        </w:tc>
        <w:tc>
          <w:tcPr>
            <w:tcW w:w="24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5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高阳县市场建设服务中心</w:t>
            </w:r>
          </w:p>
        </w:tc>
        <w:tc>
          <w:tcPr>
            <w:tcW w:w="2464"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事业</w:t>
            </w:r>
          </w:p>
        </w:tc>
        <w:tc>
          <w:tcPr>
            <w:tcW w:w="2464"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未定行政级别</w:t>
            </w:r>
          </w:p>
        </w:tc>
        <w:tc>
          <w:tcPr>
            <w:tcW w:w="2464"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财政性资金零补助</w:t>
            </w:r>
          </w:p>
        </w:tc>
      </w:tr>
    </w:tbl>
    <w:p>
      <w:pPr>
        <w:numPr>
          <w:ilvl w:val="0"/>
          <w:numId w:val="0"/>
        </w:numPr>
        <w:spacing w:before="10" w:after="10" w:line="360" w:lineRule="auto"/>
        <w:jc w:val="left"/>
        <w:outlineLvl w:val="2"/>
        <w:rPr>
          <w:rFonts w:hint="eastAsia" w:ascii="方正仿宋_GBK" w:hAnsi="方正仿宋_GBK" w:eastAsia="方正仿宋_GBK" w:cs="方正仿宋_GBK"/>
          <w:color w:val="000000"/>
          <w:sz w:val="32"/>
        </w:rPr>
      </w:pPr>
      <w:bookmarkStart w:id="10" w:name="_Toc_3_3_0000000011"/>
    </w:p>
    <w:p>
      <w:pPr>
        <w:numPr>
          <w:ilvl w:val="0"/>
          <w:numId w:val="0"/>
        </w:numPr>
        <w:spacing w:before="10" w:after="10" w:line="360" w:lineRule="auto"/>
        <w:ind w:firstLine="640"/>
        <w:jc w:val="left"/>
        <w:outlineLvl w:val="2"/>
        <w:rPr>
          <w:rFonts w:hint="eastAsia"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lang w:eastAsia="zh-CN"/>
        </w:rPr>
        <w:t>二、</w:t>
      </w:r>
      <w:r>
        <w:rPr>
          <w:rFonts w:hint="eastAsia" w:ascii="方正仿宋_GBK" w:hAnsi="方正仿宋_GBK" w:eastAsia="方正仿宋_GBK" w:cs="方正仿宋_GBK"/>
          <w:b/>
          <w:bCs/>
          <w:color w:val="000000"/>
          <w:sz w:val="32"/>
        </w:rPr>
        <w:t>部门预算安排的总体情况</w:t>
      </w:r>
      <w:bookmarkEnd w:id="10"/>
    </w:p>
    <w:p>
      <w:pPr>
        <w:pStyle w:val="19"/>
        <w:rPr>
          <w:rFonts w:hint="eastAsia" w:ascii="方正仿宋_GBK" w:hAnsi="方正仿宋_GBK" w:eastAsia="方正仿宋_GBK" w:cs="方正仿宋_GBK"/>
        </w:rPr>
      </w:pPr>
      <w:bookmarkStart w:id="11" w:name="_Toc_3_3_0000000012"/>
      <w:r>
        <w:rPr>
          <w:rFonts w:hint="eastAsia" w:ascii="方正仿宋_GBK" w:hAnsi="方正仿宋_GBK" w:eastAsia="方正仿宋_GBK" w:cs="方正仿宋_GBK"/>
        </w:rPr>
        <w:t>按照预算管理有关规定，目前部门预算的编制实行综合预算管理，即全部收入和支出都反映在预算中。高阳县市场建设服务中心机关及所属事业单位的收支包含在部门预算中。</w:t>
      </w:r>
    </w:p>
    <w:p>
      <w:pPr>
        <w:pStyle w:val="19"/>
        <w:rPr>
          <w:rFonts w:hint="eastAsia" w:ascii="方正仿宋_GBK" w:hAnsi="方正仿宋_GBK" w:eastAsia="方正仿宋_GBK" w:cs="方正仿宋_GBK"/>
        </w:rPr>
      </w:pPr>
      <w:r>
        <w:rPr>
          <w:rFonts w:hint="eastAsia" w:ascii="方正仿宋_GBK" w:hAnsi="方正仿宋_GBK" w:eastAsia="方正仿宋_GBK" w:cs="方正仿宋_GBK"/>
        </w:rPr>
        <w:t>1、收入说明</w:t>
      </w:r>
    </w:p>
    <w:p>
      <w:pPr>
        <w:pStyle w:val="19"/>
        <w:rPr>
          <w:rFonts w:hint="eastAsia" w:ascii="方正仿宋_GBK" w:hAnsi="方正仿宋_GBK" w:eastAsia="方正仿宋_GBK" w:cs="方正仿宋_GBK"/>
        </w:rPr>
      </w:pPr>
      <w:r>
        <w:rPr>
          <w:rFonts w:hint="eastAsia" w:ascii="方正仿宋_GBK" w:hAnsi="方正仿宋_GBK" w:eastAsia="方正仿宋_GBK" w:cs="方正仿宋_GBK"/>
        </w:rPr>
        <w:t>反映本部门当年全部收入。2024年预算收入393.60万元，其中：一般公共预算收入393.60万元，基金预算收入0.00万元，国有资本经营预算收入0.00万元，财政专户核拨收入0.00万元，单位资金收入0.00万元，上年结转结余0.00万元。</w:t>
      </w:r>
    </w:p>
    <w:p>
      <w:pPr>
        <w:pStyle w:val="19"/>
        <w:rPr>
          <w:rFonts w:hint="eastAsia" w:ascii="方正仿宋_GBK" w:hAnsi="方正仿宋_GBK" w:eastAsia="方正仿宋_GBK" w:cs="方正仿宋_GBK"/>
        </w:rPr>
      </w:pPr>
      <w:r>
        <w:rPr>
          <w:rFonts w:hint="eastAsia" w:ascii="方正仿宋_GBK" w:hAnsi="方正仿宋_GBK" w:eastAsia="方正仿宋_GBK" w:cs="方正仿宋_GBK"/>
        </w:rPr>
        <w:t>2、支出说明</w:t>
      </w:r>
    </w:p>
    <w:p>
      <w:pPr>
        <w:pStyle w:val="19"/>
        <w:rPr>
          <w:rFonts w:hint="eastAsia" w:ascii="方正仿宋_GBK" w:hAnsi="方正仿宋_GBK" w:eastAsia="方正仿宋_GBK" w:cs="方正仿宋_GBK"/>
        </w:rPr>
      </w:pPr>
      <w:r>
        <w:rPr>
          <w:rFonts w:hint="eastAsia" w:ascii="方正仿宋_GBK" w:hAnsi="方正仿宋_GBK" w:eastAsia="方正仿宋_GBK" w:cs="方正仿宋_GBK"/>
        </w:rPr>
        <w:t>收支预算总表支出栏、基本支出表、项目支出表按经济分类和支出功能分类科目编制，反映高阳县市场建设服务中心年度部门预算中支出预算的总体情况。2024年支出预算393.60万元，其中基本支出348.60万元，包括人员经费325.66万元和日常公用经费22.94万元；项目支出45.00万元，主要为改善市场设施，消除安全隐患；整治市场环境、卫生；部分资金用于市场内日常宣传、围挡，保障突发工作顺利开展；做好创城、创卫等工作。</w:t>
      </w:r>
    </w:p>
    <w:p>
      <w:pPr>
        <w:pStyle w:val="19"/>
        <w:rPr>
          <w:rFonts w:hint="eastAsia" w:ascii="方正仿宋_GBK" w:hAnsi="方正仿宋_GBK" w:eastAsia="方正仿宋_GBK" w:cs="方正仿宋_GBK"/>
        </w:rPr>
      </w:pPr>
      <w:r>
        <w:rPr>
          <w:rFonts w:hint="eastAsia" w:ascii="方正仿宋_GBK" w:hAnsi="方正仿宋_GBK" w:eastAsia="方正仿宋_GBK" w:cs="方正仿宋_GBK"/>
        </w:rPr>
        <w:t>3、比上年增减情况</w:t>
      </w:r>
    </w:p>
    <w:p>
      <w:pPr>
        <w:spacing w:before="10" w:after="10" w:line="360" w:lineRule="auto"/>
        <w:ind w:firstLine="560" w:firstLineChars="200"/>
        <w:jc w:val="left"/>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2024年预算收支安排393.60万元，较2023年预算减少171.04万元，其中：基本支出减少48.04万元，主要为2023年预算含2022年10-12月工资;日常公用经费较上年减少0.42元，基本持平。项目支出减少123.00万元，主要为所辖市场升级改造，费用减少。</w:t>
      </w:r>
    </w:p>
    <w:p>
      <w:pPr>
        <w:numPr>
          <w:ilvl w:val="0"/>
          <w:numId w:val="0"/>
        </w:numPr>
        <w:spacing w:before="10" w:after="10" w:line="360" w:lineRule="auto"/>
        <w:ind w:left="0" w:leftChars="0" w:firstLine="640" w:firstLineChars="0"/>
        <w:jc w:val="left"/>
        <w:outlineLvl w:val="2"/>
        <w:rPr>
          <w:rFonts w:hint="eastAsia"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lang w:eastAsia="zh-CN"/>
        </w:rPr>
        <w:t>三、</w:t>
      </w:r>
      <w:r>
        <w:rPr>
          <w:rFonts w:hint="eastAsia" w:ascii="方正仿宋_GBK" w:hAnsi="方正仿宋_GBK" w:eastAsia="方正仿宋_GBK" w:cs="方正仿宋_GBK"/>
          <w:b/>
          <w:bCs/>
          <w:color w:val="000000"/>
          <w:sz w:val="32"/>
        </w:rPr>
        <w:t>机关运行经费安排情况</w:t>
      </w:r>
      <w:bookmarkEnd w:id="11"/>
    </w:p>
    <w:p>
      <w:pPr>
        <w:numPr>
          <w:ilvl w:val="0"/>
          <w:numId w:val="0"/>
        </w:numPr>
        <w:spacing w:before="10" w:after="10" w:line="360" w:lineRule="auto"/>
        <w:ind w:left="0" w:leftChars="0" w:firstLine="640" w:firstLineChars="0"/>
        <w:jc w:val="left"/>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年高阳县市场建设服务中心机关运行经费</w:t>
      </w:r>
      <w:r>
        <w:rPr>
          <w:rFonts w:hint="eastAsia" w:ascii="方正仿宋_GBK" w:hAnsi="方正仿宋_GBK" w:eastAsia="方正仿宋_GBK" w:cs="方正仿宋_GBK"/>
          <w:sz w:val="28"/>
          <w:szCs w:val="28"/>
          <w:lang w:val="en-US" w:eastAsia="zh-CN"/>
        </w:rPr>
        <w:t>22.94</w:t>
      </w:r>
      <w:r>
        <w:rPr>
          <w:rFonts w:hint="eastAsia" w:ascii="方正仿宋_GBK" w:hAnsi="方正仿宋_GBK" w:eastAsia="方正仿宋_GBK" w:cs="方正仿宋_GBK"/>
          <w:sz w:val="28"/>
          <w:szCs w:val="28"/>
        </w:rPr>
        <w:t>万元，其中：办公费8.68万元、邮电费5.</w:t>
      </w:r>
      <w:r>
        <w:rPr>
          <w:rFonts w:hint="eastAsia" w:ascii="方正仿宋_GBK" w:hAnsi="方正仿宋_GBK" w:eastAsia="方正仿宋_GBK" w:cs="方正仿宋_GBK"/>
          <w:sz w:val="28"/>
          <w:szCs w:val="28"/>
          <w:lang w:val="en-US" w:eastAsia="zh-CN"/>
        </w:rPr>
        <w:t>37</w:t>
      </w:r>
      <w:r>
        <w:rPr>
          <w:rFonts w:hint="eastAsia" w:ascii="方正仿宋_GBK" w:hAnsi="方正仿宋_GBK" w:eastAsia="方正仿宋_GBK" w:cs="方正仿宋_GBK"/>
          <w:sz w:val="28"/>
          <w:szCs w:val="28"/>
        </w:rPr>
        <w:t>万元、办公取暖费2.28万元、公务接待费</w:t>
      </w:r>
      <w:r>
        <w:rPr>
          <w:rFonts w:hint="eastAsia" w:ascii="方正仿宋_GBK" w:hAnsi="方正仿宋_GBK" w:eastAsia="方正仿宋_GBK" w:cs="方正仿宋_GBK"/>
          <w:sz w:val="28"/>
          <w:szCs w:val="28"/>
          <w:lang w:val="en-US" w:eastAsia="zh-CN"/>
        </w:rPr>
        <w:t>1.5</w:t>
      </w:r>
      <w:r>
        <w:rPr>
          <w:rFonts w:hint="eastAsia" w:ascii="方正仿宋_GBK" w:hAnsi="方正仿宋_GBK" w:eastAsia="方正仿宋_GBK" w:cs="方正仿宋_GBK"/>
          <w:sz w:val="28"/>
          <w:szCs w:val="28"/>
        </w:rPr>
        <w:t>万元、福利费1.85万元、党组织活动经费0.23万元、办公设备购置费0.6万元、工会经费2.</w:t>
      </w:r>
      <w:r>
        <w:rPr>
          <w:rFonts w:hint="eastAsia" w:ascii="方正仿宋_GBK" w:hAnsi="方正仿宋_GBK" w:eastAsia="方正仿宋_GBK" w:cs="方正仿宋_GBK"/>
          <w:sz w:val="28"/>
          <w:szCs w:val="28"/>
          <w:lang w:val="en-US" w:eastAsia="zh-CN"/>
        </w:rPr>
        <w:t>43</w:t>
      </w:r>
      <w:r>
        <w:rPr>
          <w:rFonts w:hint="eastAsia" w:ascii="方正仿宋_GBK" w:hAnsi="方正仿宋_GBK" w:eastAsia="方正仿宋_GBK" w:cs="方正仿宋_GBK"/>
          <w:sz w:val="28"/>
          <w:szCs w:val="28"/>
        </w:rPr>
        <w:t>万元。</w:t>
      </w:r>
    </w:p>
    <w:p>
      <w:pPr>
        <w:spacing w:before="10" w:after="10" w:line="360" w:lineRule="auto"/>
        <w:ind w:firstLine="640"/>
        <w:jc w:val="left"/>
        <w:outlineLvl w:val="2"/>
        <w:rPr>
          <w:rFonts w:hint="eastAsia" w:ascii="方正仿宋_GBK" w:hAnsi="方正仿宋_GBK" w:eastAsia="方正仿宋_GBK" w:cs="方正仿宋_GBK"/>
        </w:rPr>
      </w:pPr>
      <w:bookmarkStart w:id="12" w:name="_Toc_3_3_0000000013"/>
      <w:r>
        <w:rPr>
          <w:rFonts w:hint="eastAsia" w:ascii="方正仿宋_GBK" w:hAnsi="方正仿宋_GBK" w:eastAsia="方正仿宋_GBK" w:cs="方正仿宋_GBK"/>
          <w:b/>
          <w:bCs/>
          <w:color w:val="000000"/>
          <w:sz w:val="32"/>
        </w:rPr>
        <w:t>四、财政拨款“三公”经费预算情况及增减变化原因</w:t>
      </w:r>
      <w:bookmarkEnd w:id="12"/>
    </w:p>
    <w:p>
      <w:pPr>
        <w:pStyle w:val="21"/>
        <w:ind w:left="278" w:leftChars="116"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rPr>
        <w:t>202</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年“三公经费”预算安排1.</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万元，其中因公出国经费0万元，与上年持平；公务用车购置经费0万元，与上年持平；公务用车运行经费0万元，与上年持平；公务接待费支出1.</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万元，比上年减少0.1</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t>万元，我</w:t>
      </w:r>
      <w:r>
        <w:rPr>
          <w:rFonts w:hint="eastAsia" w:ascii="方正仿宋_GBK" w:hAnsi="方正仿宋_GBK" w:eastAsia="方正仿宋_GBK" w:cs="方正仿宋_GBK"/>
          <w:lang w:eastAsia="zh-CN"/>
        </w:rPr>
        <w:t>部门</w:t>
      </w:r>
      <w:r>
        <w:rPr>
          <w:rFonts w:hint="eastAsia" w:ascii="方正仿宋_GBK" w:hAnsi="方正仿宋_GBK" w:eastAsia="方正仿宋_GBK" w:cs="方正仿宋_GBK"/>
        </w:rPr>
        <w:t>针对三公经费支出制定了严格的管理制度，认真执行中央八项规定,厉行节约，杜绝浪费，从总量来讲，我</w:t>
      </w:r>
      <w:r>
        <w:rPr>
          <w:rFonts w:hint="eastAsia" w:ascii="方正仿宋_GBK" w:hAnsi="方正仿宋_GBK" w:eastAsia="方正仿宋_GBK" w:cs="方正仿宋_GBK"/>
          <w:lang w:eastAsia="zh-CN"/>
        </w:rPr>
        <w:t>部门</w:t>
      </w:r>
      <w:r>
        <w:rPr>
          <w:rFonts w:hint="eastAsia" w:ascii="方正仿宋_GBK" w:hAnsi="方正仿宋_GBK" w:eastAsia="方正仿宋_GBK" w:cs="方正仿宋_GBK"/>
        </w:rPr>
        <w:t>的三公经费与202</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年相比减少了0.1</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t>万元。</w:t>
      </w:r>
    </w:p>
    <w:p>
      <w:pPr>
        <w:pStyle w:val="21"/>
        <w:rPr>
          <w:rFonts w:hint="eastAsia" w:ascii="方正仿宋_GBK" w:hAnsi="方正仿宋_GBK" w:eastAsia="方正仿宋_GBK" w:cs="方正仿宋_GBK"/>
        </w:rPr>
      </w:pPr>
    </w:p>
    <w:p>
      <w:pPr>
        <w:spacing w:before="10" w:after="10" w:line="360" w:lineRule="auto"/>
        <w:ind w:firstLine="640"/>
        <w:jc w:val="left"/>
        <w:outlineLvl w:val="2"/>
        <w:rPr>
          <w:rFonts w:hint="eastAsia" w:ascii="方正仿宋_GBK" w:hAnsi="方正仿宋_GBK" w:eastAsia="方正仿宋_GBK" w:cs="方正仿宋_GBK"/>
          <w:b/>
          <w:bCs/>
        </w:rPr>
      </w:pPr>
      <w:bookmarkStart w:id="13" w:name="_Toc_3_3_0000000014"/>
      <w:r>
        <w:rPr>
          <w:rFonts w:hint="eastAsia" w:ascii="方正仿宋_GBK" w:hAnsi="方正仿宋_GBK" w:eastAsia="方正仿宋_GBK" w:cs="方正仿宋_GBK"/>
          <w:b/>
          <w:bCs/>
          <w:color w:val="000000"/>
          <w:sz w:val="32"/>
        </w:rPr>
        <w:t>五、部门整体绩效目标</w:t>
      </w:r>
      <w:bookmarkEnd w:id="13"/>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（一）总体绩效目标</w:t>
      </w:r>
    </w:p>
    <w:p>
      <w:pPr>
        <w:pStyle w:val="22"/>
        <w:rPr>
          <w:rFonts w:hint="eastAsia" w:ascii="方正仿宋_GBK" w:hAnsi="方正仿宋_GBK" w:eastAsia="方正仿宋_GBK" w:cs="方正仿宋_GBK"/>
        </w:rPr>
      </w:pPr>
      <w:r>
        <w:rPr>
          <w:rFonts w:hint="eastAsia" w:ascii="方正仿宋_GBK" w:hAnsi="方正仿宋_GBK" w:eastAsia="方正仿宋_GBK" w:cs="方正仿宋_GBK"/>
        </w:rPr>
        <w:t>高阳县市场建设服务中心年度发展规划目标：抢抓机遇、协同发展、繁荣市场。高阳县市场建设服务中心是隶属县委、县政府领导的事业单位，主要负责市场的规划与建设，组织市场论证，适时提出市场建设的意见，培育和发展好市场；负责市场的资产经营，管理市场物业，提供有偿服务，收取市场设施租赁费；组织好市场检查，评比和验收工作；协助有关部门查处经营户违法行为，做好文明市场的建设工作。2024年将全面加强队伍建设和基层建设，提高队伍整体素质，认真履行市场监管职能，创新措施，支持和服务地方经济发展。2024年预算支出45万元对所辖市场内的设施进行日常建设、维修、维护、广告宣传及创城、创卫等工作的支出。通过对市场的全面整治，使市场内的基础设施建设更加完善，市场环境与形象有所提高，努力营造一个诚信、文明、开放、繁荣、舒适的经营购物环境。</w:t>
      </w:r>
    </w:p>
    <w:p>
      <w:pPr>
        <w:spacing w:before="0" w:after="0" w:line="500" w:lineRule="exact"/>
        <w:ind w:firstLine="560" w:firstLineChars="20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（二）分项绩效目标</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改善市场硬件设施，提升整体环境</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rPr>
        <w:t>绩效目标：改善市场硬件设施，使市场整体形象更加美观；市场范围内老旧设施维修，消除安全隐患；对市场内部整体环境，卫生等进行综合整治，做好创建国家卫生县城等工作。</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rPr>
        <w:t>绩效指标：根据市场实际情况确定维修范围，2024年维修率达到90%以上。</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 xml:space="preserve">稳定征费，保证正常办公 </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rPr>
        <w:t>绩效目标：负责市场的资产经营，管理市场物业，提供有偿服务，收取所辖市场内设施租赁费和其它费用，严格落实收费责任，确保机关工作正常运转。</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rPr>
        <w:t>绩效指标：收费工作应收尽收、不漏征、不重征，2024年全年预计非税收入380万元，确保机关各项工作正常开展。</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大力开展环境整治工作，提升服务对象满意度</w:t>
      </w:r>
    </w:p>
    <w:p>
      <w:pPr>
        <w:pStyle w:val="23"/>
        <w:rPr>
          <w:rFonts w:hint="eastAsia" w:ascii="方正仿宋_GBK" w:hAnsi="方正仿宋_GBK" w:eastAsia="方正仿宋_GBK" w:cs="方正仿宋_GBK"/>
        </w:rPr>
      </w:pPr>
      <w:r>
        <w:rPr>
          <w:rFonts w:hint="eastAsia" w:ascii="方正仿宋_GBK" w:hAnsi="方正仿宋_GBK" w:eastAsia="方正仿宋_GBK" w:cs="方正仿宋_GBK"/>
        </w:rPr>
        <w:t>绩效目标：严格按规定开展各项隐患排查整改，坚决做到不留死角。对排查出的问题不论大小，一律责令限期整改，规定时限内进行复查，努力提高商户自身安全防范意识和应变自救能力，确保不发生任何安全生产事故。坚持标本兼治、疏堵结合，建设与管理并重；突击整治与日常管理并重；专业管理与群众教育相结合。改善市场环境卫生，为广大商户和消费者提供一个干净整洁的经营购物环境。</w:t>
      </w:r>
    </w:p>
    <w:p>
      <w:pPr>
        <w:spacing w:before="0" w:after="0" w:line="500" w:lineRule="exact"/>
        <w:ind w:firstLine="560" w:firstLineChars="20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（三）工作保障措施</w:t>
      </w:r>
    </w:p>
    <w:p>
      <w:pPr>
        <w:pStyle w:val="24"/>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认真落实市场管理条例，使现有市场进一步得到管理和规范；加大对市场的管理力度，着重治理摊位乱摆、垃圾乱扔、经营无序等现象。做到管理规范、经营公平、繁荣有序；加强基础设施建设，不断改善市场管理形象；认真落实监管流程和服务水平，营造舒适购物环境；实施硬件改造，根据市场实际情况，及时提出整改意见，并向上级部门请示，申请到预算资金，使工作开展有了强有力的后盾；做好广告宣传、日常消杀等工作。</w:t>
      </w:r>
    </w:p>
    <w:p>
      <w:pPr>
        <w:pStyle w:val="24"/>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完善制度建设。按照预算绩效评价及内部</w:t>
      </w:r>
      <w:bookmarkStart w:id="20" w:name="_GoBack"/>
      <w:bookmarkEnd w:id="20"/>
      <w:r>
        <w:rPr>
          <w:rFonts w:hint="eastAsia" w:ascii="方正仿宋_GBK" w:hAnsi="方正仿宋_GBK" w:eastAsia="方正仿宋_GBK" w:cs="方正仿宋_GBK"/>
        </w:rPr>
        <w:t>控制要求，建立适合本单位实际情况的内部控制体系，全面梳理业务流程，明确业务环节，制定各项规章制度，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加强内部监督制度建设，对绩效运行情况、重大支出决策、对外投资、资产处置及其他重要经济业务事项的决策和执行进行督导，对会计资料进行内部审计，并配合做好审计、财政监督等外部监督工作，确保财政资金安全有效。制定完善预算绩效管理制度、资金管理办法、工作保障制度等，为全年预算绩效目标的实现奠定制度基础。</w:t>
      </w:r>
    </w:p>
    <w:p>
      <w:pPr>
        <w:pStyle w:val="24"/>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规范财务资产管理，加强支出管理。为保证单位各项资产安全有效使用和资金安全运行，提高资金的使用效率，保障财务会计管理的合法合规，根据相关法律法规，制定高阳县市场建设服务中心财务收支管理制度。制定“专人管理、单独核算、专项使用”的专项资金管理制度。完善财务资产管理，严格审批程序，加强固定资产登记、使用和报废处置管理，做到支出合理，物尽其用。优化支出结构、编细编实预算、严格控制各项支出规范，及时支付资金、按规定及时下达资金，确保支出进度达标。</w:t>
      </w:r>
    </w:p>
    <w:p>
      <w:pPr>
        <w:pStyle w:val="24"/>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加强绩效运行监控，做好绩效自评。我单位按照县财政局安排部署，成立了内部控制绩效自评领导小组，负责预算整体支出绩效评价工作。制定了预算自评实施工作方案，年初编制预算时，根据单位职能和项目实际设定部门整体绩效目标和项目绩效指标，年终结束后，根据决算情况及年初设定的绩效指标情况，对单位整体支出和项目支出进行绩效自评。认真学习，准确把握《内控规范》的内在要求，学以致用，扎实做好《内控规范》的实施工作，认真开展内部控制基础性评价，及时发现存在的不足之处和薄弱环节，有针对性地建立健全内部控制体系，推动内部控制建立与实施工作如期完成。按要求开展上年度部门预算绩效自评和重点评价工作，对评价中发现的问题及时整改，调整优化支出结构，提高财政资金使用效益。</w:t>
      </w:r>
    </w:p>
    <w:p>
      <w:pPr>
        <w:pStyle w:val="24"/>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6、</w:t>
      </w:r>
      <w:r>
        <w:rPr>
          <w:rFonts w:hint="eastAsia" w:ascii="方正仿宋_GBK" w:hAnsi="方正仿宋_GBK" w:eastAsia="方正仿宋_GBK" w:cs="方正仿宋_GBK"/>
        </w:rPr>
        <w:t>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960" w:firstLineChars="300"/>
        <w:jc w:val="left"/>
        <w:outlineLvl w:val="2"/>
        <w:rPr>
          <w:rFonts w:hint="eastAsia" w:ascii="方正仿宋_GBK" w:hAnsi="方正仿宋_GBK" w:eastAsia="方正仿宋_GBK" w:cs="方正仿宋_GBK"/>
          <w:color w:val="000000"/>
          <w:sz w:val="32"/>
        </w:rPr>
      </w:pPr>
      <w:bookmarkStart w:id="14" w:name="_Toc_3_3_0000000015"/>
    </w:p>
    <w:p>
      <w:pPr>
        <w:spacing w:before="10" w:after="10" w:line="360" w:lineRule="auto"/>
        <w:ind w:firstLine="643" w:firstLineChars="200"/>
        <w:jc w:val="left"/>
        <w:outlineLvl w:val="2"/>
        <w:rPr>
          <w:rFonts w:hint="eastAsia" w:ascii="方正仿宋_GBK" w:hAnsi="方正仿宋_GBK" w:eastAsia="方正仿宋_GBK" w:cs="方正仿宋_GBK"/>
          <w:b/>
          <w:bCs/>
          <w:color w:val="000000"/>
          <w:sz w:val="32"/>
        </w:rPr>
      </w:pPr>
      <w:r>
        <w:rPr>
          <w:rFonts w:hint="eastAsia" w:ascii="方正仿宋_GBK" w:hAnsi="方正仿宋_GBK" w:eastAsia="方正仿宋_GBK" w:cs="方正仿宋_GBK"/>
          <w:b/>
          <w:bCs/>
          <w:color w:val="000000"/>
          <w:sz w:val="32"/>
        </w:rPr>
        <w:t>六、部门主管专项资金预算安排情况及绩效目标</w:t>
      </w:r>
      <w:bookmarkEnd w:id="14"/>
    </w:p>
    <w:p>
      <w:pPr>
        <w:spacing w:before="10" w:after="10" w:line="360" w:lineRule="auto"/>
        <w:ind w:firstLine="840" w:firstLineChars="300"/>
        <w:jc w:val="left"/>
        <w:outlineLvl w:val="2"/>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lang w:eastAsia="zh-CN"/>
        </w:rPr>
        <w:t>无。</w:t>
      </w:r>
    </w:p>
    <w:p>
      <w:pPr>
        <w:pStyle w:val="24"/>
        <w:rPr>
          <w:rFonts w:hint="eastAsia" w:ascii="方正仿宋_GBK" w:hAnsi="方正仿宋_GBK" w:eastAsia="方正仿宋_GBK" w:cs="方正仿宋_GBK"/>
          <w:lang w:eastAsia="zh-CN"/>
        </w:rPr>
        <w:sectPr>
          <w:pgSz w:w="16840" w:h="11900" w:orient="landscape"/>
          <w:pgMar w:top="1361" w:right="1020" w:bottom="1361" w:left="1020" w:header="720" w:footer="720" w:gutter="0"/>
          <w:cols w:space="720" w:num="1"/>
        </w:sectPr>
      </w:pPr>
    </w:p>
    <w:p>
      <w:pPr>
        <w:spacing w:before="10" w:after="10" w:line="360" w:lineRule="auto"/>
        <w:ind w:firstLine="640"/>
        <w:jc w:val="left"/>
        <w:outlineLvl w:val="2"/>
        <w:rPr>
          <w:rFonts w:hint="eastAsia" w:ascii="方正仿宋_GBK" w:hAnsi="方正仿宋_GBK" w:eastAsia="方正仿宋_GBK" w:cs="方正仿宋_GBK"/>
          <w:b/>
          <w:bCs/>
        </w:rPr>
        <w:sectPr>
          <w:pgSz w:w="16840" w:h="11900" w:orient="landscape"/>
          <w:pgMar w:top="1361" w:right="1020" w:bottom="1134" w:left="1020" w:header="720" w:footer="720" w:gutter="0"/>
          <w:cols w:space="720" w:num="1"/>
        </w:sectPr>
      </w:pPr>
      <w:bookmarkStart w:id="15" w:name="_Toc_3_3_0000000016"/>
      <w:r>
        <w:rPr>
          <w:rFonts w:hint="eastAsia" w:ascii="方正仿宋_GBK" w:hAnsi="方正仿宋_GBK" w:eastAsia="方正仿宋_GBK" w:cs="方正仿宋_GBK"/>
          <w:b/>
          <w:bCs/>
          <w:color w:val="000000"/>
          <w:sz w:val="32"/>
        </w:rPr>
        <w:t>七、部门项目预算安排情况及绩效目标</w:t>
      </w:r>
      <w:bookmarkEnd w:id="15"/>
    </w:p>
    <w:p>
      <w:pPr>
        <w:spacing w:before="0" w:after="0"/>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8"/>
        </w:rPr>
        <w:t>1、市场建设和市场整治专项经费绩效目标表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项目编码</w:t>
            </w:r>
          </w:p>
        </w:tc>
        <w:tc>
          <w:tcPr>
            <w:tcW w:w="5102" w:type="dxa"/>
            <w:gridSpan w:val="2"/>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13062824P00B32R10004W</w:t>
            </w:r>
          </w:p>
        </w:tc>
        <w:tc>
          <w:tcPr>
            <w:tcW w:w="28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项目名称</w:t>
            </w:r>
          </w:p>
        </w:tc>
        <w:tc>
          <w:tcPr>
            <w:tcW w:w="6094" w:type="dxa"/>
            <w:gridSpan w:val="3"/>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市场建设和市场整治专项经费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预算规模及资金用途</w:t>
            </w:r>
          </w:p>
        </w:tc>
        <w:tc>
          <w:tcPr>
            <w:tcW w:w="226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预算数</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28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其中：财政    资金</w:t>
            </w:r>
          </w:p>
        </w:tc>
        <w:tc>
          <w:tcPr>
            <w:tcW w:w="2551"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45.00</w:t>
            </w:r>
          </w:p>
        </w:tc>
        <w:tc>
          <w:tcPr>
            <w:tcW w:w="226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其他资金</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eastAsia" w:ascii="方正仿宋_GBK" w:hAnsi="方正仿宋_GBK" w:eastAsia="方正仿宋_GBK" w:cs="方正仿宋_GBK"/>
              </w:rPr>
            </w:pPr>
          </w:p>
        </w:tc>
        <w:tc>
          <w:tcPr>
            <w:tcW w:w="14031" w:type="dxa"/>
            <w:gridSpan w:val="6"/>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改善市场设施，消除安全隐患；整治市场环境、卫生；部分资金用于市场内日常宣传、围挡，保障突发工作顺利开展；做好创城、创卫等工作。预算45万元。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资金支出计划（%）</w:t>
            </w:r>
          </w:p>
        </w:tc>
        <w:tc>
          <w:tcPr>
            <w:tcW w:w="5102"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3月底</w:t>
            </w:r>
          </w:p>
        </w:tc>
        <w:tc>
          <w:tcPr>
            <w:tcW w:w="28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6月底</w:t>
            </w:r>
          </w:p>
        </w:tc>
        <w:tc>
          <w:tcPr>
            <w:tcW w:w="2551"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10月底</w:t>
            </w:r>
          </w:p>
        </w:tc>
        <w:tc>
          <w:tcPr>
            <w:tcW w:w="3543"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eastAsia" w:ascii="方正仿宋_GBK" w:hAnsi="方正仿宋_GBK" w:eastAsia="方正仿宋_GBK" w:cs="方正仿宋_GBK"/>
              </w:rPr>
            </w:pPr>
          </w:p>
        </w:tc>
        <w:tc>
          <w:tcPr>
            <w:tcW w:w="5102" w:type="dxa"/>
            <w:gridSpan w:val="2"/>
            <w:vAlign w:val="center"/>
          </w:tcPr>
          <w:p>
            <w:pPr>
              <w:pStyle w:val="14"/>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30</w:t>
            </w:r>
          </w:p>
        </w:tc>
        <w:tc>
          <w:tcPr>
            <w:tcW w:w="2835" w:type="dxa"/>
            <w:vAlign w:val="center"/>
          </w:tcPr>
          <w:p>
            <w:pPr>
              <w:pStyle w:val="14"/>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50</w:t>
            </w:r>
          </w:p>
        </w:tc>
        <w:tc>
          <w:tcPr>
            <w:tcW w:w="2551" w:type="dxa"/>
            <w:vAlign w:val="center"/>
          </w:tcPr>
          <w:p>
            <w:pPr>
              <w:pStyle w:val="14"/>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70</w:t>
            </w:r>
          </w:p>
        </w:tc>
        <w:tc>
          <w:tcPr>
            <w:tcW w:w="3543" w:type="dxa"/>
            <w:gridSpan w:val="2"/>
            <w:vAlign w:val="center"/>
          </w:tcPr>
          <w:p>
            <w:pPr>
              <w:pStyle w:val="14"/>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绩效目标</w:t>
            </w:r>
          </w:p>
        </w:tc>
        <w:tc>
          <w:tcPr>
            <w:tcW w:w="14031" w:type="dxa"/>
            <w:gridSpan w:val="6"/>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1.改善市场设施，消除安全隐患；整治市场环境、卫生；部分资金用于市场内日常宣传、围挡等突发工作顺利开展；做好创城、创卫等工作。预算45万元。</w:t>
            </w:r>
          </w:p>
        </w:tc>
      </w:tr>
    </w:tbl>
    <w:p>
      <w:pPr>
        <w:spacing w:before="0" w:after="0" w:line="2" w:lineRule="exact"/>
        <w:ind w:firstLine="0"/>
        <w:jc w:val="center"/>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一级指标</w:t>
            </w:r>
          </w:p>
        </w:tc>
        <w:tc>
          <w:tcPr>
            <w:tcW w:w="226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二级指标</w:t>
            </w:r>
          </w:p>
        </w:tc>
        <w:tc>
          <w:tcPr>
            <w:tcW w:w="28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三级指标</w:t>
            </w:r>
          </w:p>
        </w:tc>
        <w:tc>
          <w:tcPr>
            <w:tcW w:w="538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绩效指标描述</w:t>
            </w:r>
          </w:p>
        </w:tc>
        <w:tc>
          <w:tcPr>
            <w:tcW w:w="2268"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指标值</w:t>
            </w:r>
          </w:p>
        </w:tc>
        <w:tc>
          <w:tcPr>
            <w:tcW w:w="1276"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产出指标</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成本指标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预算控制率</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实际支出金额占预算金额的比率</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≤100%</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根据实际支出测算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eastAsia" w:ascii="方正仿宋_GBK" w:hAnsi="方正仿宋_GBK" w:eastAsia="方正仿宋_GBK" w:cs="方正仿宋_GBK"/>
              </w:rPr>
            </w:pP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质量指标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维修质量合格率</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市场内设施维修质量合格率占需维修数</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≥95%</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eastAsia" w:ascii="方正仿宋_GBK" w:hAnsi="方正仿宋_GBK" w:eastAsia="方正仿宋_GBK" w:cs="方正仿宋_GBK"/>
              </w:rPr>
            </w:pP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时效指标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维修及时率</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对损坏设施的修复及时率</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≥90%</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根据维修时效确定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eastAsia" w:ascii="方正仿宋_GBK" w:hAnsi="方正仿宋_GBK" w:eastAsia="方正仿宋_GBK" w:cs="方正仿宋_GBK"/>
              </w:rPr>
            </w:pP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数量指标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维修率</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市场内设施维修数量占需维修数量的百分比</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≥90%</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根据项目实施验收情况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效益指标</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社会效益指标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市容市貌整洁率</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市容市貌整洁率</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≥90%</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eastAsia" w:ascii="方正仿宋_GBK" w:hAnsi="方正仿宋_GBK" w:eastAsia="方正仿宋_GBK" w:cs="方正仿宋_GBK"/>
              </w:rPr>
            </w:pP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经济效益指标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市场实力</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改善市场硬件设施，提升市场实力</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实力提升</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rFonts w:hint="eastAsia" w:ascii="方正仿宋_GBK" w:hAnsi="方正仿宋_GBK" w:eastAsia="方正仿宋_GBK" w:cs="方正仿宋_GBK"/>
              </w:rPr>
            </w:pP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可持续影响指标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持续影响力</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给商户提供良好的经营环境，为市场提升形象</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持续影响力提升</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根据市场实际情况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满意度指标</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服务对象满意度指标</w:t>
            </w:r>
          </w:p>
        </w:tc>
        <w:tc>
          <w:tcPr>
            <w:tcW w:w="2835"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市场商户满意度</w:t>
            </w:r>
          </w:p>
        </w:tc>
        <w:tc>
          <w:tcPr>
            <w:tcW w:w="538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调查市场商户对该项目的满意度</w:t>
            </w:r>
          </w:p>
        </w:tc>
        <w:tc>
          <w:tcPr>
            <w:tcW w:w="2268"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&gt;90%</w:t>
            </w:r>
          </w:p>
        </w:tc>
        <w:tc>
          <w:tcPr>
            <w:tcW w:w="1276"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根据市场商户调查表</w:t>
            </w:r>
          </w:p>
        </w:tc>
      </w:tr>
    </w:tbl>
    <w:p>
      <w:pPr>
        <w:rPr>
          <w:rFonts w:hint="eastAsia" w:ascii="方正仿宋_GBK" w:hAnsi="方正仿宋_GBK" w:eastAsia="方正仿宋_GBK" w:cs="方正仿宋_GBK"/>
        </w:r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rPr>
          <w:rFonts w:hint="eastAsia" w:ascii="方正仿宋_GBK" w:hAnsi="方正仿宋_GBK" w:eastAsia="方正仿宋_GBK" w:cs="方正仿宋_GBK"/>
          <w:b/>
          <w:bCs/>
        </w:rPr>
      </w:pPr>
      <w:bookmarkStart w:id="16" w:name="_Toc_3_3_0000000017"/>
      <w:r>
        <w:rPr>
          <w:rFonts w:hint="eastAsia" w:ascii="方正仿宋_GBK" w:hAnsi="方正仿宋_GBK" w:eastAsia="方正仿宋_GBK" w:cs="方正仿宋_GBK"/>
          <w:b/>
          <w:bCs/>
          <w:color w:val="000000"/>
          <w:sz w:val="32"/>
        </w:rPr>
        <w:t>八、政府采购预算情况</w:t>
      </w:r>
      <w:bookmarkEnd w:id="16"/>
    </w:p>
    <w:p>
      <w:pPr>
        <w:spacing w:before="0" w:after="0" w:line="240" w:lineRule="auto"/>
        <w:ind w:firstLine="0"/>
        <w:jc w:val="center"/>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7710" w:type="dxa"/>
            <w:gridSpan w:val="8"/>
            <w:tcBorders>
              <w:top w:val="single" w:color="FFFFFF" w:sz="6" w:space="0"/>
              <w:left w:val="single" w:color="FFFFFF" w:sz="6" w:space="0"/>
              <w:right w:val="single" w:color="FFFFFF" w:sz="6" w:space="0"/>
            </w:tcBorders>
            <w:vAlign w:val="center"/>
          </w:tcPr>
          <w:p>
            <w:pPr>
              <w:pStyle w:val="25"/>
              <w:rPr>
                <w:rFonts w:hint="eastAsia" w:ascii="方正仿宋_GBK" w:hAnsi="方正仿宋_GBK" w:eastAsia="方正仿宋_GBK" w:cs="方正仿宋_GBK"/>
              </w:rPr>
            </w:pPr>
            <w:r>
              <w:rPr>
                <w:rFonts w:hint="eastAsia" w:ascii="方正仿宋_GBK" w:hAnsi="方正仿宋_GBK" w:eastAsia="方正仿宋_GBK" w:cs="方正仿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政府采购项目来源</w:t>
            </w:r>
          </w:p>
        </w:tc>
        <w:tc>
          <w:tcPr>
            <w:tcW w:w="1134"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采购物品名称</w:t>
            </w:r>
          </w:p>
        </w:tc>
        <w:tc>
          <w:tcPr>
            <w:tcW w:w="1134"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政府采购目录序号</w:t>
            </w:r>
          </w:p>
        </w:tc>
        <w:tc>
          <w:tcPr>
            <w:tcW w:w="709"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计量  单位</w:t>
            </w:r>
          </w:p>
        </w:tc>
        <w:tc>
          <w:tcPr>
            <w:tcW w:w="850"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数量</w:t>
            </w:r>
          </w:p>
        </w:tc>
        <w:tc>
          <w:tcPr>
            <w:tcW w:w="850"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单价</w:t>
            </w:r>
          </w:p>
        </w:tc>
        <w:tc>
          <w:tcPr>
            <w:tcW w:w="6746" w:type="dxa"/>
            <w:gridSpan w:val="7"/>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政府采购金额（当年部门预算安排资金）</w:t>
            </w:r>
          </w:p>
        </w:tc>
        <w:tc>
          <w:tcPr>
            <w:tcW w:w="964" w:type="dxa"/>
            <w:vMerge w:val="restart"/>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项目名称</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预算    资金</w:t>
            </w:r>
          </w:p>
        </w:tc>
        <w:tc>
          <w:tcPr>
            <w:tcW w:w="1134" w:type="dxa"/>
            <w:vMerge w:val="continue"/>
          </w:tcPr>
          <w:p>
            <w:pPr>
              <w:rPr>
                <w:rFonts w:hint="eastAsia" w:ascii="方正仿宋_GBK" w:hAnsi="方正仿宋_GBK" w:eastAsia="方正仿宋_GBK" w:cs="方正仿宋_GBK"/>
              </w:rPr>
            </w:pPr>
          </w:p>
        </w:tc>
        <w:tc>
          <w:tcPr>
            <w:tcW w:w="1134" w:type="dxa"/>
            <w:vMerge w:val="continue"/>
          </w:tcPr>
          <w:p>
            <w:pPr>
              <w:rPr>
                <w:rFonts w:hint="eastAsia" w:ascii="方正仿宋_GBK" w:hAnsi="方正仿宋_GBK" w:eastAsia="方正仿宋_GBK" w:cs="方正仿宋_GBK"/>
              </w:rPr>
            </w:pPr>
          </w:p>
        </w:tc>
        <w:tc>
          <w:tcPr>
            <w:tcW w:w="709" w:type="dxa"/>
            <w:vMerge w:val="continue"/>
          </w:tcPr>
          <w:p>
            <w:pPr>
              <w:rPr>
                <w:rFonts w:hint="eastAsia" w:ascii="方正仿宋_GBK" w:hAnsi="方正仿宋_GBK" w:eastAsia="方正仿宋_GBK" w:cs="方正仿宋_GBK"/>
              </w:rPr>
            </w:pPr>
          </w:p>
        </w:tc>
        <w:tc>
          <w:tcPr>
            <w:tcW w:w="850" w:type="dxa"/>
            <w:vMerge w:val="continue"/>
          </w:tcPr>
          <w:p>
            <w:pPr>
              <w:rPr>
                <w:rFonts w:hint="eastAsia" w:ascii="方正仿宋_GBK" w:hAnsi="方正仿宋_GBK" w:eastAsia="方正仿宋_GBK" w:cs="方正仿宋_GBK"/>
              </w:rPr>
            </w:pPr>
          </w:p>
        </w:tc>
        <w:tc>
          <w:tcPr>
            <w:tcW w:w="850" w:type="dxa"/>
            <w:vMerge w:val="continue"/>
          </w:tcPr>
          <w:p>
            <w:pPr>
              <w:rPr>
                <w:rFonts w:hint="eastAsia" w:ascii="方正仿宋_GBK" w:hAnsi="方正仿宋_GBK" w:eastAsia="方正仿宋_GBK" w:cs="方正仿宋_GBK"/>
              </w:rPr>
            </w:pP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合计</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一般公共预算拨款</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基金预算拨款</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国有资本经营预算拨款</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财政专户核拨</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单位    资金</w:t>
            </w:r>
          </w:p>
        </w:tc>
        <w:tc>
          <w:tcPr>
            <w:tcW w:w="964"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上年结转结余</w:t>
            </w:r>
          </w:p>
        </w:tc>
        <w:tc>
          <w:tcPr>
            <w:tcW w:w="964" w:type="dxa"/>
            <w:vMerge w:val="continue"/>
          </w:tcPr>
          <w:p>
            <w:pPr>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1134" w:type="dxa"/>
            <w:vAlign w:val="center"/>
          </w:tcPr>
          <w:p>
            <w:pPr>
              <w:pStyle w:val="13"/>
              <w:rPr>
                <w:rFonts w:hint="eastAsia" w:ascii="方正仿宋_GBK" w:hAnsi="方正仿宋_GBK" w:eastAsia="方正仿宋_GBK" w:cs="方正仿宋_GBK"/>
              </w:rPr>
            </w:pPr>
          </w:p>
        </w:tc>
        <w:tc>
          <w:tcPr>
            <w:tcW w:w="1134" w:type="dxa"/>
            <w:vAlign w:val="center"/>
          </w:tcPr>
          <w:p>
            <w:pPr>
              <w:pStyle w:val="13"/>
              <w:rPr>
                <w:rFonts w:hint="eastAsia" w:ascii="方正仿宋_GBK" w:hAnsi="方正仿宋_GBK" w:eastAsia="方正仿宋_GBK" w:cs="方正仿宋_GBK"/>
              </w:rPr>
            </w:pPr>
          </w:p>
        </w:tc>
        <w:tc>
          <w:tcPr>
            <w:tcW w:w="709" w:type="dxa"/>
            <w:vAlign w:val="center"/>
          </w:tcPr>
          <w:p>
            <w:pPr>
              <w:pStyle w:val="14"/>
              <w:rPr>
                <w:rFonts w:hint="eastAsia" w:ascii="方正仿宋_GBK" w:hAnsi="方正仿宋_GBK" w:eastAsia="方正仿宋_GBK" w:cs="方正仿宋_GBK"/>
              </w:rPr>
            </w:pPr>
          </w:p>
        </w:tc>
        <w:tc>
          <w:tcPr>
            <w:tcW w:w="850" w:type="dxa"/>
            <w:vAlign w:val="center"/>
          </w:tcPr>
          <w:p>
            <w:pPr>
              <w:pStyle w:val="12"/>
              <w:rPr>
                <w:rFonts w:hint="eastAsia" w:ascii="方正仿宋_GBK" w:hAnsi="方正仿宋_GBK" w:eastAsia="方正仿宋_GBK" w:cs="方正仿宋_GBK"/>
              </w:rPr>
            </w:pPr>
          </w:p>
        </w:tc>
        <w:tc>
          <w:tcPr>
            <w:tcW w:w="850"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c>
          <w:tcPr>
            <w:tcW w:w="964" w:type="dxa"/>
            <w:vAlign w:val="center"/>
          </w:tcPr>
          <w:p>
            <w:pPr>
              <w:pStyle w:val="12"/>
              <w:rPr>
                <w:rFonts w:hint="eastAsia" w:ascii="方正仿宋_GBK" w:hAnsi="方正仿宋_GBK" w:eastAsia="方正仿宋_GBK" w:cs="方正仿宋_GBK"/>
              </w:rPr>
            </w:pPr>
          </w:p>
        </w:tc>
      </w:tr>
    </w:tbl>
    <w:p>
      <w:pPr>
        <w:spacing w:before="0" w:after="0" w:line="500" w:lineRule="exact"/>
        <w:ind w:firstLine="42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21"/>
        </w:rPr>
        <w:t>注：无政府采购预算，空表列示。</w:t>
      </w:r>
    </w:p>
    <w:p>
      <w:pPr>
        <w:spacing w:before="0" w:after="0"/>
        <w:ind w:firstLine="640"/>
        <w:jc w:val="left"/>
        <w:outlineLvl w:val="9"/>
        <w:rPr>
          <w:rFonts w:hint="eastAsia" w:ascii="方正仿宋_GBK" w:hAnsi="方正仿宋_GBK" w:eastAsia="方正仿宋_GBK" w:cs="方正仿宋_GBK"/>
          <w:b/>
          <w:bCs/>
        </w:rPr>
      </w:pPr>
      <w:r>
        <w:rPr>
          <w:rFonts w:hint="eastAsia" w:ascii="方正仿宋_GBK" w:hAnsi="方正仿宋_GBK" w:eastAsia="方正仿宋_GBK" w:cs="方正仿宋_GBK"/>
          <w:b/>
          <w:bCs/>
          <w:color w:val="000000"/>
          <w:sz w:val="32"/>
        </w:rPr>
        <w:t xml:space="preserve"> </w:t>
      </w:r>
    </w:p>
    <w:p>
      <w:pPr>
        <w:spacing w:before="10" w:after="10" w:line="240" w:lineRule="auto"/>
        <w:ind w:firstLine="640"/>
        <w:jc w:val="left"/>
        <w:outlineLvl w:val="2"/>
        <w:rPr>
          <w:rFonts w:hint="eastAsia" w:ascii="方正仿宋_GBK" w:hAnsi="方正仿宋_GBK" w:eastAsia="方正仿宋_GBK" w:cs="方正仿宋_GBK"/>
          <w:b/>
          <w:bCs/>
        </w:rPr>
      </w:pPr>
      <w:bookmarkStart w:id="17" w:name="_Toc_3_3_0000000018"/>
      <w:r>
        <w:rPr>
          <w:rFonts w:hint="eastAsia" w:ascii="方正仿宋_GBK" w:hAnsi="方正仿宋_GBK" w:eastAsia="方正仿宋_GBK" w:cs="方正仿宋_GBK"/>
          <w:b/>
          <w:bCs/>
          <w:color w:val="000000"/>
          <w:sz w:val="32"/>
        </w:rPr>
        <w:t>九、国有资产信息</w:t>
      </w:r>
      <w:bookmarkEnd w:id="17"/>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高阳县市场建设服务中心上年末固定资产金额为</w:t>
      </w:r>
      <w:r>
        <w:rPr>
          <w:rFonts w:hint="eastAsia" w:ascii="方正仿宋_GBK" w:hAnsi="方正仿宋_GBK" w:eastAsia="方正仿宋_GBK" w:cs="方正仿宋_GBK"/>
          <w:b w:val="0"/>
          <w:color w:val="000000"/>
          <w:sz w:val="28"/>
          <w:lang w:val="en-US" w:eastAsia="zh-CN"/>
        </w:rPr>
        <w:t>80.35</w:t>
      </w:r>
      <w:r>
        <w:rPr>
          <w:rFonts w:hint="eastAsia" w:ascii="方正仿宋_GBK" w:hAnsi="方正仿宋_GBK" w:eastAsia="方正仿宋_GBK" w:cs="方正仿宋_GBK"/>
          <w:b w:val="0"/>
          <w:color w:val="000000"/>
          <w:sz w:val="28"/>
        </w:rPr>
        <w:t>万元（详见下表）。本年度拟购置固定资产总额为0.00万元。</w:t>
      </w:r>
    </w:p>
    <w:p>
      <w:pPr>
        <w:spacing w:before="0" w:after="0" w:line="240" w:lineRule="auto"/>
        <w:ind w:firstLine="0"/>
        <w:jc w:val="center"/>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36"/>
          <w:lang w:val="en-US" w:eastAsia="zh-CN"/>
        </w:rPr>
        <w:t>部门</w:t>
      </w:r>
      <w:r>
        <w:rPr>
          <w:rFonts w:hint="eastAsia" w:ascii="方正仿宋_GBK" w:hAnsi="方正仿宋_GBK" w:eastAsia="方正仿宋_GBK" w:cs="方正仿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rPr>
                <w:rFonts w:hint="eastAsia" w:ascii="方正仿宋_GBK" w:hAnsi="方正仿宋_GBK" w:eastAsia="方正仿宋_GBK" w:cs="方正仿宋_GBK"/>
              </w:rPr>
            </w:pPr>
            <w:r>
              <w:rPr>
                <w:rFonts w:hint="eastAsia" w:ascii="方正仿宋_GBK" w:hAnsi="方正仿宋_GBK" w:eastAsia="方正仿宋_GBK" w:cs="方正仿宋_GBK"/>
              </w:rPr>
              <w:t>414高阳县市场建设服务中心</w:t>
            </w:r>
          </w:p>
        </w:tc>
        <w:tc>
          <w:tcPr>
            <w:tcW w:w="5669" w:type="dxa"/>
            <w:gridSpan w:val="2"/>
            <w:tcBorders>
              <w:top w:val="single" w:color="FFFFFF" w:sz="6" w:space="0"/>
              <w:left w:val="single" w:color="FFFFFF" w:sz="6" w:space="0"/>
              <w:right w:val="single" w:color="FFFFFF" w:sz="6" w:space="0"/>
            </w:tcBorders>
            <w:vAlign w:val="center"/>
          </w:tcPr>
          <w:p>
            <w:pPr>
              <w:pStyle w:val="8"/>
              <w:rPr>
                <w:rFonts w:hint="eastAsia" w:ascii="方正仿宋_GBK" w:hAnsi="方正仿宋_GBK" w:eastAsia="方正仿宋_GBK" w:cs="方正仿宋_GBK"/>
              </w:rPr>
            </w:pPr>
            <w:r>
              <w:rPr>
                <w:rFonts w:hint="eastAsia" w:ascii="方正仿宋_GBK" w:hAnsi="方正仿宋_GBK" w:eastAsia="方正仿宋_GBK" w:cs="方正仿宋_GBK"/>
              </w:rP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项   目</w:t>
            </w:r>
          </w:p>
        </w:tc>
        <w:tc>
          <w:tcPr>
            <w:tcW w:w="28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数量</w:t>
            </w:r>
          </w:p>
        </w:tc>
        <w:tc>
          <w:tcPr>
            <w:tcW w:w="2835" w:type="dxa"/>
            <w:vAlign w:val="center"/>
          </w:tcPr>
          <w:p>
            <w:pPr>
              <w:pStyle w:val="11"/>
              <w:rPr>
                <w:rFonts w:hint="eastAsia" w:ascii="方正仿宋_GBK" w:hAnsi="方正仿宋_GBK" w:eastAsia="方正仿宋_GBK" w:cs="方正仿宋_GBK"/>
              </w:rPr>
            </w:pPr>
            <w:r>
              <w:rPr>
                <w:rFonts w:hint="eastAsia" w:ascii="方正仿宋_GBK" w:hAnsi="方正仿宋_GBK" w:eastAsia="方正仿宋_GBK" w:cs="方正仿宋_GBK"/>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资产总额</w:t>
            </w:r>
          </w:p>
        </w:tc>
        <w:tc>
          <w:tcPr>
            <w:tcW w:w="2835" w:type="dxa"/>
            <w:vAlign w:val="center"/>
          </w:tcPr>
          <w:p>
            <w:pPr>
              <w:pStyle w:val="14"/>
              <w:rPr>
                <w:rFonts w:hint="eastAsia" w:ascii="方正仿宋_GBK" w:hAnsi="方正仿宋_GBK" w:eastAsia="方正仿宋_GBK" w:cs="方正仿宋_GBK"/>
              </w:rPr>
            </w:pPr>
          </w:p>
        </w:tc>
        <w:tc>
          <w:tcPr>
            <w:tcW w:w="283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80.35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1、房屋（平方米）</w:t>
            </w:r>
          </w:p>
        </w:tc>
        <w:tc>
          <w:tcPr>
            <w:tcW w:w="2835" w:type="dxa"/>
            <w:vAlign w:val="center"/>
          </w:tcPr>
          <w:p>
            <w:pPr>
              <w:pStyle w:val="14"/>
              <w:rPr>
                <w:rFonts w:hint="eastAsia" w:ascii="方正仿宋_GBK" w:hAnsi="方正仿宋_GBK" w:eastAsia="方正仿宋_GBK" w:cs="方正仿宋_GBK"/>
              </w:rPr>
            </w:pPr>
          </w:p>
        </w:tc>
        <w:tc>
          <w:tcPr>
            <w:tcW w:w="2835"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　　其中：办公用房（平方米）</w:t>
            </w:r>
          </w:p>
        </w:tc>
        <w:tc>
          <w:tcPr>
            <w:tcW w:w="2835" w:type="dxa"/>
            <w:vAlign w:val="center"/>
          </w:tcPr>
          <w:p>
            <w:pPr>
              <w:pStyle w:val="14"/>
              <w:rPr>
                <w:rFonts w:hint="eastAsia" w:ascii="方正仿宋_GBK" w:hAnsi="方正仿宋_GBK" w:eastAsia="方正仿宋_GBK" w:cs="方正仿宋_GBK"/>
              </w:rPr>
            </w:pPr>
          </w:p>
        </w:tc>
        <w:tc>
          <w:tcPr>
            <w:tcW w:w="2835"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2、车辆（台、辆）</w:t>
            </w:r>
          </w:p>
        </w:tc>
        <w:tc>
          <w:tcPr>
            <w:tcW w:w="2835" w:type="dxa"/>
            <w:vAlign w:val="center"/>
          </w:tcPr>
          <w:p>
            <w:pPr>
              <w:pStyle w:val="14"/>
              <w:rPr>
                <w:rFonts w:hint="eastAsia" w:ascii="方正仿宋_GBK" w:hAnsi="方正仿宋_GBK" w:eastAsia="方正仿宋_GBK" w:cs="方正仿宋_GBK"/>
              </w:rPr>
            </w:pPr>
          </w:p>
        </w:tc>
        <w:tc>
          <w:tcPr>
            <w:tcW w:w="2835" w:type="dxa"/>
            <w:vAlign w:val="center"/>
          </w:tcPr>
          <w:p>
            <w:pPr>
              <w:pStyle w:val="12"/>
              <w:rPr>
                <w:rFonts w:hint="eastAsia" w:ascii="方正仿宋_GBK" w:hAnsi="方正仿宋_GBK" w:eastAsia="方正仿宋_GBK" w:cs="方正仿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3、单价在20万元以上的设备</w:t>
            </w:r>
          </w:p>
        </w:tc>
        <w:tc>
          <w:tcPr>
            <w:tcW w:w="2835"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83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rPr>
                <w:rFonts w:hint="eastAsia" w:ascii="方正仿宋_GBK" w:hAnsi="方正仿宋_GBK" w:eastAsia="方正仿宋_GBK" w:cs="方正仿宋_GBK"/>
              </w:rPr>
            </w:pPr>
            <w:r>
              <w:rPr>
                <w:rFonts w:hint="eastAsia" w:ascii="方正仿宋_GBK" w:hAnsi="方正仿宋_GBK" w:eastAsia="方正仿宋_GBK" w:cs="方正仿宋_GBK"/>
              </w:rPr>
              <w:t>4、其他固定资产</w:t>
            </w:r>
          </w:p>
        </w:tc>
        <w:tc>
          <w:tcPr>
            <w:tcW w:w="2835" w:type="dxa"/>
            <w:vAlign w:val="center"/>
          </w:tcPr>
          <w:p>
            <w:pPr>
              <w:pStyle w:val="14"/>
              <w:rPr>
                <w:rFonts w:hint="eastAsia" w:ascii="方正仿宋_GBK" w:hAnsi="方正仿宋_GBK" w:eastAsia="方正仿宋_GBK" w:cs="方正仿宋_GBK"/>
              </w:rPr>
            </w:pPr>
            <w:r>
              <w:rPr>
                <w:rFonts w:hint="eastAsia" w:ascii="方正仿宋_GBK" w:hAnsi="方正仿宋_GBK" w:eastAsia="方正仿宋_GBK" w:cs="方正仿宋_GBK"/>
              </w:rPr>
              <w:t>140</w:t>
            </w:r>
          </w:p>
        </w:tc>
        <w:tc>
          <w:tcPr>
            <w:tcW w:w="2835" w:type="dxa"/>
            <w:vAlign w:val="center"/>
          </w:tcPr>
          <w:p>
            <w:pPr>
              <w:pStyle w:val="12"/>
              <w:rPr>
                <w:rFonts w:hint="eastAsia" w:ascii="方正仿宋_GBK" w:hAnsi="方正仿宋_GBK" w:eastAsia="方正仿宋_GBK" w:cs="方正仿宋_GBK"/>
              </w:rPr>
            </w:pPr>
            <w:r>
              <w:rPr>
                <w:rFonts w:hint="eastAsia" w:ascii="方正仿宋_GBK" w:hAnsi="方正仿宋_GBK" w:eastAsia="方正仿宋_GBK" w:cs="方正仿宋_GBK"/>
              </w:rPr>
              <w:t>50.78</w:t>
            </w:r>
          </w:p>
        </w:tc>
      </w:tr>
    </w:tbl>
    <w:p>
      <w:pPr>
        <w:spacing w:before="0" w:after="0" w:line="240" w:lineRule="auto"/>
        <w:ind w:firstLine="42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 xml:space="preserve"> </w:t>
      </w:r>
    </w:p>
    <w:p>
      <w:pPr>
        <w:spacing w:before="0" w:after="0"/>
        <w:ind w:firstLine="64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rPr>
        <w:t xml:space="preserve"> </w:t>
      </w:r>
    </w:p>
    <w:p>
      <w:pPr>
        <w:spacing w:before="10" w:after="10" w:line="240" w:lineRule="auto"/>
        <w:ind w:firstLine="640"/>
        <w:jc w:val="left"/>
        <w:outlineLvl w:val="2"/>
        <w:rPr>
          <w:rFonts w:hint="eastAsia" w:ascii="方正仿宋_GBK" w:hAnsi="方正仿宋_GBK" w:eastAsia="方正仿宋_GBK" w:cs="方正仿宋_GBK"/>
          <w:b/>
          <w:bCs/>
        </w:rPr>
      </w:pPr>
      <w:bookmarkStart w:id="18" w:name="_Toc_3_3_0000000019"/>
      <w:r>
        <w:rPr>
          <w:rFonts w:hint="eastAsia" w:ascii="方正仿宋_GBK" w:hAnsi="方正仿宋_GBK" w:eastAsia="方正仿宋_GBK" w:cs="方正仿宋_GBK"/>
          <w:b/>
          <w:bCs/>
          <w:color w:val="000000"/>
          <w:sz w:val="32"/>
        </w:rPr>
        <w:t>十、名词解释</w:t>
      </w:r>
      <w:bookmarkEnd w:id="18"/>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1、</w:t>
      </w:r>
      <w:r>
        <w:rPr>
          <w:rFonts w:hint="eastAsia" w:ascii="方正仿宋_GBK" w:hAnsi="方正仿宋_GBK" w:eastAsia="方正仿宋_GBK" w:cs="方正仿宋_GBK"/>
          <w:b/>
          <w:color w:val="000000"/>
          <w:sz w:val="28"/>
        </w:rPr>
        <w:t>财政拨款收入：</w:t>
      </w:r>
      <w:r>
        <w:rPr>
          <w:rFonts w:hint="eastAsia" w:ascii="方正仿宋_GBK" w:hAnsi="方正仿宋_GBK" w:eastAsia="方正仿宋_GBK" w:cs="方正仿宋_GBK"/>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2、</w:t>
      </w:r>
      <w:r>
        <w:rPr>
          <w:rFonts w:hint="eastAsia" w:ascii="方正仿宋_GBK" w:hAnsi="方正仿宋_GBK" w:eastAsia="方正仿宋_GBK" w:cs="方正仿宋_GBK"/>
          <w:b/>
          <w:color w:val="000000"/>
          <w:sz w:val="28"/>
        </w:rPr>
        <w:t>财政专户管理资金收入：</w:t>
      </w:r>
      <w:r>
        <w:rPr>
          <w:rFonts w:hint="eastAsia" w:ascii="方正仿宋_GBK" w:hAnsi="方正仿宋_GBK" w:eastAsia="方正仿宋_GBK" w:cs="方正仿宋_GBK"/>
          <w:b w:val="0"/>
          <w:color w:val="000000"/>
          <w:sz w:val="28"/>
        </w:rPr>
        <w:t>缴入财政专户、实行专项管理的教育收费收入。</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3、</w:t>
      </w:r>
      <w:r>
        <w:rPr>
          <w:rFonts w:hint="eastAsia" w:ascii="方正仿宋_GBK" w:hAnsi="方正仿宋_GBK" w:eastAsia="方正仿宋_GBK" w:cs="方正仿宋_GBK"/>
          <w:b/>
          <w:color w:val="000000"/>
          <w:sz w:val="28"/>
        </w:rPr>
        <w:t>单位资金收入：</w:t>
      </w:r>
      <w:r>
        <w:rPr>
          <w:rFonts w:hint="eastAsia" w:ascii="方正仿宋_GBK" w:hAnsi="方正仿宋_GBK" w:eastAsia="方正仿宋_GBK" w:cs="方正仿宋_GBK"/>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4、</w:t>
      </w:r>
      <w:r>
        <w:rPr>
          <w:rFonts w:hint="eastAsia" w:ascii="方正仿宋_GBK" w:hAnsi="方正仿宋_GBK" w:eastAsia="方正仿宋_GBK" w:cs="方正仿宋_GBK"/>
          <w:b/>
          <w:color w:val="000000"/>
          <w:sz w:val="28"/>
        </w:rPr>
        <w:t>事业收入：</w:t>
      </w:r>
      <w:r>
        <w:rPr>
          <w:rFonts w:hint="eastAsia" w:ascii="方正仿宋_GBK" w:hAnsi="方正仿宋_GBK" w:eastAsia="方正仿宋_GBK" w:cs="方正仿宋_GBK"/>
          <w:b w:val="0"/>
          <w:color w:val="000000"/>
          <w:sz w:val="28"/>
        </w:rPr>
        <w:t>指事业单位开展专业业务活动及辅助活动所取得的收入。</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5、</w:t>
      </w:r>
      <w:r>
        <w:rPr>
          <w:rFonts w:hint="eastAsia" w:ascii="方正仿宋_GBK" w:hAnsi="方正仿宋_GBK" w:eastAsia="方正仿宋_GBK" w:cs="方正仿宋_GBK"/>
          <w:b/>
          <w:color w:val="000000"/>
          <w:sz w:val="28"/>
        </w:rPr>
        <w:t>事业单位经营收入：</w:t>
      </w:r>
      <w:r>
        <w:rPr>
          <w:rFonts w:hint="eastAsia" w:ascii="方正仿宋_GBK" w:hAnsi="方正仿宋_GBK" w:eastAsia="方正仿宋_GBK" w:cs="方正仿宋_GBK"/>
          <w:b w:val="0"/>
          <w:color w:val="000000"/>
          <w:sz w:val="28"/>
        </w:rPr>
        <w:t>指事业单位在专业业务活动及其辅助活动之外开展非独立核算经营活动取得的收入。</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6、</w:t>
      </w:r>
      <w:r>
        <w:rPr>
          <w:rFonts w:hint="eastAsia" w:ascii="方正仿宋_GBK" w:hAnsi="方正仿宋_GBK" w:eastAsia="方正仿宋_GBK" w:cs="方正仿宋_GBK"/>
          <w:b/>
          <w:color w:val="000000"/>
          <w:sz w:val="28"/>
        </w:rPr>
        <w:t>上年结转：</w:t>
      </w:r>
      <w:r>
        <w:rPr>
          <w:rFonts w:hint="eastAsia" w:ascii="方正仿宋_GBK" w:hAnsi="方正仿宋_GBK" w:eastAsia="方正仿宋_GBK" w:cs="方正仿宋_GBK"/>
          <w:b w:val="0"/>
          <w:color w:val="000000"/>
          <w:sz w:val="28"/>
        </w:rPr>
        <w:t>指以前年度安排、结转到本年仍按原规定用途继续使用的资金。</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7、</w:t>
      </w:r>
      <w:r>
        <w:rPr>
          <w:rFonts w:hint="eastAsia" w:ascii="方正仿宋_GBK" w:hAnsi="方正仿宋_GBK" w:eastAsia="方正仿宋_GBK" w:cs="方正仿宋_GBK"/>
          <w:b/>
          <w:color w:val="000000"/>
          <w:sz w:val="28"/>
        </w:rPr>
        <w:t>部门预算支出：</w:t>
      </w:r>
      <w:r>
        <w:rPr>
          <w:rFonts w:hint="eastAsia" w:ascii="方正仿宋_GBK" w:hAnsi="方正仿宋_GBK" w:eastAsia="方正仿宋_GBK" w:cs="方正仿宋_GBK"/>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8、</w:t>
      </w:r>
      <w:r>
        <w:rPr>
          <w:rFonts w:hint="eastAsia" w:ascii="方正仿宋_GBK" w:hAnsi="方正仿宋_GBK" w:eastAsia="方正仿宋_GBK" w:cs="方正仿宋_GBK"/>
          <w:b/>
          <w:color w:val="000000"/>
          <w:sz w:val="28"/>
        </w:rPr>
        <w:t>事业单位经营支出：</w:t>
      </w:r>
      <w:r>
        <w:rPr>
          <w:rFonts w:hint="eastAsia" w:ascii="方正仿宋_GBK" w:hAnsi="方正仿宋_GBK" w:eastAsia="方正仿宋_GBK" w:cs="方正仿宋_GBK"/>
          <w:b w:val="0"/>
          <w:color w:val="000000"/>
          <w:sz w:val="28"/>
        </w:rPr>
        <w:t>指事业单位在专业业务活动及其辅助活动之外开展非独立核算经营活动发生的支出。</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9、</w:t>
      </w:r>
      <w:r>
        <w:rPr>
          <w:rFonts w:hint="eastAsia" w:ascii="方正仿宋_GBK" w:hAnsi="方正仿宋_GBK" w:eastAsia="方正仿宋_GBK" w:cs="方正仿宋_GBK"/>
          <w:b/>
          <w:color w:val="000000"/>
          <w:sz w:val="28"/>
        </w:rPr>
        <w:t>“三公”经费：</w:t>
      </w:r>
      <w:r>
        <w:rPr>
          <w:rFonts w:hint="eastAsia" w:ascii="方正仿宋_GBK" w:hAnsi="方正仿宋_GBK" w:eastAsia="方正仿宋_GBK" w:cs="方正仿宋_GBK"/>
          <w:b w:val="0"/>
          <w:color w:val="000000"/>
          <w:sz w:val="28"/>
        </w:rPr>
        <w:t>纳入财政预算管理的“三公”经费，是指预算部门用财政拨款安排的因公出国（境）费、公务用车购置及运维费和公务接待费。其中，因公出国（境）费反映单位公务出国（境）的住宿费、旅费、伙食补助费、杂费、培训费等支出；公务用车购置及运维费反映</w:t>
      </w:r>
      <w:r>
        <w:rPr>
          <w:rFonts w:hint="eastAsia" w:ascii="方正仿宋_GBK" w:hAnsi="方正仿宋_GBK" w:eastAsia="方正仿宋_GBK" w:cs="方正仿宋_GBK"/>
          <w:b w:val="0"/>
          <w:color w:val="000000"/>
          <w:sz w:val="28"/>
          <w:lang w:val="en-US" w:eastAsia="zh-CN"/>
        </w:rPr>
        <w:t>部门</w:t>
      </w:r>
      <w:r>
        <w:rPr>
          <w:rFonts w:hint="eastAsia" w:ascii="方正仿宋_GBK" w:hAnsi="方正仿宋_GBK" w:eastAsia="方正仿宋_GBK" w:cs="方正仿宋_GBK"/>
          <w:b w:val="0"/>
          <w:color w:val="000000"/>
          <w:sz w:val="28"/>
        </w:rPr>
        <w:t>公务用车购置支出（含车辆购置税、牌照费）及按规定保留的公务用车燃料费、维修费、过路过桥费、保险费、安全奖励费用等支出；公务接待费反映</w:t>
      </w:r>
      <w:r>
        <w:rPr>
          <w:rFonts w:hint="eastAsia" w:ascii="方正仿宋_GBK" w:hAnsi="方正仿宋_GBK" w:eastAsia="方正仿宋_GBK" w:cs="方正仿宋_GBK"/>
          <w:b w:val="0"/>
          <w:color w:val="000000"/>
          <w:sz w:val="28"/>
          <w:lang w:val="en-US" w:eastAsia="zh-CN"/>
        </w:rPr>
        <w:t>部门</w:t>
      </w:r>
      <w:r>
        <w:rPr>
          <w:rFonts w:hint="eastAsia" w:ascii="方正仿宋_GBK" w:hAnsi="方正仿宋_GBK" w:eastAsia="方正仿宋_GBK" w:cs="方正仿宋_GBK"/>
          <w:b w:val="0"/>
          <w:color w:val="000000"/>
          <w:sz w:val="28"/>
        </w:rPr>
        <w:t>按规定开支的各类公务接待（含外宾接待）支出。</w:t>
      </w:r>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10、</w:t>
      </w:r>
      <w:r>
        <w:rPr>
          <w:rFonts w:hint="eastAsia" w:ascii="方正仿宋_GBK" w:hAnsi="方正仿宋_GBK" w:eastAsia="方正仿宋_GBK" w:cs="方正仿宋_GBK"/>
          <w:b/>
          <w:color w:val="000000"/>
          <w:sz w:val="28"/>
        </w:rPr>
        <w:t>机关运行经费：</w:t>
      </w:r>
      <w:r>
        <w:rPr>
          <w:rFonts w:hint="eastAsia" w:ascii="方正仿宋_GBK" w:hAnsi="方正仿宋_GBK" w:eastAsia="方正仿宋_GBK" w:cs="方正仿宋_GBK"/>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hint="eastAsia" w:ascii="方正仿宋_GBK" w:hAnsi="方正仿宋_GBK" w:eastAsia="方正仿宋_GBK" w:cs="方正仿宋_GBK"/>
          <w:b/>
          <w:bCs/>
        </w:rPr>
      </w:pPr>
      <w:bookmarkStart w:id="19" w:name="_Toc_3_3_0000000020"/>
      <w:r>
        <w:rPr>
          <w:rFonts w:hint="eastAsia" w:ascii="方正仿宋_GBK" w:hAnsi="方正仿宋_GBK" w:eastAsia="方正仿宋_GBK" w:cs="方正仿宋_GBK"/>
          <w:b/>
          <w:bCs/>
          <w:color w:val="000000"/>
          <w:sz w:val="32"/>
        </w:rPr>
        <w:t>十一、其他需要说明的事项</w:t>
      </w:r>
      <w:bookmarkEnd w:id="19"/>
    </w:p>
    <w:p>
      <w:pPr>
        <w:spacing w:before="0" w:after="0" w:line="500" w:lineRule="exact"/>
        <w:ind w:firstLine="560"/>
        <w:jc w:val="left"/>
        <w:outlineLvl w:val="9"/>
        <w:rPr>
          <w:rFonts w:hint="eastAsia" w:ascii="方正仿宋_GBK" w:hAnsi="方正仿宋_GBK" w:eastAsia="方正仿宋_GBK" w:cs="方正仿宋_GBK"/>
        </w:rPr>
      </w:pPr>
      <w:r>
        <w:rPr>
          <w:rFonts w:hint="eastAsia" w:ascii="方正仿宋_GBK" w:hAnsi="方正仿宋_GBK" w:eastAsia="方正仿宋_GBK" w:cs="方正仿宋_GBK"/>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MxMWVkOGY4NjNmYWZiODI1Yzg5MWY3ZDMzNjFlOTkifQ=="/>
  </w:docVars>
  <w:rsids>
    <w:rsidRoot w:val="00000000"/>
    <w:rsid w:val="000C5996"/>
    <w:rsid w:val="00A37C1C"/>
    <w:rsid w:val="03047809"/>
    <w:rsid w:val="07D6476B"/>
    <w:rsid w:val="09A02565"/>
    <w:rsid w:val="0A3F7CEF"/>
    <w:rsid w:val="0BC97D14"/>
    <w:rsid w:val="0C040742"/>
    <w:rsid w:val="0D430695"/>
    <w:rsid w:val="0FBD1A3F"/>
    <w:rsid w:val="11DE778E"/>
    <w:rsid w:val="144C30DB"/>
    <w:rsid w:val="1A0738C1"/>
    <w:rsid w:val="1BF53319"/>
    <w:rsid w:val="1E5F002B"/>
    <w:rsid w:val="1FC85F8C"/>
    <w:rsid w:val="220F4BE9"/>
    <w:rsid w:val="240E6805"/>
    <w:rsid w:val="2D29435F"/>
    <w:rsid w:val="30522170"/>
    <w:rsid w:val="30B81561"/>
    <w:rsid w:val="31FB72B9"/>
    <w:rsid w:val="3218173E"/>
    <w:rsid w:val="373E36A6"/>
    <w:rsid w:val="37D47635"/>
    <w:rsid w:val="3AB14584"/>
    <w:rsid w:val="3D8263F7"/>
    <w:rsid w:val="43E37807"/>
    <w:rsid w:val="47D71709"/>
    <w:rsid w:val="49B21BCB"/>
    <w:rsid w:val="4A1A1731"/>
    <w:rsid w:val="4D2524E2"/>
    <w:rsid w:val="4DEE6983"/>
    <w:rsid w:val="4F592021"/>
    <w:rsid w:val="530B1DCC"/>
    <w:rsid w:val="5501372E"/>
    <w:rsid w:val="57563D2D"/>
    <w:rsid w:val="57B85296"/>
    <w:rsid w:val="58F9051B"/>
    <w:rsid w:val="5EE30295"/>
    <w:rsid w:val="5FA338EB"/>
    <w:rsid w:val="61EF14D0"/>
    <w:rsid w:val="683878C5"/>
    <w:rsid w:val="6A22528C"/>
    <w:rsid w:val="6A554C09"/>
    <w:rsid w:val="6B177A3F"/>
    <w:rsid w:val="6CF720DE"/>
    <w:rsid w:val="6DC02C4A"/>
    <w:rsid w:val="6F2E41DF"/>
    <w:rsid w:val="71933A4F"/>
    <w:rsid w:val="71E65CD9"/>
    <w:rsid w:val="794837A4"/>
    <w:rsid w:val="79CA11DC"/>
    <w:rsid w:val="79F80A27"/>
    <w:rsid w:val="7B4C3B79"/>
    <w:rsid w:val="7B917DC4"/>
    <w:rsid w:val="7BA51F75"/>
    <w:rsid w:val="7BFA12A6"/>
    <w:rsid w:val="7EBF2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2024-02-05T09:57:01Z</dcterms:created>
  <dcterms:modified xsi:type="dcterms:W3CDTF">2024-02-05T01:57:01Z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2024-02-05T09:57:03Z</dcterms:created>
  <dcterms:modified xsi:type="dcterms:W3CDTF">2024-02-05T01:57:03Z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2024-02-05T09:57:02Z</dcterms:created>
  <dcterms:modified xsi:type="dcterms:W3CDTF">2024-02-05T01:57:02Z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b1e1991-e3bb-4d0a-bcd9-52d2a6c05caa}">
  <ds:schemaRefs/>
</ds:datastoreItem>
</file>

<file path=customXml/itemProps10.xml><?xml version="1.0" encoding="utf-8"?>
<ds:datastoreItem xmlns:ds="http://schemas.openxmlformats.org/officeDocument/2006/customXml" ds:itemID="{c0faa46f-6839-424d-8b9a-12f95a55e19b}">
  <ds:schemaRefs/>
</ds:datastoreItem>
</file>

<file path=customXml/itemProps2.xml><?xml version="1.0" encoding="utf-8"?>
<ds:datastoreItem xmlns:ds="http://schemas.openxmlformats.org/officeDocument/2006/customXml" ds:itemID="{706a181b-796a-4e73-8228-74d8c6432798}">
  <ds:schemaRefs/>
</ds:datastoreItem>
</file>

<file path=customXml/itemProps3.xml><?xml version="1.0" encoding="utf-8"?>
<ds:datastoreItem xmlns:ds="http://schemas.openxmlformats.org/officeDocument/2006/customXml" ds:itemID="{abd1dd4f-6b00-4487-ba8d-55431d6bc204}">
  <ds:schemaRefs/>
</ds:datastoreItem>
</file>

<file path=customXml/itemProps4.xml><?xml version="1.0" encoding="utf-8"?>
<ds:datastoreItem xmlns:ds="http://schemas.openxmlformats.org/officeDocument/2006/customXml" ds:itemID="{71f82369-8486-4695-9093-4cf482f8df8e}">
  <ds:schemaRefs/>
</ds:datastoreItem>
</file>

<file path=customXml/itemProps5.xml><?xml version="1.0" encoding="utf-8"?>
<ds:datastoreItem xmlns:ds="http://schemas.openxmlformats.org/officeDocument/2006/customXml" ds:itemID="{02d7260e-1d2a-4d23-a70c-491fabc4e431}">
  <ds:schemaRefs/>
</ds:datastoreItem>
</file>

<file path=customXml/itemProps6.xml><?xml version="1.0" encoding="utf-8"?>
<ds:datastoreItem xmlns:ds="http://schemas.openxmlformats.org/officeDocument/2006/customXml" ds:itemID="{042a0343-06fc-4dda-9960-f833ee4714d9}">
  <ds:schemaRefs/>
</ds:datastoreItem>
</file>

<file path=customXml/itemProps7.xml><?xml version="1.0" encoding="utf-8"?>
<ds:datastoreItem xmlns:ds="http://schemas.openxmlformats.org/officeDocument/2006/customXml" ds:itemID="{8b7a4c88-4090-4e06-8dd8-a77953ad189f}">
  <ds:schemaRefs/>
</ds:datastoreItem>
</file>

<file path=customXml/itemProps8.xml><?xml version="1.0" encoding="utf-8"?>
<ds:datastoreItem xmlns:ds="http://schemas.openxmlformats.org/officeDocument/2006/customXml" ds:itemID="{ce4253e5-ee58-418a-905a-19d89be95136}">
  <ds:schemaRefs/>
</ds:datastoreItem>
</file>

<file path=customXml/itemProps9.xml><?xml version="1.0" encoding="utf-8"?>
<ds:datastoreItem xmlns:ds="http://schemas.openxmlformats.org/officeDocument/2006/customXml" ds:itemID="{130c173a-1464-4f6c-80b1-27fcff9c6ceb}">
  <ds:schemaRefs/>
</ds:datastoreItem>
</file>

<file path=docProps/app.xml><?xml version="1.0" encoding="utf-8"?>
<Properties xmlns="http://schemas.openxmlformats.org/officeDocument/2006/extended-properties" xmlns:vt="http://schemas.openxmlformats.org/officeDocument/2006/docPropsVTypes">
  <Pages>23</Pages>
  <Words>7476</Words>
  <Characters>8325</Characters>
  <TotalTime>26</TotalTime>
  <ScaleCrop>false</ScaleCrop>
  <LinksUpToDate>false</LinksUpToDate>
  <CharactersWithSpaces>8479</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2024-02-05T09:57:00Z</dcterms:created>
  <dc:creator>Administrator</dc:creator>
  <cp:lastModifiedBy>周青18233386669</cp:lastModifiedBy>
  <dcterms:modified xsi:type="dcterms:W3CDTF">2024-05-31T02:38:23Z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3116FC1651114045A043629613072F8E</vt:lpwstr>
  </property>
</Properties>
</file>