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pPr>
      <w:r>
        <w:rPr>
          <w:rFonts w:ascii="黑体" w:eastAsia="黑体" w:cs="黑体"/>
          <w:b/>
          <w:color w:val="000000"/>
          <w:sz w:val="44"/>
        </w:rPr>
        <w:t>2022年部门预算信息公开目录</w:t>
      </w:r>
    </w:p>
    <w:p>
      <w:pPr>
        <w:jc w:val="center"/>
      </w:pPr>
      <w:r>
        <w:rPr>
          <w:rFonts w:ascii="黑体" w:eastAsia="黑体" w:cs="黑体"/>
          <w:b/>
          <w:color w:val="000000"/>
          <w:sz w:val="30"/>
        </w:rPr>
        <w:t xml:space="preserve"> </w:t>
      </w:r>
    </w:p>
    <w:p>
      <w:pPr>
        <w:jc w:val="center"/>
      </w:pPr>
    </w:p>
    <w:p>
      <w:r>
        <w:rPr>
          <w:rFonts w:ascii="方正楷体_GBK" w:eastAsia="方正楷体_GBK" w:cs="方正楷体_GBK"/>
          <w:b/>
          <w:color w:val="000000"/>
          <w:sz w:val="28"/>
        </w:rPr>
        <w:t>部门预算公开表</w:t>
      </w:r>
    </w:p>
    <w:p>
      <w:pPr>
        <w:pStyle w:val="34"/>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4"/>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4"/>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4"/>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4"/>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4"/>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34"/>
        <w:tabs>
          <w:tab w:val="right" w:leader="dot" w:pos="14562"/>
        </w:tabs>
      </w:pPr>
      <w:r>
        <w:fldChar w:fldCharType="begin"/>
      </w:r>
      <w:r>
        <w:instrText xml:space="preserve">Hyperlink \l "_Toc_2_2_0000000007"</w:instrText>
      </w:r>
      <w:r>
        <w:fldChar w:fldCharType="separate"/>
      </w:r>
      <w:r>
        <w:t>部门预算政府基金预算财政拨款支出表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34"/>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34"/>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ascii="方正楷体_GBK" w:eastAsia="方正楷体_GBK" w:cs="方正楷体_GBK"/>
          <w:b/>
          <w:color w:val="000000"/>
          <w:sz w:val="28"/>
        </w:rPr>
        <w:t>部门预算信息公开情况说明</w:t>
      </w:r>
    </w:p>
    <w:p>
      <w:pPr>
        <w:pStyle w:val="34"/>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34"/>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27</w:t>
      </w:r>
      <w:r>
        <w:fldChar w:fldCharType="end"/>
      </w:r>
      <w:r>
        <w:fldChar w:fldCharType="end"/>
      </w:r>
    </w:p>
    <w:p>
      <w:pPr>
        <w:pStyle w:val="34"/>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29</w:t>
      </w:r>
      <w:r>
        <w:fldChar w:fldCharType="end"/>
      </w:r>
      <w:r>
        <w:fldChar w:fldCharType="end"/>
      </w:r>
    </w:p>
    <w:p>
      <w:pPr>
        <w:pStyle w:val="34"/>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29</w:t>
      </w:r>
      <w:r>
        <w:fldChar w:fldCharType="end"/>
      </w:r>
      <w:r>
        <w:fldChar w:fldCharType="end"/>
      </w:r>
    </w:p>
    <w:p>
      <w:pPr>
        <w:pStyle w:val="34"/>
        <w:tabs>
          <w:tab w:val="right" w:leader="dot" w:pos="14562"/>
        </w:tabs>
      </w:pPr>
      <w:r>
        <w:fldChar w:fldCharType="begin"/>
      </w:r>
      <w:r>
        <w:instrText xml:space="preserve">Hyperlink \l "_Toc_3_3_0000000014"</w:instrText>
      </w:r>
      <w:r>
        <w:fldChar w:fldCharType="separate"/>
      </w:r>
      <w:r>
        <w:t>五、预算绩效信息</w:t>
      </w:r>
      <w:r>
        <w:tab/>
      </w:r>
      <w:r>
        <w:fldChar w:fldCharType="begin"/>
      </w:r>
      <w:r>
        <w:instrText xml:space="preserve">PAGEREF _Toc_3_3_0000000014 \h</w:instrText>
      </w:r>
      <w:r>
        <w:fldChar w:fldCharType="separate"/>
      </w:r>
      <w:r>
        <w:t>29</w:t>
      </w:r>
      <w:r>
        <w:fldChar w:fldCharType="end"/>
      </w:r>
      <w:r>
        <w:fldChar w:fldCharType="end"/>
      </w:r>
    </w:p>
    <w:p>
      <w:pPr>
        <w:pStyle w:val="34"/>
        <w:tabs>
          <w:tab w:val="right" w:leader="dot" w:pos="14562"/>
        </w:tabs>
      </w:pPr>
      <w:r>
        <w:fldChar w:fldCharType="begin"/>
      </w:r>
      <w:r>
        <w:instrText xml:space="preserve">Hyperlink \l "_Toc_3_3_0000000015"</w:instrText>
      </w:r>
      <w:r>
        <w:fldChar w:fldCharType="separate"/>
      </w:r>
      <w:r>
        <w:t>六、政府采购预算情况</w:t>
      </w:r>
      <w:r>
        <w:tab/>
      </w:r>
      <w:r>
        <w:fldChar w:fldCharType="begin"/>
      </w:r>
      <w:r>
        <w:instrText xml:space="preserve">PAGEREF _Toc_3_3_0000000015 \h</w:instrText>
      </w:r>
      <w:r>
        <w:fldChar w:fldCharType="separate"/>
      </w:r>
      <w:r>
        <w:t>47</w:t>
      </w:r>
      <w:r>
        <w:fldChar w:fldCharType="end"/>
      </w:r>
      <w:r>
        <w:fldChar w:fldCharType="end"/>
      </w:r>
    </w:p>
    <w:p>
      <w:pPr>
        <w:pStyle w:val="34"/>
        <w:tabs>
          <w:tab w:val="right" w:leader="dot" w:pos="14562"/>
        </w:tabs>
      </w:pPr>
      <w:r>
        <w:fldChar w:fldCharType="begin"/>
      </w:r>
      <w:r>
        <w:instrText xml:space="preserve">Hyperlink \l "_Toc_3_3_0000000016"</w:instrText>
      </w:r>
      <w:r>
        <w:fldChar w:fldCharType="separate"/>
      </w:r>
      <w:r>
        <w:t>七、国有资产信息</w:t>
      </w:r>
      <w:r>
        <w:tab/>
      </w:r>
      <w:r>
        <w:fldChar w:fldCharType="begin"/>
      </w:r>
      <w:r>
        <w:instrText xml:space="preserve">PAGEREF _Toc_3_3_0000000016 \h</w:instrText>
      </w:r>
      <w:r>
        <w:fldChar w:fldCharType="separate"/>
      </w:r>
      <w:r>
        <w:t>47</w:t>
      </w:r>
      <w:r>
        <w:fldChar w:fldCharType="end"/>
      </w:r>
      <w:r>
        <w:fldChar w:fldCharType="end"/>
      </w:r>
    </w:p>
    <w:p>
      <w:pPr>
        <w:pStyle w:val="34"/>
        <w:tabs>
          <w:tab w:val="right" w:leader="dot" w:pos="14562"/>
        </w:tabs>
      </w:pPr>
      <w:r>
        <w:fldChar w:fldCharType="begin"/>
      </w:r>
      <w:r>
        <w:instrText xml:space="preserve">Hyperlink \l "_Toc_3_3_0000000017"</w:instrText>
      </w:r>
      <w:r>
        <w:fldChar w:fldCharType="separate"/>
      </w:r>
      <w:r>
        <w:t>八、名词解释</w:t>
      </w:r>
      <w:r>
        <w:tab/>
      </w:r>
      <w:r>
        <w:fldChar w:fldCharType="begin"/>
      </w:r>
      <w:r>
        <w:instrText xml:space="preserve">PAGEREF _Toc_3_3_0000000017 \h</w:instrText>
      </w:r>
      <w:r>
        <w:fldChar w:fldCharType="separate"/>
      </w:r>
      <w:r>
        <w:t>47</w:t>
      </w:r>
      <w:r>
        <w:fldChar w:fldCharType="end"/>
      </w:r>
      <w:r>
        <w:fldChar w:fldCharType="end"/>
      </w:r>
    </w:p>
    <w:p>
      <w:pPr>
        <w:pStyle w:val="34"/>
        <w:tabs>
          <w:tab w:val="right" w:leader="dot" w:pos="14562"/>
        </w:tabs>
      </w:pPr>
      <w:r>
        <w:fldChar w:fldCharType="begin"/>
      </w:r>
      <w:r>
        <w:instrText xml:space="preserve">Hyperlink \l "_Toc_3_3_0000000018"</w:instrText>
      </w:r>
      <w:r>
        <w:fldChar w:fldCharType="separate"/>
      </w:r>
      <w:r>
        <w:t>九、其他需要说明的事项</w:t>
      </w:r>
      <w:r>
        <w:tab/>
      </w:r>
      <w:r>
        <w:fldChar w:fldCharType="begin"/>
      </w:r>
      <w:r>
        <w:instrText xml:space="preserve">PAGEREF _Toc_3_3_0000000018 \h</w:instrText>
      </w:r>
      <w:r>
        <w:fldChar w:fldCharType="separate"/>
      </w:r>
      <w:r>
        <w:t>48</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docGrid w:linePitch="326"/>
        </w:sectPr>
      </w:pP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outlineLvl w:val="1"/>
      </w:pPr>
      <w:bookmarkStart w:id="0" w:name="_Toc_2_2_0000000001"/>
      <w:r>
        <w:rPr>
          <w:rFonts w:ascii="方正小标宋_GBK" w:eastAsia="方正小标宋_GBK" w:cs="方正小标宋_GBK"/>
          <w:color w:val="000000"/>
          <w:sz w:val="36"/>
        </w:rPr>
        <w:t>部门预算收支总表</w:t>
      </w:r>
      <w:bookmarkEnd w:id="0"/>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11"/>
            </w:pPr>
            <w:r>
              <w:t>453高阳县庞家佐镇</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6662"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支出</w:t>
            </w:r>
          </w:p>
        </w:tc>
      </w:tr>
      <w:tr>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预算数</w:t>
            </w:r>
          </w:p>
        </w:tc>
      </w:tr>
      <w:tr>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1116.88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355.33</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84.73</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31.77</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50.00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pPr>
            <w: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pPr>
            <w: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r>
    </w:tbl>
    <w:p>
      <w:pPr>
        <w:sectPr>
          <w:footerReference r:id="rId4" w:type="default"/>
          <w:footerReference r:id="rId5" w:type="even"/>
          <w:pgSz w:w="16840" w:h="11900" w:orient="landscape"/>
          <w:pgMar w:top="1361" w:right="1020" w:bottom="1134" w:left="1020" w:header="720" w:footer="720" w:gutter="0"/>
          <w:cols w:space="720" w:num="1"/>
          <w:docGrid w:linePitch="326"/>
        </w:sectPr>
      </w:pPr>
    </w:p>
    <w:p>
      <w:pPr>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11"/>
            </w:pPr>
            <w:r>
              <w:t>453高阳县庞家佐镇</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670" w:type="dxa"/>
            <w:gridSpan w:val="5"/>
            <w:tcBorders>
              <w:top w:val="single" w:color="FFFFFF" w:sz="6" w:space="0"/>
              <w:left w:val="single" w:color="FFFFFF" w:sz="6" w:space="0"/>
              <w:bottom w:val="single" w:color="000000" w:sz="6" w:space="0"/>
              <w:right w:val="single" w:color="FFFFFF" w:sz="6" w:space="0"/>
            </w:tcBorders>
            <w:vAlign w:val="center"/>
          </w:tcPr>
          <w:p>
            <w:pPr>
              <w:pStyle w:val="6"/>
            </w:pPr>
            <w:r>
              <w:t>单位：万元</w:t>
            </w:r>
          </w:p>
        </w:tc>
      </w:tr>
      <w:tr>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9072" w:type="dxa"/>
            <w:gridSpan w:val="8"/>
            <w:tcBorders>
              <w:top w:val="single" w:color="000000" w:sz="6" w:space="0"/>
              <w:left w:val="single" w:color="000000" w:sz="6" w:space="0"/>
              <w:bottom w:val="single" w:color="000000" w:sz="6" w:space="0"/>
              <w:right w:val="single" w:color="000000" w:sz="6" w:space="0"/>
            </w:tcBorders>
            <w:vAlign w:val="center"/>
          </w:tcPr>
          <w:p>
            <w:pPr>
              <w:pStyle w:val="12"/>
            </w:pPr>
            <w: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上年结转</w:t>
            </w:r>
          </w:p>
        </w:tc>
      </w:tr>
      <w:tr>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vAlign w:val="top"/>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科目    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1134" w:type="dxa"/>
            <w:vMerge w:val="continue"/>
            <w:tcBorders>
              <w:top w:val="single" w:color="000000" w:sz="6" w:space="0"/>
              <w:left w:val="single" w:color="000000" w:sz="6" w:space="0"/>
              <w:bottom w:val="single" w:color="000000" w:sz="6" w:space="0"/>
              <w:right w:val="single" w:color="000000" w:sz="6" w:space="0"/>
            </w:tcBorders>
            <w:vAlign w:val="top"/>
          </w:tc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其他收入</w:t>
            </w:r>
          </w:p>
        </w:tc>
        <w:tc>
          <w:tcPr>
            <w:tcW w:w="1134" w:type="dxa"/>
            <w:vMerge w:val="continue"/>
            <w:tcBorders>
              <w:top w:val="single" w:color="000000" w:sz="6" w:space="0"/>
              <w:left w:val="single" w:color="000000" w:sz="6" w:space="0"/>
              <w:bottom w:val="single" w:color="000000" w:sz="6" w:space="0"/>
              <w:right w:val="single" w:color="000000" w:sz="6" w:space="0"/>
            </w:tcBorders>
            <w:vAlign w:val="top"/>
          </w:tcPr>
          <w:p/>
        </w:tc>
      </w:tr>
      <w:tr>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12</w:t>
            </w: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一般公共服务支出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355.33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355.33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355.33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政府办公厅（室）及相关机构事务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342.33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342.33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342.33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2010301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行政运行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226.33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2010308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信访事务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2010399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其他政府办公厅（室）及相关机构事务支出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86.00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86.00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86.00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纪检监察事务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2011199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其他纪检监察事务支出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20132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组织事务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2013299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其他组织事务支出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207</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文化旅游体育与传媒支出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20701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文化和旅游</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2070199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其他文化和旅游支出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84.73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84.73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84.73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75.14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75.14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75.14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68.59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68.59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68.59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2080506</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机关事业单位职业年金缴费支出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6.55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6.55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6.55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抚恤</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2080801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死亡抚恤</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20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31.77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31.77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31.77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21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21007</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计划生育事务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22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2100717</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计划生育服务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23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28.11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28.11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28.11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24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2101101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行政单位医疗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10.27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10.27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10.27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25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17.84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17.84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17.84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26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节能环保支出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50.00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50.00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50.00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27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21103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污染防治</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28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2110301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大气</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29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21104</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自然生态保护</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30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2110402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农村环境保护</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31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农林水支出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32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21307</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农村综合改革</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33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2130705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对村民委员会和村党支部的补助</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34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35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36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37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224</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灾害防治及应急管理支出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38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22401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应急管理事务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39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2240106</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安全监管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40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2240199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其他应急管理支出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ectPr>
          <w:pgSz w:w="16840" w:h="11900" w:orient="landscape"/>
          <w:pgMar w:top="1361" w:right="1020" w:bottom="1134" w:left="1020" w:header="720" w:footer="720" w:gutter="0"/>
          <w:cols w:space="720" w:num="1"/>
          <w:docGrid w:linePitch="326"/>
        </w:sectPr>
      </w:pPr>
    </w:p>
    <w:p>
      <w:pPr>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453高阳县庞家佐镇</w:t>
            </w:r>
          </w:p>
        </w:tc>
        <w:tc>
          <w:tcPr>
            <w:tcW w:w="2722" w:type="dxa"/>
            <w:gridSpan w:val="2"/>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444" w:type="dxa"/>
            <w:gridSpan w:val="4"/>
            <w:tcBorders>
              <w:top w:val="single" w:color="FFFFFF" w:sz="6" w:space="0"/>
              <w:left w:val="single" w:color="FFFFFF" w:sz="6" w:space="0"/>
              <w:bottom w:val="single" w:color="000000"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上解上级     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对附属单位补助支出</w:t>
            </w:r>
          </w:p>
        </w:tc>
      </w:tr>
      <w:tr>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科目    编码</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1361" w:type="dxa"/>
            <w:vMerge w:val="continue"/>
            <w:tcBorders>
              <w:top w:val="single" w:color="000000" w:sz="6" w:space="0"/>
              <w:left w:val="single" w:color="000000" w:sz="6" w:space="0"/>
              <w:bottom w:val="single" w:color="000000" w:sz="6" w:space="0"/>
              <w:right w:val="single" w:color="000000" w:sz="6" w:space="0"/>
            </w:tcBorders>
            <w:vAlign w:val="top"/>
          </w:tcPr>
          <w:p/>
        </w:tc>
        <w:tc>
          <w:tcPr>
            <w:tcW w:w="1361" w:type="dxa"/>
            <w:vMerge w:val="continue"/>
            <w:tcBorders>
              <w:top w:val="single" w:color="000000" w:sz="6" w:space="0"/>
              <w:left w:val="single" w:color="000000" w:sz="6" w:space="0"/>
              <w:bottom w:val="single" w:color="000000" w:sz="6" w:space="0"/>
              <w:right w:val="single" w:color="000000" w:sz="6" w:space="0"/>
            </w:tcBorders>
            <w:vAlign w:val="top"/>
          </w:tcPr>
          <w:p/>
        </w:tc>
        <w:tc>
          <w:tcPr>
            <w:tcW w:w="1361" w:type="dxa"/>
            <w:vMerge w:val="continue"/>
            <w:tcBorders>
              <w:top w:val="single" w:color="000000" w:sz="6" w:space="0"/>
              <w:left w:val="single" w:color="000000" w:sz="6" w:space="0"/>
              <w:bottom w:val="single" w:color="000000" w:sz="6" w:space="0"/>
              <w:right w:val="single" w:color="000000" w:sz="6" w:space="0"/>
            </w:tcBorders>
            <w:vAlign w:val="top"/>
          </w:tcPr>
          <w:p/>
        </w:tc>
        <w:tc>
          <w:tcPr>
            <w:tcW w:w="1361" w:type="dxa"/>
            <w:vMerge w:val="continue"/>
            <w:tcBorders>
              <w:top w:val="single" w:color="000000" w:sz="6" w:space="0"/>
              <w:left w:val="single" w:color="000000" w:sz="6" w:space="0"/>
              <w:bottom w:val="single" w:color="000000" w:sz="6" w:space="0"/>
              <w:right w:val="single" w:color="000000" w:sz="6" w:space="0"/>
            </w:tcBorders>
            <w:vAlign w:val="top"/>
          </w:tcPr>
          <w:p/>
        </w:tc>
        <w:tc>
          <w:tcPr>
            <w:tcW w:w="1361" w:type="dxa"/>
            <w:vMerge w:val="continue"/>
            <w:tcBorders>
              <w:top w:val="single" w:color="000000" w:sz="6" w:space="0"/>
              <w:left w:val="single" w:color="000000" w:sz="6" w:space="0"/>
              <w:bottom w:val="single" w:color="000000" w:sz="6" w:space="0"/>
              <w:right w:val="single" w:color="000000" w:sz="6" w:space="0"/>
            </w:tcBorders>
            <w:vAlign w:val="top"/>
          </w:tcPr>
          <w:p/>
        </w:tc>
        <w:tc>
          <w:tcPr>
            <w:tcW w:w="1361" w:type="dxa"/>
            <w:vMerge w:val="continue"/>
            <w:tcBorders>
              <w:top w:val="single" w:color="000000" w:sz="6" w:space="0"/>
              <w:left w:val="single" w:color="000000" w:sz="6" w:space="0"/>
              <w:bottom w:val="single" w:color="000000" w:sz="6" w:space="0"/>
              <w:right w:val="single" w:color="000000" w:sz="6" w:space="0"/>
            </w:tcBorders>
            <w:vAlign w:val="top"/>
          </w:tcPr>
          <w:p/>
        </w:tc>
      </w:tr>
      <w:tr>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8</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t>770.88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t>346.00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一般公共服务支出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355.33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226.33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129.00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政府办公厅（室）及相关机构事务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342.33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226.33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116.00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2010301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行政运行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226.33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226.33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2010308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信访事务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2010399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其他政府办公厅（室）及相关机构事务支出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86.00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86.00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纪检监察事务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2011199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其他纪检监察事务支出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20132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组织事务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2013299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其他组织事务支出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文化旅游体育与传媒支出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20701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文化和旅游</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2070199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其他文化和旅游支出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84.73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84.73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75.14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75.14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68.59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68.59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2080506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机关事业单位职业年金缴费支出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6.55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6.55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20808</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抚恤</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2080801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死亡抚恤</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31.77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28.11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21007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计划生育事务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2100717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计划生育服务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28.11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28.11</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2101101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行政单位医疗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10.27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10.27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2101102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17.84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17.84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节能环保支出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50.00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50.00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21103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污染防治</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2110301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大气</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21104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自然生态保护</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2110402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农村环境保护</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213</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农林水支出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21307</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农村综合改革</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2130705</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对村民委员会和村党支部的补助</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22102</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2210201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224</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灾害防治及应急管理支出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22401</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应急管理事务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2240106</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安全监管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2240199</w:t>
            </w:r>
          </w:p>
        </w:tc>
        <w:tc>
          <w:tcPr>
            <w:tcW w:w="4536" w:type="dxa"/>
            <w:tcBorders>
              <w:top w:val="single" w:color="000000" w:sz="6" w:space="0"/>
              <w:left w:val="single" w:color="000000" w:sz="6" w:space="0"/>
              <w:bottom w:val="single" w:color="000000" w:sz="6" w:space="0"/>
              <w:right w:val="single" w:color="000000" w:sz="6" w:space="0"/>
            </w:tcBorders>
            <w:vAlign w:val="center"/>
          </w:tcPr>
          <w:p>
            <w:pPr>
              <w:pStyle w:val="14"/>
            </w:pPr>
            <w:r>
              <w:t>其他应急管理支出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ectPr>
          <w:pgSz w:w="16840" w:h="11900" w:orient="landscape"/>
          <w:pgMar w:top="1361" w:right="1020" w:bottom="1134" w:left="1020" w:header="720" w:footer="720" w:gutter="0"/>
          <w:cols w:space="720" w:num="1"/>
          <w:docGrid w:linePitch="326"/>
        </w:sectPr>
      </w:pPr>
    </w:p>
    <w:p>
      <w:pPr>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453高阳县庞家佐镇</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12"/>
            </w:pPr>
            <w:r>
              <w:t>支出</w:t>
            </w:r>
          </w:p>
        </w:tc>
      </w:tr>
      <w:tr>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政府性基金预算财政    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国有资本经营预算财政拨款</w:t>
            </w:r>
          </w:p>
        </w:tc>
      </w:tr>
      <w:tr>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7</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1116.88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355.33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355.33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84.73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84.73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31.77</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31.77</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50.00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50.00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bl>
    <w:p>
      <w:pPr>
        <w:sectPr>
          <w:pgSz w:w="16840" w:h="11900" w:orient="landscape"/>
          <w:pgMar w:top="1361" w:right="1020" w:bottom="1134" w:left="1020" w:header="720" w:footer="720" w:gutter="0"/>
          <w:cols w:space="720" w:num="1"/>
          <w:docGrid w:linePitch="326"/>
        </w:sectPr>
      </w:pPr>
    </w:p>
    <w:p>
      <w:pPr>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453高阳县庞家佐镇</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r>
      <w:tr>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top"/>
          </w:tcPr>
          <w:p/>
        </w:tc>
        <w:tc>
          <w:tcPr>
            <w:tcW w:w="2551" w:type="dxa"/>
            <w:vMerge w:val="continue"/>
            <w:tcBorders>
              <w:top w:val="single" w:color="000000" w:sz="6" w:space="0"/>
              <w:left w:val="single" w:color="000000" w:sz="6" w:space="0"/>
              <w:bottom w:val="single" w:color="000000" w:sz="6" w:space="0"/>
              <w:right w:val="single" w:color="000000" w:sz="6" w:space="0"/>
            </w:tcBorders>
            <w:vAlign w:val="top"/>
          </w:tcPr>
          <w:p/>
        </w:tc>
        <w:tc>
          <w:tcPr>
            <w:tcW w:w="2551" w:type="dxa"/>
            <w:vMerge w:val="continue"/>
            <w:tcBorders>
              <w:top w:val="single" w:color="000000" w:sz="6" w:space="0"/>
              <w:left w:val="single" w:color="000000" w:sz="6" w:space="0"/>
              <w:bottom w:val="single" w:color="000000" w:sz="6" w:space="0"/>
              <w:right w:val="single" w:color="000000" w:sz="6" w:space="0"/>
            </w:tcBorders>
            <w:vAlign w:val="top"/>
          </w:tcPr>
          <w:p/>
        </w:tc>
      </w:tr>
      <w:tr>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1116.88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770.88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346.00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一般公共服务支出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355.33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226.33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129.00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政府办公厅（室）及相关机构事务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342.33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226.33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116.00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2010301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行政运行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226.33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226.33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2010308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信访事务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2010399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其他政府办公厅（室）及相关机构事务支出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86.00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86.00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纪检监察事务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2011199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其他纪检监察事务支出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20132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组织事务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10.00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2013299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其他组织事务支出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10.00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文化旅游体育与传媒支出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20701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文化和旅游</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2070199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其他文化和旅游支出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388.34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84.73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84.73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75.14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75.14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68.59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68.59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机关事业单位职业年金缴费支出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20808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抚恤</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2080801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死亡抚恤</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31.77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28.11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21007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计划生育事务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2100717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计划生育服务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3.66</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28.11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28.11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2101101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行政单位医疗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10.27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10.27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17.84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17.84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节能环保支出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50.00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50.00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污染防治</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2110301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大气</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30.00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21104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自然生态保护</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2110402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农村环境保护</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农林水支出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21307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农村综合改革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2130705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对村民委员会和村党支部的补助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138.34</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224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灾害防治及应急管理支出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22401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应急管理事务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25.00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2240106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安全监管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5.00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5.00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2240199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其他应急管理支出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20.00</w:t>
            </w:r>
          </w:p>
        </w:tc>
      </w:tr>
    </w:tbl>
    <w:p>
      <w:pPr>
        <w:sectPr>
          <w:pgSz w:w="16840" w:h="11900" w:orient="landscape"/>
          <w:pgMar w:top="1361" w:right="1020" w:bottom="1134" w:left="1020" w:header="720" w:footer="720" w:gutter="0"/>
          <w:cols w:space="720" w:num="1"/>
          <w:docGrid w:linePitch="326"/>
        </w:sectPr>
      </w:pPr>
    </w:p>
    <w:p>
      <w:pPr>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453高阳县庞家佐镇</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3" w:type="dxa"/>
            <w:gridSpan w:val="2"/>
            <w:tcBorders>
              <w:top w:val="single" w:color="FFFFFF" w:sz="6" w:space="0"/>
              <w:left w:val="single" w:color="FFFFFF" w:sz="6" w:space="0"/>
              <w:bottom w:val="single" w:color="000000"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12"/>
            </w:pPr>
            <w:r>
              <w:t>一般公共预算基本支出</w:t>
            </w:r>
          </w:p>
        </w:tc>
      </w:tr>
      <w:tr>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人员经费</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2"/>
            </w:pPr>
            <w:r>
              <w:t>公用经费</w:t>
            </w:r>
          </w:p>
        </w:tc>
      </w:tr>
      <w:tr>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770.88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674.15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7"/>
            </w:pPr>
            <w:r>
              <w:t>96.73</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663.69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663.69</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265.08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265.08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105.00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105.00</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奖金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7.68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7.68</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90.94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90.94</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68.59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68.59</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职业年金缴费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6.55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6.55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城镇职工基本医疗保险缴费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28.11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28.11</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4.25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4.25</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43.37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44.12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44.12</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96.73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r>
              <w:t>96.73</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28.54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r>
              <w:t>28.54</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15.21</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r>
              <w:t>15.21</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取暖费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14.72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r>
              <w:t>14.72</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30215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会议费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0.45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r>
              <w:t>0.45</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公务接待费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r>
              <w:t>1.20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9.28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r>
              <w:t>9.28</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r>
              <w:t>4.70</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30231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公务用车运行维护费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5.13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r>
              <w:t>5.13</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30239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其他交通费用</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15.12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r>
              <w:t>15.12</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r>
              <w:t>2.38</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10.46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10.46</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退休费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0.87</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0.87</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30305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生活补助</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9.59</w:t>
            </w:r>
          </w:p>
        </w:tc>
        <w:tc>
          <w:tcPr>
            <w:tcW w:w="2552"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ectPr>
          <w:pgSz w:w="16840" w:h="11900" w:orient="landscape"/>
          <w:pgMar w:top="1361" w:right="1020" w:bottom="1134" w:left="1020" w:header="720" w:footer="720" w:gutter="0"/>
          <w:cols w:space="720" w:num="1"/>
          <w:docGrid w:linePitch="326"/>
        </w:sectPr>
      </w:pPr>
    </w:p>
    <w:p>
      <w:pPr>
        <w:jc w:val="center"/>
        <w:outlineLvl w:val="1"/>
      </w:pPr>
      <w:bookmarkStart w:id="6" w:name="_Toc_2_2_0000000007"/>
      <w:r>
        <w:rPr>
          <w:rFonts w:ascii="方正小标宋_GBK" w:eastAsia="方正小标宋_GBK" w:cs="方正小标宋_GBK"/>
          <w:color w:val="000000"/>
          <w:sz w:val="36"/>
        </w:rPr>
        <w:t>部门预算政府基金预算财政拨款支出表</w:t>
      </w:r>
      <w:bookmarkEnd w:id="6"/>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453高阳县庞家佐镇</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r>
      <w:tr>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top"/>
          </w:tcPr>
          <w:p/>
        </w:tc>
        <w:tc>
          <w:tcPr>
            <w:tcW w:w="2551" w:type="dxa"/>
            <w:vMerge w:val="continue"/>
            <w:tcBorders>
              <w:top w:val="single" w:color="000000" w:sz="6" w:space="0"/>
              <w:left w:val="single" w:color="000000" w:sz="6" w:space="0"/>
              <w:bottom w:val="single" w:color="000000" w:sz="6" w:space="0"/>
              <w:right w:val="single" w:color="000000" w:sz="6" w:space="0"/>
            </w:tcBorders>
            <w:vAlign w:val="top"/>
          </w:tcPr>
          <w:p/>
        </w:tc>
        <w:tc>
          <w:tcPr>
            <w:tcW w:w="2551" w:type="dxa"/>
            <w:vMerge w:val="continue"/>
            <w:tcBorders>
              <w:top w:val="single" w:color="000000" w:sz="6" w:space="0"/>
              <w:left w:val="single" w:color="000000" w:sz="6" w:space="0"/>
              <w:bottom w:val="single" w:color="000000" w:sz="6" w:space="0"/>
              <w:right w:val="single" w:color="000000" w:sz="6" w:space="0"/>
            </w:tcBorders>
            <w:vAlign w:val="top"/>
          </w:tcPr>
          <w:p/>
        </w:tc>
      </w:tr>
      <w:tr>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ind w:firstLine="420"/>
        <w:sectPr>
          <w:pgSz w:w="16840" w:h="11900" w:orient="landscape"/>
          <w:pgMar w:top="1361" w:right="1020" w:bottom="1134" w:left="1020" w:header="720" w:footer="720" w:gutter="0"/>
          <w:cols w:space="720" w:num="1"/>
          <w:docGrid w:linePitch="326"/>
        </w:sectPr>
      </w:pPr>
      <w:r>
        <w:rPr>
          <w:rFonts w:asci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453高阳县庞家佐镇</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r>
      <w:tr>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vAlign w:val="top"/>
          </w:tcPr>
          <w:p/>
        </w:tc>
        <w:tc>
          <w:tcPr>
            <w:tcW w:w="2551" w:type="dxa"/>
            <w:vMerge w:val="continue"/>
            <w:tcBorders>
              <w:top w:val="single" w:color="000000" w:sz="6" w:space="0"/>
              <w:left w:val="single" w:color="000000" w:sz="6" w:space="0"/>
              <w:bottom w:val="single" w:color="000000" w:sz="6" w:space="0"/>
              <w:right w:val="single" w:color="000000" w:sz="6" w:space="0"/>
            </w:tcBorders>
            <w:vAlign w:val="top"/>
          </w:tcPr>
          <w:p/>
        </w:tc>
        <w:tc>
          <w:tcPr>
            <w:tcW w:w="2551" w:type="dxa"/>
            <w:vMerge w:val="continue"/>
            <w:tcBorders>
              <w:top w:val="single" w:color="000000" w:sz="6" w:space="0"/>
              <w:left w:val="single" w:color="000000" w:sz="6" w:space="0"/>
              <w:bottom w:val="single" w:color="000000" w:sz="6" w:space="0"/>
              <w:right w:val="single" w:color="000000" w:sz="6" w:space="0"/>
            </w:tcBorders>
            <w:vAlign w:val="top"/>
          </w:tcPr>
          <w:p/>
        </w:tc>
      </w:tr>
      <w:tr>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ind w:firstLine="420"/>
        <w:sectPr>
          <w:pgSz w:w="16840" w:h="11900" w:orient="landscape"/>
          <w:pgMar w:top="1361" w:right="1020" w:bottom="1134" w:left="1020" w:header="720" w:footer="720" w:gutter="0"/>
          <w:cols w:space="720" w:num="1"/>
          <w:docGrid w:linePitch="326"/>
        </w:sectPr>
      </w:pPr>
      <w:r>
        <w:rPr>
          <w:rFonts w:asci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453高阳县庞家佐镇</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2"/>
            </w:pPr>
            <w:r>
              <w:t>资 金 性 质</w:t>
            </w:r>
          </w:p>
        </w:tc>
      </w:tr>
      <w:tr>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vAlign w:val="top"/>
          </w:tcPr>
          <w:p/>
        </w:tc>
        <w:tc>
          <w:tcPr>
            <w:tcW w:w="3798" w:type="dxa"/>
            <w:vMerge w:val="continue"/>
            <w:tcBorders>
              <w:top w:val="single" w:color="000000" w:sz="6" w:space="0"/>
              <w:left w:val="single" w:color="000000" w:sz="6" w:space="0"/>
              <w:bottom w:val="single" w:color="000000" w:sz="6" w:space="0"/>
              <w:right w:val="single" w:color="000000" w:sz="6" w:space="0"/>
            </w:tcBorders>
            <w:vAlign w:val="top"/>
          </w:tc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一般公共预算              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政府性基金                  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国有资本经营              预算财政拨款</w:t>
            </w:r>
          </w:p>
        </w:tc>
      </w:tr>
      <w:tr>
        <w:trPr>
          <w:trHeight w:val="567"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pPr>
            <w:r>
              <w:t>6.33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r>
              <w:t>6.33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r>
      <w:tr>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“三公”经费小计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r>
              <w:t>6.33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r>
              <w:t>6.33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 xml:space="preserve">    其中：教学科研人员因公出国（境）费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 xml:space="preserve">          其他因公出国（境）费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r>
              <w:t>5.13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r>
              <w:t>5.13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 xml:space="preserve">    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 xml:space="preserve">          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r>
              <w:t>5.13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r>
              <w:t>5.13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r>
              <w:t>1.20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r>
              <w:t>1.20</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jc w:val="center"/>
      </w:pPr>
      <w:r>
        <w:rPr>
          <w:rFonts w:ascii="方正小标宋_GBK" w:eastAsia="方正小标宋_GBK" w:cs="方正小标宋_GBK"/>
          <w:color w:val="000000"/>
          <w:sz w:val="44"/>
        </w:rPr>
        <w:t>高阳县庞家佐镇2022年部门预算信息公开情况说明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、《地方预决算公开操作规程》和《关于进一步推进预算公开工作的实施意见》规定，现将高阳县庞家佐镇2022年部门预算公开如下：</w:t>
      </w:r>
    </w:p>
    <w:p>
      <w:pPr>
        <w:spacing w:before="10" w:after="10" w:line="360" w:lineRule="auto"/>
        <w:ind w:firstLine="640"/>
        <w:outlineLvl w:val="2"/>
      </w:pPr>
      <w:bookmarkStart w:id="9" w:name="_Toc_3_3_0000000010"/>
      <w:r>
        <w:rPr>
          <w:rFonts w:ascii="黑体" w:eastAsia="黑体" w:cs="黑体"/>
          <w:color w:val="000000"/>
          <w:sz w:val="32"/>
        </w:rPr>
        <w:t>一、部门职责及机构设置情况</w:t>
      </w:r>
      <w:bookmarkEnd w:id="9"/>
    </w:p>
    <w:p>
      <w:pPr>
        <w:ind w:firstLine="640"/>
      </w:pPr>
      <w:r>
        <w:rPr>
          <w:rFonts w:ascii="方正楷体_GBK" w:eastAsia="方正楷体_GBK" w:cs="方正楷体_GBK"/>
          <w:b/>
          <w:color w:val="000000"/>
          <w:sz w:val="32"/>
        </w:rPr>
        <w:t>部门职责：</w:t>
      </w:r>
    </w:p>
    <w:p>
      <w:pPr>
        <w:pStyle w:val="19"/>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pPr>
        <w:pStyle w:val="19"/>
      </w:pPr>
      <w:r>
        <w:t>（二）加强党对基层治理的全面领导，统筹抓好基层党建工作和基层党组织建设各项制度。推进全面从严治党，强化“两个责任”，确保党的路线方针政策在基层得到全面贯彻落实。</w:t>
      </w:r>
    </w:p>
    <w:p>
      <w:pPr>
        <w:pStyle w:val="19"/>
      </w:pPr>
      <w:r>
        <w:t>（三）讨论和决定本镇经济建设、政治建设、文化建设、社会建设、生态文明建设和党的建设以及乡村振兴中的重大问题。</w:t>
      </w:r>
    </w:p>
    <w:p>
      <w:pPr>
        <w:pStyle w:val="19"/>
      </w:pPr>
      <w:r>
        <w:t>（四）组织召开本级人民代表大会，充分行使重大事项决定权、监督权和任免权，做好人大代表工作，联系选民、反映群众意见和要求。</w:t>
      </w:r>
    </w:p>
    <w:p>
      <w:pPr>
        <w:pStyle w:val="19"/>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pPr>
        <w:pStyle w:val="19"/>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9"/>
      </w:pPr>
      <w:r>
        <w:t>（七）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pPr>
        <w:pStyle w:val="19"/>
      </w:pPr>
      <w:r>
        <w:t>（八）加强镇党委自身建设和村党组织建设，以及其他隶属镇党委的党组织建设，抓好发展党员工作，加强党员队伍建设。维护和执行党的纪律，监督党员干部和其他任何工作人员严格遵守国家法律法规。</w:t>
      </w:r>
    </w:p>
    <w:p>
      <w:pPr>
        <w:pStyle w:val="19"/>
      </w:pPr>
      <w:r>
        <w:t>（九）按照干部管理权限，负责对干部的教育、培训、选拔、考核和监督工作。协助管理上级有关部门驻镇单位的干部。做好人才服务工作。</w:t>
      </w:r>
    </w:p>
    <w:p>
      <w:pPr>
        <w:pStyle w:val="19"/>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9"/>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9"/>
      </w:pPr>
      <w:r>
        <w:t>（十二）承办上级党委、人大、政府交办的其他事项。</w:t>
      </w:r>
    </w:p>
    <w:p>
      <w:pPr>
        <w:pStyle w:val="19"/>
      </w:pPr>
      <w:r>
        <w:t>审批服务执法事项：</w:t>
      </w:r>
    </w:p>
    <w:p>
      <w:pPr>
        <w:pStyle w:val="19"/>
      </w:pPr>
      <w:r>
        <w:t>（一）下放审批服务权限。根据高阳县《乡镇和街道审批服务事项清单》《乡镇和街道基本公共服务事项清单》，按照成熟一批、下放一批的原则，县直相关部门按照法定程序履行赋权、委托程序，可将镇审核转报、县直部门向镇延伸受理环节的事项进一步下放，确保放得下、接得住、管得好、有监督。清单之外确需下放的审批服务事项，须充分听取乡镇意见并按规定程序报批。根据县下放的审批服务事项，乡镇制定《乡镇审批服务事项清单》和《乡镇基本公共服务事项清单》，并实行动态管理。</w:t>
      </w:r>
    </w:p>
    <w:p>
      <w:pPr>
        <w:pStyle w:val="19"/>
      </w:pPr>
      <w:r>
        <w:t>（二）赋予行政执法权限。按照“依法下放、宜放则放”的原则，根据高阳县《乡镇和街道行政处罚事项清单》，按照成熟一批，赋予一批的原则，由县直相关部门依法依规履行赋权、委托程序，明确赋予、委托镇相对集中行使行政处罚权。其他确需下放的行政处罚事项，依规逐级提请省政府批准后赋权。赋予、委托镇行使行政处罚权的，可以依法行使相关的行政检查和行政强制权，确保放得下、接得住、管得好。根据县直相关部门赋予、委托的行政处罚事项，镇制定《庞家佐镇行政处罚事项清单》，逐项明确执法依据、职权范围、执法程序和监督途径等，并及时向社会公开。</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部门机构设置情况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2"/>
            </w:pPr>
            <w: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2"/>
            </w:pPr>
            <w: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2"/>
            </w:pPr>
            <w:r>
              <w:t>经费保障形式</w:t>
            </w:r>
          </w:p>
        </w:tc>
      </w:tr>
      <w:tr>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4"/>
            </w:pPr>
            <w:r>
              <w:t>高阳县庞家佐镇(行政）</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5"/>
            </w:pPr>
            <w:r>
              <w:t>行政</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r>
              <w:t>正科级</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5"/>
            </w:pPr>
            <w:r>
              <w:t>财政拨款</w:t>
            </w:r>
          </w:p>
        </w:tc>
      </w:tr>
      <w:tr>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4"/>
            </w:pPr>
            <w:r>
              <w:t>高阳县庞家佐镇（事业）</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5"/>
            </w:pPr>
            <w: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5"/>
            </w:pPr>
            <w:r>
              <w:t>财政性资金基本保证</w:t>
            </w:r>
          </w:p>
        </w:tc>
      </w:tr>
      <w:tr>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4"/>
            </w:pPr>
            <w:r>
              <w:t>高阳县庞家佐镇(自收自支)</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5"/>
            </w:pPr>
            <w: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5"/>
            </w:pPr>
            <w:r>
              <w:t>财政性资金零补助</w:t>
            </w:r>
          </w:p>
        </w:tc>
      </w:tr>
    </w:tbl>
    <w:p>
      <w:pPr>
        <w:spacing w:before="10" w:after="10" w:line="360" w:lineRule="auto"/>
        <w:ind w:firstLine="640"/>
        <w:outlineLvl w:val="2"/>
      </w:pPr>
      <w:bookmarkStart w:id="10" w:name="_Toc_3_3_0000000011"/>
      <w:r>
        <w:rPr>
          <w:rFonts w:asci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按照预算管理有关规定，目前我县部门预算的编制实行综合预算管理，即全部收入和支出都反映在预算中。高阳县庞家佐镇机关的收支包含在部门预算中。</w:t>
      </w:r>
    </w:p>
    <w:p>
      <w:pPr>
        <w:pStyle w:val="20"/>
      </w:pPr>
      <w:r>
        <w:t>部门预算安排的总体情况</w:t>
      </w:r>
    </w:p>
    <w:p>
      <w:pPr>
        <w:pStyle w:val="20"/>
      </w:pPr>
      <w:r>
        <w:t>1、收入说明</w:t>
      </w:r>
    </w:p>
    <w:p>
      <w:pPr>
        <w:pStyle w:val="20"/>
      </w:pPr>
      <w:r>
        <w:rPr>
          <w:spacing w:val="-3"/>
        </w:rPr>
        <w:t>反映本部门当年全部收入</w:t>
      </w:r>
      <w:r>
        <w:rPr>
          <w:rFonts w:hint="eastAsia" w:ascii="方正仿宋_GBK"/>
          <w:spacing w:val="-3"/>
        </w:rPr>
        <w:t>。</w:t>
      </w:r>
      <w:r>
        <w:rPr>
          <w:rFonts w:hint="eastAsia" w:ascii="方正仿宋_GBK"/>
        </w:rPr>
        <w:t>2022</w:t>
      </w:r>
      <w:r>
        <w:rPr>
          <w:rFonts w:hint="eastAsia" w:ascii="方正仿宋_GBK"/>
          <w:spacing w:val="-12"/>
        </w:rPr>
        <w:t>年预算收入1116.88</w:t>
      </w:r>
      <w:r>
        <w:rPr>
          <w:rFonts w:hint="eastAsia" w:ascii="方正仿宋_GBK"/>
          <w:spacing w:val="-8"/>
        </w:rPr>
        <w:t xml:space="preserve">万元，其中：一般公共预算收入 </w:t>
      </w:r>
      <w:r>
        <w:rPr>
          <w:rFonts w:hint="eastAsia" w:ascii="方正仿宋_GBK"/>
        </w:rPr>
        <w:t>1116.88</w:t>
      </w:r>
      <w:r>
        <w:rPr>
          <w:rFonts w:hint="eastAsia" w:ascii="方正仿宋_GBK"/>
          <w:spacing w:val="-3"/>
        </w:rPr>
        <w:t>万元，基金预算收入</w:t>
      </w:r>
      <w:r>
        <w:rPr>
          <w:rFonts w:hint="eastAsia" w:ascii="方正仿宋_GBK"/>
        </w:rPr>
        <w:t>0</w:t>
      </w:r>
      <w:r>
        <w:rPr>
          <w:rFonts w:hint="eastAsia" w:ascii="方正仿宋_GBK"/>
          <w:spacing w:val="-4"/>
        </w:rPr>
        <w:t xml:space="preserve"> </w:t>
      </w:r>
      <w:r>
        <w:rPr>
          <w:rFonts w:hint="eastAsia" w:ascii="方正仿宋_GBK"/>
          <w:spacing w:val="-7"/>
        </w:rPr>
        <w:t xml:space="preserve">万元，国有资本经营预算收入 </w:t>
      </w:r>
      <w:r>
        <w:rPr>
          <w:rFonts w:hint="eastAsia" w:ascii="方正仿宋_GBK"/>
        </w:rPr>
        <w:t xml:space="preserve">0 </w:t>
      </w:r>
      <w:r>
        <w:rPr>
          <w:rFonts w:hint="eastAsia" w:ascii="方正仿宋_GBK"/>
          <w:spacing w:val="-9"/>
        </w:rPr>
        <w:t xml:space="preserve">万元，财政专户核拨收入 </w:t>
      </w:r>
      <w:r>
        <w:rPr>
          <w:rFonts w:hint="eastAsia" w:ascii="方正仿宋_GBK"/>
        </w:rPr>
        <w:t xml:space="preserve">0 </w:t>
      </w:r>
      <w:r>
        <w:rPr>
          <w:rFonts w:hint="eastAsia" w:ascii="方正仿宋_GBK"/>
          <w:spacing w:val="-10"/>
        </w:rPr>
        <w:t xml:space="preserve">万元，单位资金收入0万元，上年结转结余 </w:t>
      </w:r>
      <w:r>
        <w:rPr>
          <w:rFonts w:hint="eastAsia" w:ascii="方正仿宋_GBK"/>
        </w:rPr>
        <w:t>0 万元</w:t>
      </w:r>
      <w:r>
        <w:t>。</w:t>
      </w:r>
    </w:p>
    <w:p>
      <w:pPr>
        <w:pStyle w:val="20"/>
      </w:pPr>
      <w:r>
        <w:t>2、支出说明</w:t>
      </w:r>
    </w:p>
    <w:p>
      <w:pPr>
        <w:pStyle w:val="20"/>
        <w:rPr>
          <w:rFonts w:hint="eastAsia" w:ascii="方正仿宋_GBK"/>
        </w:rPr>
      </w:pPr>
      <w:r>
        <w:rPr>
          <w:rFonts w:hint="eastAsia" w:ascii="方正仿宋_GBK"/>
          <w:spacing w:val="-3"/>
        </w:rPr>
        <w:t>收支预算总表支出栏、基本支出表、项目支出表按经济分类和支出功能分类科目编制，反映庞家佐镇年度部门 预算中支出预算的总体情况。</w:t>
      </w:r>
      <w:r>
        <w:rPr>
          <w:rFonts w:hint="eastAsia" w:ascii="方正仿宋_GBK"/>
        </w:rPr>
        <w:t>2022</w:t>
      </w:r>
      <w:r>
        <w:rPr>
          <w:rFonts w:hint="eastAsia" w:ascii="方正仿宋_GBK"/>
          <w:spacing w:val="-15"/>
        </w:rPr>
        <w:t xml:space="preserve">年支出预算 </w:t>
      </w:r>
      <w:r>
        <w:rPr>
          <w:rFonts w:hint="eastAsia" w:ascii="方正仿宋_GBK"/>
        </w:rPr>
        <w:t>1116.88</w:t>
      </w:r>
      <w:r>
        <w:rPr>
          <w:rFonts w:hint="eastAsia" w:ascii="方正仿宋_GBK"/>
          <w:spacing w:val="-10"/>
        </w:rPr>
        <w:t>万元，其中基本支出</w:t>
      </w:r>
      <w:r>
        <w:rPr>
          <w:rFonts w:hint="eastAsia" w:ascii="方正仿宋_GBK"/>
        </w:rPr>
        <w:t>770.88</w:t>
      </w:r>
      <w:r>
        <w:rPr>
          <w:rFonts w:hint="eastAsia" w:ascii="方正仿宋_GBK"/>
          <w:spacing w:val="-10"/>
        </w:rPr>
        <w:t>万元，包括人员经费</w:t>
      </w:r>
      <w:r>
        <w:rPr>
          <w:rFonts w:hint="eastAsia" w:ascii="方正仿宋_GBK"/>
        </w:rPr>
        <w:t>674.15万元</w:t>
      </w:r>
      <w:r>
        <w:rPr>
          <w:rFonts w:hint="eastAsia" w:ascii="方正仿宋_GBK"/>
          <w:spacing w:val="-11"/>
        </w:rPr>
        <w:t xml:space="preserve">和日常公用经费 </w:t>
      </w:r>
      <w:r>
        <w:rPr>
          <w:rFonts w:hint="eastAsia" w:ascii="方正仿宋_GBK"/>
        </w:rPr>
        <w:t>96.73</w:t>
      </w:r>
      <w:r>
        <w:rPr>
          <w:rFonts w:hint="eastAsia" w:ascii="方正仿宋_GBK"/>
          <w:spacing w:val="-6"/>
        </w:rPr>
        <w:t xml:space="preserve"> </w:t>
      </w:r>
      <w:r>
        <w:rPr>
          <w:rFonts w:hint="eastAsia" w:ascii="方正仿宋_GBK"/>
          <w:spacing w:val="-11"/>
        </w:rPr>
        <w:t xml:space="preserve">万元；项目支出 </w:t>
      </w:r>
      <w:r>
        <w:rPr>
          <w:rFonts w:hint="eastAsia" w:ascii="方正仿宋_GBK"/>
        </w:rPr>
        <w:t>346</w:t>
      </w:r>
      <w:r>
        <w:rPr>
          <w:rFonts w:hint="eastAsia" w:ascii="方正仿宋_GBK"/>
          <w:spacing w:val="-6"/>
        </w:rPr>
        <w:t xml:space="preserve"> </w:t>
      </w:r>
      <w:r>
        <w:rPr>
          <w:rFonts w:hint="eastAsia" w:ascii="方正仿宋_GBK"/>
          <w:spacing w:val="-3"/>
        </w:rPr>
        <w:t>万元，主要为</w:t>
      </w:r>
      <w:r>
        <w:rPr>
          <w:rFonts w:hint="eastAsia" w:ascii="方正仿宋_GBK"/>
        </w:rPr>
        <w:t>村级组织运转经费、机关修缮经费、乡镇事业费、信访稳定、环境保护、环境综合整治、基层组织建设、安全生产监管、农村及城镇无业居民独生子女父母奖励、纪委办案经费、基层组装部规范建设经费、乡村振兴美丽乡村建设村庄规划编制经费。</w:t>
      </w:r>
    </w:p>
    <w:p>
      <w:pPr>
        <w:pStyle w:val="20"/>
      </w:pPr>
      <w:r>
        <w:t>3、比上年增减情况</w:t>
      </w:r>
    </w:p>
    <w:p>
      <w:pPr>
        <w:pStyle w:val="5"/>
        <w:spacing w:before="140"/>
        <w:ind w:firstLine="560" w:firstLineChars="200"/>
        <w:rPr>
          <w:rFonts w:hint="eastAsia" w:ascii="方正仿宋_GBK" w:eastAsia="方正仿宋_GBK"/>
        </w:rPr>
      </w:pPr>
      <w:r>
        <w:rPr>
          <w:rFonts w:hint="eastAsia" w:ascii="方正仿宋_GBK" w:eastAsia="方正仿宋_GBK"/>
        </w:rPr>
        <w:t>2022年预算收支安排 1116.88 万元，较 2021 年预算增加12.45万元，其中：基本支出增加106.38万元，主要为</w:t>
      </w:r>
    </w:p>
    <w:p>
      <w:pPr>
        <w:pStyle w:val="5"/>
        <w:spacing w:before="143"/>
        <w:ind w:firstLine="0"/>
      </w:pPr>
      <w:r>
        <w:rPr>
          <w:rFonts w:hint="eastAsia" w:ascii="方正仿宋_GBK" w:eastAsia="方正仿宋_GBK"/>
        </w:rPr>
        <w:t>增加人员经费支出；项目支出减少93.93 万元，主要为项目调整。</w:t>
      </w:r>
    </w:p>
    <w:p>
      <w:pPr>
        <w:pStyle w:val="20"/>
      </w:pPr>
    </w:p>
    <w:p>
      <w:pPr>
        <w:spacing w:before="10" w:after="10" w:line="360" w:lineRule="auto"/>
        <w:ind w:firstLine="640"/>
        <w:outlineLvl w:val="2"/>
      </w:pPr>
      <w:bookmarkStart w:id="11" w:name="_Toc_3_3_0000000012"/>
      <w:r>
        <w:rPr>
          <w:rFonts w:ascii="黑体" w:eastAsia="黑体" w:cs="黑体"/>
          <w:color w:val="000000"/>
          <w:sz w:val="32"/>
        </w:rPr>
        <w:t>三、机关运行经费安排情况</w:t>
      </w:r>
      <w:bookmarkEnd w:id="11"/>
    </w:p>
    <w:p>
      <w:pPr>
        <w:pStyle w:val="21"/>
      </w:pPr>
      <w:r>
        <w:rPr>
          <w:rFonts w:hint="eastAsia" w:ascii="方正仿宋_GBK"/>
        </w:rPr>
        <w:t xml:space="preserve">2022 </w:t>
      </w:r>
      <w:r>
        <w:rPr>
          <w:rFonts w:hint="eastAsia" w:ascii="方正仿宋_GBK"/>
          <w:spacing w:val="-9"/>
        </w:rPr>
        <w:t>年，我部门运行经费共计安排96.73</w:t>
      </w:r>
      <w:r>
        <w:rPr>
          <w:spacing w:val="-3"/>
        </w:rPr>
        <w:t>万元，</w:t>
      </w:r>
      <w:r>
        <w:t>主要用于办公费、公务移动通讯补贴、其他邮电费、公务用车运行维护费、取暖费、维修费等日常运行支出。</w:t>
      </w:r>
    </w:p>
    <w:p>
      <w:pPr>
        <w:spacing w:before="10" w:after="10" w:line="360" w:lineRule="auto"/>
        <w:ind w:firstLine="640"/>
        <w:outlineLvl w:val="2"/>
      </w:pPr>
      <w:bookmarkStart w:id="12" w:name="_Toc_3_3_0000000013"/>
      <w:r>
        <w:rPr>
          <w:rFonts w:ascii="黑体" w:eastAsia="黑体" w:cs="黑体"/>
          <w:color w:val="000000"/>
          <w:sz w:val="32"/>
        </w:rPr>
        <w:t>四、财政拨款“三公”经费预算情况及增减变化原因</w:t>
      </w:r>
      <w:bookmarkEnd w:id="12"/>
    </w:p>
    <w:p>
      <w:pPr>
        <w:pStyle w:val="5"/>
        <w:spacing w:line="334" w:lineRule="auto"/>
        <w:ind w:left="719" w:right="734" w:firstLine="559"/>
      </w:pPr>
      <w:r>
        <w:rPr>
          <w:rFonts w:hint="eastAsia" w:ascii="方正仿宋_GBK" w:eastAsia="方正仿宋_GBK"/>
        </w:rPr>
        <w:t>2022</w:t>
      </w:r>
      <w:r>
        <w:rPr>
          <w:rFonts w:hint="eastAsia" w:ascii="方正仿宋_GBK" w:eastAsia="方正仿宋_GBK"/>
          <w:spacing w:val="-2"/>
        </w:rPr>
        <w:t>年，我部门财政拨款</w:t>
      </w:r>
      <w:r>
        <w:rPr>
          <w:rFonts w:hint="eastAsia" w:ascii="方正仿宋_GBK" w:eastAsia="方正仿宋_GBK"/>
          <w:spacing w:val="-8"/>
        </w:rPr>
        <w:t>“</w:t>
      </w:r>
      <w:r>
        <w:rPr>
          <w:rFonts w:hint="eastAsia" w:ascii="方正仿宋_GBK" w:eastAsia="方正仿宋_GBK"/>
        </w:rPr>
        <w:t>三公</w:t>
      </w:r>
      <w:r>
        <w:rPr>
          <w:rFonts w:hint="eastAsia" w:ascii="方正仿宋_GBK" w:eastAsia="方正仿宋_GBK"/>
          <w:spacing w:val="-3"/>
        </w:rPr>
        <w:t>”</w:t>
      </w:r>
      <w:r>
        <w:rPr>
          <w:rFonts w:hint="eastAsia" w:ascii="方正仿宋_GBK" w:eastAsia="方正仿宋_GBK"/>
          <w:spacing w:val="-12"/>
        </w:rPr>
        <w:t xml:space="preserve">经费预算安排 </w:t>
      </w:r>
      <w:r>
        <w:rPr>
          <w:rFonts w:hint="eastAsia" w:ascii="方正仿宋_GBK" w:eastAsia="方正仿宋_GBK"/>
        </w:rPr>
        <w:t>6.</w:t>
      </w:r>
      <w:r>
        <w:rPr>
          <w:rFonts w:ascii="方正仿宋_GBK" w:eastAsia="方正仿宋_GBK"/>
        </w:rPr>
        <w:t>33</w:t>
      </w:r>
      <w:r>
        <w:rPr>
          <w:rFonts w:hint="eastAsia" w:ascii="方正仿宋_GBK" w:eastAsia="方正仿宋_GBK"/>
          <w:spacing w:val="-3"/>
        </w:rPr>
        <w:t>万元，其中因公出国</w:t>
      </w:r>
      <w:r>
        <w:rPr>
          <w:rFonts w:hint="eastAsia" w:ascii="方正仿宋_GBK" w:eastAsia="方正仿宋_GBK"/>
        </w:rPr>
        <w:t>（境）</w:t>
      </w:r>
      <w:r>
        <w:rPr>
          <w:rFonts w:hint="eastAsia" w:ascii="方正仿宋_GBK" w:eastAsia="方正仿宋_GBK"/>
          <w:spacing w:val="-34"/>
        </w:rPr>
        <w:t xml:space="preserve">费 </w:t>
      </w:r>
      <w:r>
        <w:rPr>
          <w:rFonts w:hint="eastAsia" w:ascii="方正仿宋_GBK" w:eastAsia="方正仿宋_GBK"/>
        </w:rPr>
        <w:t>0</w:t>
      </w:r>
      <w:r>
        <w:rPr>
          <w:rFonts w:hint="eastAsia" w:ascii="方正仿宋_GBK" w:eastAsia="方正仿宋_GBK"/>
          <w:spacing w:val="-3"/>
        </w:rPr>
        <w:t>万元；公务用车购置及运维</w:t>
      </w:r>
      <w:r>
        <w:rPr>
          <w:rFonts w:hint="eastAsia" w:ascii="方正仿宋_GBK" w:eastAsia="方正仿宋_GBK"/>
          <w:spacing w:val="-36"/>
        </w:rPr>
        <w:t xml:space="preserve">费 </w:t>
      </w:r>
      <w:r>
        <w:rPr>
          <w:rFonts w:hint="eastAsia" w:ascii="方正仿宋_GBK" w:eastAsia="方正仿宋_GBK"/>
        </w:rPr>
        <w:t>5.13</w:t>
      </w:r>
      <w:r>
        <w:rPr>
          <w:rFonts w:hint="eastAsia" w:ascii="方正仿宋_GBK" w:eastAsia="方正仿宋_GBK"/>
          <w:spacing w:val="-33"/>
        </w:rPr>
        <w:t>万元</w:t>
      </w:r>
      <w:r>
        <w:rPr>
          <w:rFonts w:hint="eastAsia" w:ascii="方正仿宋_GBK" w:eastAsia="方正仿宋_GBK"/>
        </w:rPr>
        <w:t>（</w:t>
      </w:r>
      <w:r>
        <w:rPr>
          <w:rFonts w:hint="eastAsia" w:ascii="方正仿宋_GBK" w:eastAsia="方正仿宋_GBK"/>
          <w:spacing w:val="-9"/>
        </w:rPr>
        <w:t xml:space="preserve">其中：公务用车购置费为 </w:t>
      </w:r>
      <w:r>
        <w:rPr>
          <w:rFonts w:hint="eastAsia" w:ascii="方正仿宋_GBK" w:eastAsia="方正仿宋_GBK"/>
        </w:rPr>
        <w:t xml:space="preserve">0 </w:t>
      </w:r>
      <w:r>
        <w:rPr>
          <w:rFonts w:hint="eastAsia" w:ascii="方正仿宋_GBK" w:eastAsia="方正仿宋_GBK"/>
          <w:spacing w:val="-9"/>
        </w:rPr>
        <w:t>万元，公务用车运维费5.13</w:t>
      </w:r>
      <w:r>
        <w:rPr>
          <w:rFonts w:hint="eastAsia" w:ascii="方正仿宋_GBK" w:eastAsia="方正仿宋_GBK"/>
        </w:rPr>
        <w:t xml:space="preserve"> </w:t>
      </w:r>
      <w:r>
        <w:rPr>
          <w:rFonts w:hint="eastAsia" w:ascii="方正仿宋_GBK" w:eastAsia="方正仿宋_GBK"/>
          <w:spacing w:val="-2"/>
        </w:rPr>
        <w:t>万元</w:t>
      </w:r>
      <w:r>
        <w:rPr>
          <w:rFonts w:hint="eastAsia" w:ascii="方正仿宋_GBK" w:eastAsia="方正仿宋_GBK"/>
        </w:rPr>
        <w:t>)</w:t>
      </w:r>
      <w:r>
        <w:rPr>
          <w:rFonts w:hint="eastAsia" w:ascii="方正仿宋_GBK" w:eastAsia="方正仿宋_GBK"/>
          <w:spacing w:val="-11"/>
        </w:rPr>
        <w:t>；公务接待费1.2</w:t>
      </w:r>
      <w:r>
        <w:rPr>
          <w:rFonts w:hint="eastAsia" w:ascii="方正仿宋_GBK" w:eastAsia="方正仿宋_GBK"/>
          <w:spacing w:val="-14"/>
        </w:rPr>
        <w:t xml:space="preserve">万元。与 </w:t>
      </w:r>
      <w:r>
        <w:rPr>
          <w:rFonts w:hint="eastAsia" w:ascii="方正仿宋_GBK" w:eastAsia="方正仿宋_GBK"/>
        </w:rPr>
        <w:t>2021年相比减</w:t>
      </w:r>
      <w:r>
        <w:rPr>
          <w:rFonts w:hint="eastAsia" w:ascii="方正仿宋_GBK" w:eastAsia="方正仿宋_GBK"/>
          <w:spacing w:val="-36"/>
        </w:rPr>
        <w:t>少0.25</w:t>
      </w:r>
      <w:r>
        <w:rPr>
          <w:rFonts w:hint="eastAsia" w:ascii="方正仿宋_GBK" w:eastAsia="方正仿宋_GBK"/>
        </w:rPr>
        <w:t xml:space="preserve"> </w:t>
      </w:r>
      <w:r>
        <w:rPr>
          <w:rFonts w:hint="eastAsia" w:ascii="方正仿宋_GBK" w:eastAsia="方正仿宋_GBK"/>
          <w:spacing w:val="-3"/>
        </w:rPr>
        <w:t>万元，减少的主要原因是：</w:t>
      </w:r>
      <w:r>
        <w:rPr>
          <w:rFonts w:hint="eastAsia" w:ascii="方正仿宋_GBK" w:eastAsia="方正仿宋_GBK"/>
        </w:rPr>
        <w:t>按照县编制要求安排降低。</w:t>
      </w:r>
    </w:p>
    <w:p>
      <w:pPr>
        <w:spacing w:before="10" w:after="10" w:line="360" w:lineRule="auto"/>
        <w:ind w:firstLine="640"/>
        <w:outlineLvl w:val="2"/>
      </w:pPr>
      <w:bookmarkStart w:id="13" w:name="_Toc_3_3_0000000014"/>
      <w:r>
        <w:rPr>
          <w:rFonts w:ascii="黑体" w:eastAsia="黑体" w:cs="黑体"/>
          <w:color w:val="000000"/>
          <w:sz w:val="32"/>
        </w:rPr>
        <w:t>五、预算绩效信息</w:t>
      </w:r>
      <w:bookmarkEnd w:id="13"/>
    </w:p>
    <w:p>
      <w:pPr>
        <w:ind w:firstLine="640"/>
      </w:pPr>
      <w:r>
        <w:rPr>
          <w:rFonts w:asci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3"/>
      </w:pPr>
      <w:r>
        <w:t>2022年庞家佐镇将在县委、县政府的正确领导下，团结带领全镇干部群众，全面贯彻落实党的十九大精神，在主动适应中创新思路，在破解难题中抢抓机遇，在统筹协调中加快发展，以发展个私经济和新农村建设为突破口，加快小城镇建设进程，推进镇域经济持续、快速、健康发展和社会全面进步。制定和组织实施经济、科技和社会发展计划，制定资源开发技术改造和产业结构调整方案，组织指导好各业生产，搞好商品流通，协调好本乡镇与外地区的经济交流与合作，抓好招商引资，人才引进项目开发，不断培育市场体系，组织经济运行，促进经济发展。继续推进农村环卫作业市场化项目，实施村庄清洁行动，为招商引资提供优质的投资环境。筑牢安全生产防线，维护社会稳定，统筹推进乡村振兴建设美丽乡村。围绕与群众密切相关的计生、低保、就业等办实事办好事。辖区各村持续落实“五包一”措施，确保信访案件解决在萌芽时期，案件就地消化，维护信访稳定，坚持党管意识形态不动摇，加强和改进意识形态领域工作。落实好奖励扶助工作和独生子女费发放。落实好县委、县政府交办的其他工作。</w:t>
      </w:r>
    </w:p>
    <w:p>
      <w:pPr>
        <w:spacing w:line="500" w:lineRule="exact"/>
        <w:ind w:firstLine="560"/>
      </w:pPr>
      <w:r>
        <w:rPr>
          <w:rFonts w:eastAsia="方正仿宋_GBK"/>
          <w:color w:val="000000"/>
          <w:sz w:val="28"/>
        </w:rPr>
        <w:t>（二）分项绩效目标</w:t>
      </w:r>
    </w:p>
    <w:p>
      <w:pPr>
        <w:pStyle w:val="24"/>
      </w:pPr>
      <w:r>
        <w:t>1、庞家佐镇农村及无业城镇居民独生子女父母奖励绩效目标表</w:t>
      </w:r>
    </w:p>
    <w:p>
      <w:pPr>
        <w:pStyle w:val="24"/>
      </w:pPr>
      <w:r>
        <w:t>绩效目标：对农村及城镇无业居民独生子女家庭做出的奉献给予必要的奖励和补偿，使他们优先分享改革发展成果，是党和国家惠民政策的重要组成部分，具有重要的政策导向作用。</w:t>
      </w:r>
    </w:p>
    <w:p>
      <w:pPr>
        <w:pStyle w:val="24"/>
      </w:pPr>
      <w:r>
        <w:t>绩效指标：及时摸排统计符合条件的家庭，按照每人每月10元标准发放，确保本辖区内19个村付合条件的所有家庭，全部都能享受到此项惠民政策。</w:t>
      </w:r>
    </w:p>
    <w:p>
      <w:pPr>
        <w:pStyle w:val="24"/>
      </w:pPr>
      <w:r>
        <w:t>2、庞家佐镇村级组织运转经费</w:t>
      </w:r>
    </w:p>
    <w:p>
      <w:pPr>
        <w:pStyle w:val="24"/>
      </w:pPr>
      <w:r>
        <w:t>绩效目标：村级组织正常运转。</w:t>
      </w:r>
    </w:p>
    <w:p>
      <w:pPr>
        <w:pStyle w:val="24"/>
      </w:pPr>
      <w:r>
        <w:t>绩效指标：保障村级组织必要的办公用品，办公设施维护，水电暖费，报刊征订费。保障村级党组织开展“三会一课”，主题党课，党员教育培训，救助困难党员，慰问老党员活动支出。保障村综合服务站日常运转，公共设施维护，公共卫生防疫，村内治安，服务群众生产生活的临时劳务用工等支出。保障村民小组长基本劳动所得。</w:t>
      </w:r>
    </w:p>
    <w:p>
      <w:pPr>
        <w:pStyle w:val="24"/>
      </w:pPr>
      <w:r>
        <w:t>3、庞家佐镇环境保护经费</w:t>
      </w:r>
    </w:p>
    <w:p>
      <w:pPr>
        <w:pStyle w:val="24"/>
      </w:pPr>
      <w:r>
        <w:t>绩效目标：农村环境保护成果得到维持。</w:t>
      </w:r>
    </w:p>
    <w:p>
      <w:pPr>
        <w:pStyle w:val="24"/>
      </w:pPr>
      <w:r>
        <w:t>绩效指标：卫生清理常态化，黑臭水体治理常态化，大气污染防治常态化。</w:t>
      </w:r>
    </w:p>
    <w:p>
      <w:pPr>
        <w:pStyle w:val="24"/>
      </w:pPr>
      <w:r>
        <w:t>4、庞家佐镇环境综合整治经费</w:t>
      </w:r>
    </w:p>
    <w:p>
      <w:pPr>
        <w:pStyle w:val="24"/>
      </w:pPr>
      <w:r>
        <w:t>绩效目标：改善农村环境，提升庞口镇对外形象，展现庞口镇新面貌。</w:t>
      </w:r>
    </w:p>
    <w:p>
      <w:pPr>
        <w:pStyle w:val="24"/>
      </w:pPr>
      <w:r>
        <w:t>绩效指标：拆除主要道路沿线违章建筑，使主要道路沿线无违章建筑，杜绝垃圾乱堆乱放，做到及时清运。</w:t>
      </w:r>
    </w:p>
    <w:p>
      <w:pPr>
        <w:pStyle w:val="24"/>
      </w:pPr>
      <w:r>
        <w:t>5、庞家佐镇烟花爆竹清零补偿款</w:t>
      </w:r>
    </w:p>
    <w:p>
      <w:pPr>
        <w:pStyle w:val="24"/>
      </w:pPr>
      <w:r>
        <w:t>绩效目标：烟花爆竹库存清零，补偿款及时拨付到位。</w:t>
      </w:r>
    </w:p>
    <w:p>
      <w:pPr>
        <w:pStyle w:val="24"/>
      </w:pPr>
      <w:r>
        <w:t>绩效指标：保证库存清零率达到100%，烟花爆竹安全事故发生率为0。</w:t>
      </w:r>
    </w:p>
    <w:p>
      <w:pPr>
        <w:pStyle w:val="24"/>
      </w:pPr>
      <w:r>
        <w:t>6、庞家佐镇纪委办案经费</w:t>
      </w:r>
    </w:p>
    <w:p>
      <w:pPr>
        <w:pStyle w:val="24"/>
      </w:pPr>
      <w:r>
        <w:t>绩效目标：乡镇纪委正常履职。</w:t>
      </w:r>
    </w:p>
    <w:p>
      <w:pPr>
        <w:pStyle w:val="24"/>
      </w:pPr>
      <w:r>
        <w:t>绩效指标：保证乡镇办案设施和场所符合上级要求，确保办案安全。镇纪委协助上级纪委按质按量完成案件查办工作，乡镇纪委案件处置效率提升。</w:t>
      </w:r>
    </w:p>
    <w:p>
      <w:pPr>
        <w:pStyle w:val="24"/>
      </w:pPr>
      <w:r>
        <w:t>7、庞家佐镇基层组织建设经费</w:t>
      </w:r>
    </w:p>
    <w:p>
      <w:pPr>
        <w:pStyle w:val="24"/>
      </w:pPr>
      <w:r>
        <w:t>绩效目标：保障基层组织有效运行，提升基层组织建设水平</w:t>
      </w:r>
    </w:p>
    <w:p>
      <w:pPr>
        <w:pStyle w:val="24"/>
      </w:pPr>
      <w:r>
        <w:t>绩效指标：机关及所辖19个村党组织正常开展活动，定期慰问离任干部和老党员。</w:t>
      </w:r>
    </w:p>
    <w:p>
      <w:pPr>
        <w:pStyle w:val="24"/>
      </w:pPr>
      <w:r>
        <w:t>8、庞家佐镇安全生产监管经费</w:t>
      </w:r>
    </w:p>
    <w:p>
      <w:pPr>
        <w:pStyle w:val="24"/>
      </w:pPr>
      <w:r>
        <w:t>绩效目标：安全生产形势进一步向好。</w:t>
      </w:r>
    </w:p>
    <w:p>
      <w:pPr>
        <w:pStyle w:val="24"/>
      </w:pPr>
      <w:r>
        <w:t>绩效指标：全面排查监管单位，达标的安全生产企业数占全部企业数的比率达到99%以上，辖区企业安全生产意识进一步增强。</w:t>
      </w:r>
    </w:p>
    <w:p>
      <w:pPr>
        <w:pStyle w:val="24"/>
      </w:pPr>
      <w:r>
        <w:t>9、庞家佐镇乡镇事业费</w:t>
      </w:r>
    </w:p>
    <w:p>
      <w:pPr>
        <w:pStyle w:val="24"/>
      </w:pPr>
      <w:r>
        <w:t>绩效目标：乡镇政府机关正常运转。</w:t>
      </w:r>
    </w:p>
    <w:p>
      <w:pPr>
        <w:pStyle w:val="24"/>
      </w:pPr>
      <w:r>
        <w:t>绩效指标：首先保证自收自支人员、临时工工资保险，如有剩余列入日常公用经费，以保证乡镇党委政府工作能正常开展。</w:t>
      </w:r>
    </w:p>
    <w:p>
      <w:pPr>
        <w:pStyle w:val="24"/>
      </w:pPr>
      <w:r>
        <w:t>10、信访稳定经费项目</w:t>
      </w:r>
    </w:p>
    <w:p>
      <w:pPr>
        <w:pStyle w:val="24"/>
      </w:pPr>
      <w:r>
        <w:t>绩效目标：信访稳定形势向好。</w:t>
      </w:r>
    </w:p>
    <w:p>
      <w:pPr>
        <w:pStyle w:val="24"/>
      </w:pPr>
      <w:r>
        <w:t>绩效指标：矛盾纠纷排查达到全覆盖100%，信访案件基层处置率有所提升。</w:t>
      </w:r>
    </w:p>
    <w:p>
      <w:pPr>
        <w:pStyle w:val="24"/>
      </w:pPr>
      <w:r>
        <w:t>11、庞佐基层武装部建设经费</w:t>
      </w:r>
    </w:p>
    <w:p>
      <w:pPr>
        <w:pStyle w:val="24"/>
      </w:pPr>
      <w:r>
        <w:t>绩效目标：基层武装部建设规范化，武装部各项工作正常开展。</w:t>
      </w:r>
    </w:p>
    <w:p>
      <w:pPr>
        <w:pStyle w:val="24"/>
      </w:pPr>
      <w:r>
        <w:t>绩效指标：战备物资器材储备达标，储备物资质量完好。</w:t>
      </w:r>
    </w:p>
    <w:p>
      <w:pPr>
        <w:pStyle w:val="24"/>
      </w:pPr>
      <w:r>
        <w:t>12、庞家佐镇机关用房修缮</w:t>
      </w:r>
    </w:p>
    <w:p>
      <w:pPr>
        <w:pStyle w:val="24"/>
      </w:pPr>
      <w:r>
        <w:t>绩效目标：改造老化电路，完成房屋修缮。</w:t>
      </w:r>
    </w:p>
    <w:p>
      <w:pPr>
        <w:pStyle w:val="24"/>
      </w:pPr>
      <w:r>
        <w:t>绩效指标：有效改善办公环境，提升办公效率。</w:t>
      </w:r>
    </w:p>
    <w:p>
      <w:pPr>
        <w:pStyle w:val="24"/>
      </w:pPr>
      <w:r>
        <w:t>13、庞家佐镇乡村振兴美丽乡村建设村庄编制规划经费</w:t>
      </w:r>
    </w:p>
    <w:p>
      <w:pPr>
        <w:pStyle w:val="24"/>
      </w:pPr>
      <w:r>
        <w:t>绩效目标：编制美丽乡村村庄规划。</w:t>
      </w:r>
    </w:p>
    <w:p>
      <w:pPr>
        <w:pStyle w:val="24"/>
      </w:pPr>
      <w:r>
        <w:t>绩效指标：完成4个村的规划编制任务。</w:t>
      </w:r>
    </w:p>
    <w:p>
      <w:pPr>
        <w:spacing w:line="500" w:lineRule="exact"/>
        <w:ind w:firstLine="560"/>
      </w:pPr>
      <w:r>
        <w:rPr>
          <w:rFonts w:eastAsia="方正仿宋_GBK"/>
          <w:color w:val="000000"/>
          <w:sz w:val="28"/>
        </w:rPr>
        <w:t>（三）工作保障措施</w:t>
      </w:r>
    </w:p>
    <w:p>
      <w:pPr>
        <w:pStyle w:val="25"/>
      </w:pPr>
      <w:r>
        <w:t>1、完善制度建设。制定完善预算绩效管理制度、资金管理办法、工作保障制度等，为全年预算绩效目标的实现奠定制度基础。</w:t>
      </w:r>
    </w:p>
    <w:p>
      <w:pPr>
        <w:pStyle w:val="25"/>
      </w:pPr>
      <w:r>
        <w:t>2、加强支出管理。通过优化支出结构、编细编实预算、加快履行政府采购手续、尽快启动项目、及时支付资金、6月底前细化代编预算、按规定及时下达资金等多种措施，确保支出进度达标。</w:t>
      </w:r>
    </w:p>
    <w:p>
      <w:pPr>
        <w:pStyle w:val="25"/>
      </w:pPr>
      <w:r>
        <w:t>3、加强绩效运行监控。按要求开展绩效运行监控，发现问题及时采取措施，确保绩效目标如期保质实现。</w:t>
      </w:r>
    </w:p>
    <w:p>
      <w:pPr>
        <w:pStyle w:val="25"/>
      </w:pPr>
      <w:r>
        <w:t>4、做好绩效自评。按要求开展上年度部门预算绩效自评和重点评价工作，对评价中发现的问题及时整改，调整优化支出结构，提高财政资金使用效益。</w:t>
      </w:r>
    </w:p>
    <w:p>
      <w:pPr>
        <w:pStyle w:val="25"/>
      </w:pPr>
      <w:r>
        <w:t>5、规范财务资产管理。完善财务管理制度，严格审批程序，加强固定资产登记、使用和报废处置管理，做到支出合理，物尽其用。</w:t>
      </w:r>
    </w:p>
    <w:p>
      <w:pPr>
        <w:pStyle w:val="25"/>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pPr>
      <w:r>
        <w:t>7、加强宣传培训调研等。加强人员培训，提高本部门职工业务素质；加强调研，提出优化财政资金配置、提高资金使用效益的</w:t>
      </w:r>
      <w:r>
        <w:rPr>
          <w:rFonts w:hint="eastAsia"/>
          <w:lang w:eastAsia="zh-CN"/>
        </w:rPr>
        <w:t>意见</w:t>
      </w:r>
      <w:r>
        <w:t>；加大</w:t>
      </w:r>
      <w:bookmarkStart w:id="18" w:name="_GoBack"/>
      <w:bookmarkEnd w:id="18"/>
      <w:r>
        <w:t>宣传力度，强化预算绩效管理意识，促进预算绩效管理水平进一步提升。目带动经济，保障完成各项指标。</w:t>
      </w:r>
    </w:p>
    <w:p>
      <w:pPr>
        <w:ind w:firstLine="640"/>
        <w:rPr>
          <w:rFonts w:ascii="方正楷体_GBK" w:eastAsia="方正楷体_GBK" w:cs="方正楷体_GBK"/>
          <w:b/>
          <w:color w:val="000000"/>
          <w:sz w:val="32"/>
        </w:rPr>
      </w:pPr>
      <w:r>
        <w:rPr>
          <w:rFonts w:ascii="方正楷体_GBK" w:eastAsia="方正楷体_GBK" w:cs="方正楷体_GBK"/>
          <w:b/>
          <w:color w:val="000000"/>
          <w:sz w:val="32"/>
        </w:rPr>
        <w:t>第二部分  专项资金绩效目标</w:t>
      </w:r>
    </w:p>
    <w:p>
      <w:pPr>
        <w:ind w:firstLine="640"/>
        <w:rPr>
          <w:rFonts w:ascii="方正楷体_GBK" w:eastAsia="方正楷体_GBK" w:cs="方正楷体_GBK"/>
          <w:b/>
          <w:color w:val="000000"/>
          <w:sz w:val="32"/>
        </w:rPr>
      </w:pPr>
      <w:r>
        <w:rPr>
          <w:rFonts w:ascii="方正楷体_GBK" w:eastAsia="方正楷体_GBK" w:cs="方正楷体_GBK"/>
          <w:b/>
          <w:color w:val="000000"/>
          <w:sz w:val="32"/>
        </w:rPr>
        <w:t>（无）</w:t>
      </w:r>
    </w:p>
    <w:p>
      <w:pPr>
        <w:ind w:firstLine="640"/>
        <w:rPr>
          <w:rFonts w:ascii="方正楷体_GBK" w:eastAsia="方正楷体_GBK" w:cs="方正楷体_GBK"/>
          <w:b/>
          <w:color w:val="000000"/>
          <w:sz w:val="32"/>
        </w:rPr>
      </w:pPr>
      <w:r>
        <w:rPr>
          <w:rFonts w:ascii="方正楷体_GBK" w:eastAsia="方正楷体_GBK" w:cs="方正楷体_GBK"/>
          <w:b/>
          <w:color w:val="000000"/>
          <w:sz w:val="32"/>
        </w:rPr>
        <w:t>第三部分  预算项目绩效目标</w:t>
      </w:r>
    </w:p>
    <w:p>
      <w:pPr>
        <w:ind w:firstLine="640"/>
      </w:pPr>
      <w:r>
        <w:rPr>
          <w:rFonts w:ascii="方正仿宋_GBK" w:eastAsia="方正仿宋_GBK" w:cs="方正仿宋_GBK"/>
          <w:b/>
          <w:color w:val="000000"/>
          <w:sz w:val="28"/>
        </w:rPr>
        <w:t>1、庞家佐镇机关用房修缮绩效目标表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2"/>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4"/>
            </w:pPr>
            <w:r>
              <w:t>1.完成房屋修缮</w:t>
            </w:r>
          </w:p>
          <w:p>
            <w:pPr>
              <w:pStyle w:val="14"/>
            </w:pPr>
            <w:r>
              <w:t>2.改造老化电路</w:t>
            </w:r>
          </w:p>
        </w:tc>
      </w:tr>
    </w:tbl>
    <w:p>
      <w:pPr>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2"/>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指标值确定依据</w:t>
            </w:r>
          </w:p>
        </w:tc>
      </w:tr>
      <w:tr>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5"/>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修缮建筑面积</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修缮建筑面积</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房屋修缮验收通过率（%）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房屋修缮验收通过率（%）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及时拨付</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修缮完成后一个月内拨付</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完工后1个月内拨付</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实际支出占预算金额比例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5"/>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改善办公环境</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有效改善办公环境，提升办公效率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办公环境得到改善</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bl>
    <w:p>
      <w:pPr>
        <w:ind w:firstLine="560"/>
      </w:pPr>
      <w:r>
        <w:rPr>
          <w:rFonts w:ascii="方正仿宋_GBK" w:eastAsia="方正仿宋_GBK" w:cs="方正仿宋_GBK"/>
          <w:b/>
          <w:color w:val="000000"/>
          <w:sz w:val="28"/>
        </w:rPr>
        <w:t>2、庞家佐镇乡村振兴美丽乡村建设村庄编制可研报告和规划经费绩效目标表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2"/>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4"/>
            </w:pPr>
            <w:r>
              <w:t>1.编制美丽乡村村庄规划</w:t>
            </w:r>
          </w:p>
          <w:p>
            <w:pPr>
              <w:pStyle w:val="14"/>
            </w:pPr>
            <w:r>
              <w:t>2.及时拨付编制经费</w:t>
            </w:r>
          </w:p>
        </w:tc>
      </w:tr>
    </w:tbl>
    <w:p>
      <w:pPr>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2"/>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指标值确定依据</w:t>
            </w:r>
          </w:p>
        </w:tc>
      </w:tr>
      <w:tr>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5"/>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实施范围</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完成4个村的编制</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4个</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rPr>
                <w:szCs w:val="21"/>
              </w:rPr>
            </w:pPr>
            <w:r>
              <w:rPr>
                <w:szCs w:val="21"/>
              </w:rPr>
              <w:t xml:space="preserve">保定市人居办转发省人居办《关于印发&lt;河北省美丽乡村验收认定办法&gt;的通知》的通知       河北省农村人居环境整治工作领导小组办公室关于印发《河北省美丽乡村验收认定办法》的通知 </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完成情况</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全部完成编制任务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rPr>
                <w:szCs w:val="21"/>
              </w:rPr>
            </w:pPr>
            <w:r>
              <w:rPr>
                <w:szCs w:val="21"/>
              </w:rPr>
              <w:t xml:space="preserve">保定市人居办转发省人居办《关于印发&lt;河北省美丽乡村验收认定办法&gt;的通知》的通知       河北省农村人居环境整治工作领导小组办公室关于印发《河北省美丽乡村验收认定办法》的通知 </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及时拨付资金</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编制完成一个月内拨付</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编制完成一个月内拨付</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rPr>
                <w:szCs w:val="21"/>
              </w:rPr>
            </w:pPr>
            <w:r>
              <w:rPr>
                <w:szCs w:val="21"/>
              </w:rPr>
              <w:t xml:space="preserve">保定市人居办转发省人居办《关于印发&lt;河北省美丽乡村验收认定办法&gt;的通知》的通知       河北省农村人居环境整治工作领导小组办公室关于印发《河北省美丽乡村验收认定办法》的通知 </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rPr>
                <w:szCs w:val="21"/>
              </w:rPr>
            </w:pPr>
            <w:r>
              <w:rPr>
                <w:szCs w:val="21"/>
              </w:rPr>
              <w:t xml:space="preserve">保定市人居办转发省人居办《关于印发&lt;河北省美丽乡村验收认定办法&gt;的通知》的通知       河北省农村人居环境整治工作领导小组办公室关于印发《河北省美丽乡村验收认定办法》的通知 </w:t>
            </w:r>
          </w:p>
        </w:tc>
      </w:tr>
      <w:tr>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5"/>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高质量完成村庄规划编制工作</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提升农村人居环境水平，加快经济发展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rPr>
                <w:szCs w:val="21"/>
              </w:rPr>
            </w:pPr>
            <w:r>
              <w:rPr>
                <w:szCs w:val="21"/>
              </w:rPr>
              <w:t xml:space="preserve">保定市人居办转发省人居办《关于印发&lt;河北省美丽乡村验收认定办法&gt;的通知》的通知       河北省农村人居环境整治工作领导小组办公室关于印发《河北省美丽乡村验收认定办法》的通知 </w:t>
            </w:r>
          </w:p>
        </w:tc>
      </w:tr>
    </w:tbl>
    <w:p>
      <w:pPr>
        <w:ind w:firstLine="560"/>
      </w:pPr>
      <w:r>
        <w:rPr>
          <w:rFonts w:ascii="方正仿宋_GBK" w:eastAsia="方正仿宋_GBK" w:cs="方正仿宋_GBK"/>
          <w:b/>
          <w:color w:val="000000"/>
          <w:sz w:val="28"/>
        </w:rPr>
        <w:t>3、庞佐安全生产监管经费绩效目标表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2"/>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4"/>
            </w:pPr>
            <w:r>
              <w:t>1.定期进行安全隐患排查</w:t>
            </w:r>
          </w:p>
          <w:p>
            <w:pPr>
              <w:pStyle w:val="14"/>
            </w:pPr>
            <w:r>
              <w:t>2.提高企业安全生产水平</w:t>
            </w:r>
          </w:p>
        </w:tc>
      </w:tr>
    </w:tbl>
    <w:p>
      <w:pPr>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2"/>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指标值确定依据</w:t>
            </w:r>
          </w:p>
        </w:tc>
      </w:tr>
      <w:tr>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5"/>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安全生产达标企业</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安全生产达标企业比例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安全生产维稳控制目标是否实现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安全生产维稳控制目标是否实现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按期完成企业安全隐患排查</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按计划完成隐患排查</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安全生产巡查经费</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安全生产巡查经费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5"/>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提高企业安全生产水平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提高企业安全生产水平</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bl>
    <w:p>
      <w:pPr>
        <w:ind w:firstLine="560"/>
      </w:pPr>
      <w:r>
        <w:rPr>
          <w:rFonts w:ascii="方正仿宋_GBK" w:eastAsia="方正仿宋_GBK" w:cs="方正仿宋_GBK"/>
          <w:b/>
          <w:color w:val="000000"/>
          <w:sz w:val="28"/>
        </w:rPr>
        <w:t>4、庞佐村级组织运转经费绩效目标表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2"/>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4"/>
            </w:pPr>
            <w:r>
              <w:t>1.保障村级组织必要的办公用品，办公设施维护，水电暖费，报刊征订费。</w:t>
            </w:r>
          </w:p>
          <w:p>
            <w:pPr>
              <w:pStyle w:val="14"/>
            </w:pPr>
            <w:r>
              <w:t>2.保障村级党组织开展“三会一课”，主题党课，党员教育培训，救助困难党员，慰问老党员活动支出。</w:t>
            </w:r>
          </w:p>
          <w:p>
            <w:pPr>
              <w:pStyle w:val="14"/>
            </w:pPr>
            <w:r>
              <w:t>3.保障村综合服务站日常运转，公共设施维护，公共卫生防疫，村内治安，服务群众生产生活的临时劳务用工等支出</w:t>
            </w:r>
          </w:p>
          <w:p>
            <w:pPr>
              <w:pStyle w:val="14"/>
            </w:pPr>
            <w:r>
              <w:t>4.保障村民小组长基本劳动所得。</w:t>
            </w:r>
          </w:p>
        </w:tc>
      </w:tr>
    </w:tbl>
    <w:p>
      <w:pPr>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2"/>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指标值确定依据</w:t>
            </w:r>
          </w:p>
        </w:tc>
      </w:tr>
      <w:tr>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5"/>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已发放的村数占应发放村数的比率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冀组发[2018]14号</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经费发放率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实际发放金额占应发放金额的比率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冀组发[2018]14号</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费用支付及时性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村组织及时支付相关费用占全部费用的比率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实际支出占预算金额的比率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5"/>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村级组织执行力</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补助所带动的村级组织领导能力和服务社会的能力提升情况效果显著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≥80%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冀组发[2018]14号</w:t>
            </w:r>
          </w:p>
        </w:tc>
      </w:tr>
      <w:tr>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5"/>
            </w:pPr>
            <w: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村级组织建设满意度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满意和比较满意的村级组织占</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调查问卷</w:t>
            </w:r>
          </w:p>
        </w:tc>
      </w:tr>
    </w:tbl>
    <w:p>
      <w:pPr>
        <w:ind w:firstLine="560"/>
        <w:rPr>
          <w:rFonts w:ascii="方正仿宋_GBK" w:eastAsia="方正仿宋_GBK" w:cs="方正仿宋_GBK"/>
          <w:b/>
          <w:color w:val="000000"/>
          <w:sz w:val="28"/>
        </w:rPr>
      </w:pPr>
    </w:p>
    <w:p>
      <w:pPr>
        <w:ind w:firstLine="560"/>
        <w:rPr>
          <w:rFonts w:ascii="方正仿宋_GBK" w:eastAsia="方正仿宋_GBK" w:cs="方正仿宋_GBK"/>
          <w:b/>
          <w:color w:val="000000"/>
          <w:sz w:val="28"/>
        </w:rPr>
      </w:pPr>
    </w:p>
    <w:p>
      <w:pPr>
        <w:ind w:firstLine="560"/>
        <w:rPr>
          <w:rFonts w:ascii="方正仿宋_GBK" w:eastAsia="方正仿宋_GBK" w:cs="方正仿宋_GBK"/>
          <w:b/>
          <w:color w:val="000000"/>
          <w:sz w:val="28"/>
        </w:rPr>
      </w:pPr>
    </w:p>
    <w:p>
      <w:pPr>
        <w:ind w:firstLine="560"/>
      </w:pPr>
      <w:r>
        <w:rPr>
          <w:rFonts w:ascii="方正仿宋_GBK" w:eastAsia="方正仿宋_GBK" w:cs="方正仿宋_GBK"/>
          <w:b/>
          <w:color w:val="000000"/>
          <w:sz w:val="28"/>
        </w:rPr>
        <w:t>5、庞佐环境保护经费绩效目标表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2"/>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4"/>
            </w:pPr>
            <w:r>
              <w:t>1.定期完成秸秆禁烧、垃圾清运巡查</w:t>
            </w:r>
          </w:p>
          <w:p>
            <w:pPr>
              <w:pStyle w:val="14"/>
            </w:pPr>
            <w:r>
              <w:t>2.完成纳污坑塘整治</w:t>
            </w:r>
          </w:p>
        </w:tc>
      </w:tr>
    </w:tbl>
    <w:p>
      <w:pPr>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2"/>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指标值确定依据</w:t>
            </w:r>
          </w:p>
        </w:tc>
      </w:tr>
      <w:tr>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5"/>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散乱污企业增长率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整治散乱污企业，使散乱污企业全年实现零增长</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不出现散乱污企业</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空气质量优质天数</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落实秸秆、垃圾禁烧工作，实现空气质量优质天数增长</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≥10天</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农作物秸秆等着火点上报及时率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及时上报农作物秸秆等着火点次数与农作物秸秆等着火点次数的比例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5"/>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生态环境优化率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使全镇生态环境得到改善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bl>
    <w:p>
      <w:pPr>
        <w:ind w:firstLine="560"/>
      </w:pPr>
      <w:r>
        <w:rPr>
          <w:rFonts w:ascii="方正仿宋_GBK" w:eastAsia="方正仿宋_GBK" w:cs="方正仿宋_GBK"/>
          <w:b/>
          <w:color w:val="000000"/>
          <w:sz w:val="28"/>
        </w:rPr>
        <w:t>6、庞佐环境综合整治经费绩效目标表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2"/>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4"/>
            </w:pPr>
            <w:r>
              <w:t>1.杜绝垃圾乱堆乱放，做到及时清运</w:t>
            </w:r>
          </w:p>
          <w:p>
            <w:pPr>
              <w:pStyle w:val="14"/>
            </w:pPr>
            <w:r>
              <w:t>2.改善农村环境</w:t>
            </w:r>
          </w:p>
        </w:tc>
      </w:tr>
    </w:tbl>
    <w:p>
      <w:pPr>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2"/>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指标值确定依据</w:t>
            </w:r>
          </w:p>
        </w:tc>
      </w:tr>
      <w:tr>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5"/>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建筑违章率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拆除主要道路沿线违章建筑，使主要道路沿线无违章建筑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没有违章建筑</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工作高质量完成率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工作高质量完成率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工作开展及时率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反映工作是否及时开展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5"/>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农村人居环境改善度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改善全乡农村人居环境，使环境优美整洁，改善点全部实施改善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bl>
    <w:p>
      <w:pPr>
        <w:ind w:firstLine="560"/>
      </w:pPr>
      <w:r>
        <w:rPr>
          <w:rFonts w:ascii="方正仿宋_GBK" w:eastAsia="方正仿宋_GBK" w:cs="方正仿宋_GBK"/>
          <w:b/>
          <w:color w:val="000000"/>
          <w:sz w:val="28"/>
        </w:rPr>
        <w:t>7、庞佐基层组织建设经费绩效目标表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2"/>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4"/>
            </w:pPr>
            <w:r>
              <w:t>1.保障基层组织有效运行</w:t>
            </w:r>
          </w:p>
          <w:p>
            <w:pPr>
              <w:pStyle w:val="14"/>
            </w:pPr>
            <w:r>
              <w:t>2.提升基层组织建设水平</w:t>
            </w:r>
          </w:p>
        </w:tc>
      </w:tr>
    </w:tbl>
    <w:p>
      <w:pPr>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2"/>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指标值确定依据</w:t>
            </w:r>
          </w:p>
        </w:tc>
      </w:tr>
      <w:tr>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5"/>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活动场所达标率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活动场所全部达标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党组织开展活动率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全部党组织正常开展活动</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活动开展的及时性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镇组织活动及时开展的比例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5"/>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基层组织建设水平提升率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基层组织建设水平提升率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bl>
    <w:p>
      <w:pPr>
        <w:ind w:firstLine="560"/>
      </w:pPr>
      <w:r>
        <w:rPr>
          <w:rFonts w:ascii="方正仿宋_GBK" w:eastAsia="方正仿宋_GBK" w:cs="方正仿宋_GBK"/>
          <w:b/>
          <w:color w:val="000000"/>
          <w:sz w:val="28"/>
        </w:rPr>
        <w:t>8、庞佐纪委办案经费绩效目标表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2"/>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4"/>
            </w:pPr>
            <w:r>
              <w:t>1.保证乡镇办案设施和场所符合上级要求，确保办案安全</w:t>
            </w:r>
          </w:p>
          <w:p>
            <w:pPr>
              <w:pStyle w:val="14"/>
            </w:pPr>
            <w:r>
              <w:t>2.镇纪委协助上级纪委按质按量完成案件查办工作</w:t>
            </w:r>
          </w:p>
        </w:tc>
      </w:tr>
    </w:tbl>
    <w:p>
      <w:pPr>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2"/>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指标值确定依据</w:t>
            </w:r>
          </w:p>
        </w:tc>
      </w:tr>
      <w:tr>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5"/>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举报线索处置率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处置举报线索占全部举报线索的比率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中共高阳县委关于印发《中共高阳县委巡查工作实施办法（试行）》的通知</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案件结案率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处置问题线索数占全部的比率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中共高阳县委关于印发《中共高阳县委巡查工作实施办法（试行）》的通知</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资金支付的及时性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及时支付的资金占总资金的比例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中共高阳县委关于印发《中共高阳县委巡查工作实施办法（试行）》的通知</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中共高阳县委关于印发《中共高阳县委巡查工作实施办法（试行）》的通知</w:t>
            </w:r>
          </w:p>
        </w:tc>
      </w:tr>
      <w:tr>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5"/>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任务完成度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处置举报线索占全部举报线索的比率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中共高阳县委关于印发《中共高阳县委巡查工作实施办法（试行）》的通知</w:t>
            </w:r>
          </w:p>
        </w:tc>
      </w:tr>
      <w:tr>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5"/>
            </w:pPr>
            <w: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处理问题线索结果及效果满意度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反映人及相关当事人对处理结果及效果的满意程度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中共高阳县委关于印发《中共高阳县委巡查工作实施办法（试行）》的通知</w:t>
            </w:r>
          </w:p>
        </w:tc>
      </w:tr>
    </w:tbl>
    <w:p>
      <w:pPr>
        <w:ind w:firstLine="560"/>
      </w:pPr>
      <w:r>
        <w:rPr>
          <w:rFonts w:ascii="方正仿宋_GBK" w:eastAsia="方正仿宋_GBK" w:cs="方正仿宋_GBK"/>
          <w:b/>
          <w:color w:val="000000"/>
          <w:sz w:val="28"/>
        </w:rPr>
        <w:t>9、庞佐农村及无业城镇居民独生子女父母奖励绩效目标表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2"/>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4"/>
            </w:pPr>
            <w:r>
              <w:t>1.足额发放独生子女父母奖励</w:t>
            </w:r>
          </w:p>
          <w:p>
            <w:pPr>
              <w:pStyle w:val="14"/>
            </w:pPr>
            <w:r>
              <w:t>2.按实际人数发放独生子女父母奖励</w:t>
            </w:r>
          </w:p>
        </w:tc>
      </w:tr>
    </w:tbl>
    <w:p>
      <w:pPr>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2"/>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指标值确定依据</w:t>
            </w:r>
          </w:p>
        </w:tc>
      </w:tr>
      <w:tr>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5"/>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实际享受计划生育家庭奖励扶助人</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实际享受计划生育家庭奖励扶助人数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rPr>
                <w:sz w:val="15"/>
                <w:szCs w:val="15"/>
              </w:rPr>
            </w:pPr>
            <w:r>
              <w:rPr>
                <w:sz w:val="15"/>
                <w:szCs w:val="15"/>
              </w:rPr>
              <w:t>高阳县财政局高阳县卫生健康局《关于独生子女费预算及发放有关事宜的通知》《河北省人口与计划生育条例实施细则》河北省政府令第4号</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农村部分计划生育家庭奖励扶助政</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农村部分计划生育家庭奖励扶助政策落实率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rPr>
                <w:sz w:val="15"/>
                <w:szCs w:val="15"/>
              </w:rPr>
            </w:pPr>
            <w:r>
              <w:rPr>
                <w:sz w:val="15"/>
                <w:szCs w:val="15"/>
              </w:rPr>
              <w:t>高阳县财政局高阳县卫生健康局《关于独生子女费预算及发放有关事宜的通知》《河北省人口与计划生育条例实施细则》河北省政府令第4号</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按时发放独生子女费</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每年9月份发放</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rPr>
                <w:sz w:val="15"/>
                <w:szCs w:val="15"/>
              </w:rPr>
            </w:pPr>
            <w:r>
              <w:rPr>
                <w:sz w:val="15"/>
                <w:szCs w:val="15"/>
              </w:rPr>
              <w:t>高阳县财政局高阳县卫生健康局《关于独生子女费预算及发放有关事宜的通知》《河北省人口与计划生育条例实施细则》河北省政府令第4号</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奖励标准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奖励标准每人每月10元</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rPr>
                <w:sz w:val="15"/>
                <w:szCs w:val="15"/>
              </w:rPr>
            </w:pPr>
            <w:r>
              <w:rPr>
                <w:sz w:val="15"/>
                <w:szCs w:val="15"/>
              </w:rPr>
              <w:t>高阳县财政局高阳县卫生健康局《关于独生子女费预算及发放有关事宜的通知》《河北省人口与计划生育条例实施细则》河北省政府令第4号</w:t>
            </w:r>
          </w:p>
        </w:tc>
      </w:tr>
      <w:tr>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5"/>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独生子女费发放覆盖率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独生子女费发放覆盖率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rPr>
                <w:sz w:val="15"/>
                <w:szCs w:val="15"/>
              </w:rPr>
            </w:pPr>
            <w:r>
              <w:rPr>
                <w:sz w:val="15"/>
                <w:szCs w:val="15"/>
              </w:rPr>
              <w:t>高阳县财政局高阳县卫生健康局《关于独生子女费预算及发放有关事宜的通知》《河北省人口与计划生育条例实施细则》河北省政府令第4号</w:t>
            </w:r>
          </w:p>
        </w:tc>
      </w:tr>
    </w:tbl>
    <w:p>
      <w:pPr>
        <w:ind w:firstLine="560"/>
      </w:pPr>
      <w:r>
        <w:rPr>
          <w:rFonts w:ascii="方正仿宋_GBK" w:eastAsia="方正仿宋_GBK" w:cs="方正仿宋_GBK"/>
          <w:b/>
          <w:color w:val="000000"/>
          <w:sz w:val="28"/>
        </w:rPr>
        <w:t>10、庞佐乡镇事业费绩效目标表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2"/>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4"/>
            </w:pPr>
            <w:r>
              <w:t>1.按标准拨付经费</w:t>
            </w:r>
          </w:p>
          <w:p>
            <w:pPr>
              <w:pStyle w:val="14"/>
            </w:pPr>
            <w:r>
              <w:t>2.按时间要求拨付</w:t>
            </w:r>
          </w:p>
        </w:tc>
      </w:tr>
    </w:tbl>
    <w:p>
      <w:pPr>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2"/>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指标值确定依据</w:t>
            </w:r>
          </w:p>
        </w:tc>
      </w:tr>
      <w:tr>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5"/>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三类项目全覆盖</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工作支撑度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各项工作正常运转</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资金支付及时性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按季度申请及时拨付</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5"/>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工作开展的持续性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反映工作是否可以持续开展</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bl>
    <w:p>
      <w:pPr>
        <w:ind w:firstLine="560"/>
      </w:pPr>
      <w:r>
        <w:rPr>
          <w:rFonts w:ascii="方正仿宋_GBK" w:eastAsia="方正仿宋_GBK" w:cs="方正仿宋_GBK"/>
          <w:b/>
          <w:color w:val="000000"/>
          <w:sz w:val="28"/>
        </w:rPr>
        <w:t>11、庞佐信访稳定经费绩效目标表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2"/>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4"/>
            </w:pPr>
            <w:r>
              <w:t>1.加大热点难点问题和矛盾纠纷排查调处力度，消除信访隐患。</w:t>
            </w:r>
          </w:p>
          <w:p>
            <w:pPr>
              <w:pStyle w:val="14"/>
            </w:pPr>
            <w:r>
              <w:t>2.规范信访秩序</w:t>
            </w:r>
          </w:p>
        </w:tc>
      </w:tr>
    </w:tbl>
    <w:p>
      <w:pPr>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2"/>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指标值确定依据</w:t>
            </w:r>
          </w:p>
        </w:tc>
      </w:tr>
      <w:tr>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5"/>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矛盾纠纷排查覆盖率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矛盾纠纷排查达到全覆盖率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信访案件按期办结率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信访案件全部按期办结率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信访事项受理及时率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信访事项受理及时率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r>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5"/>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农村和谐稳定提升率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农村和谐稳定提升率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≥50%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庞家佐镇2022年工作谋划</w:t>
            </w:r>
          </w:p>
        </w:tc>
      </w:tr>
    </w:tbl>
    <w:p>
      <w:pPr>
        <w:ind w:firstLine="560"/>
      </w:pPr>
      <w:r>
        <w:rPr>
          <w:rFonts w:ascii="方正仿宋_GBK" w:eastAsia="方正仿宋_GBK" w:cs="方正仿宋_GBK"/>
          <w:b/>
          <w:color w:val="000000"/>
          <w:sz w:val="28"/>
        </w:rPr>
        <w:t>12、烟花爆竹清零补偿款绩效目标表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12"/>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14"/>
            </w:pPr>
            <w:r>
              <w:t>1.烟花爆竹库存清零。</w:t>
            </w:r>
          </w:p>
          <w:p>
            <w:pPr>
              <w:pStyle w:val="14"/>
            </w:pPr>
            <w:r>
              <w:t>2.补偿款及时拨付到位。</w:t>
            </w:r>
          </w:p>
        </w:tc>
      </w:tr>
    </w:tbl>
    <w:p>
      <w:pPr>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2"/>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2"/>
            </w:pPr>
            <w:r>
              <w:t>指标值确定依据</w:t>
            </w:r>
          </w:p>
        </w:tc>
      </w:tr>
      <w:tr>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15"/>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库存清零率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库存为零的库房占总库房的比例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snapToGrid w:val="0"/>
              <w:spacing w:line="240" w:lineRule="exact"/>
            </w:pPr>
            <w:r>
              <w:t>高财呈字【2021】251号高阳县财政局关于高阳县永泰烟花爆竹销售有限公司清零补偿的建议</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安全事故发生率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发生烟花爆竹安全事故的情况</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不发生安全事故</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snapToGrid w:val="0"/>
              <w:spacing w:line="240" w:lineRule="exact"/>
            </w:pPr>
            <w:r>
              <w:t>高财呈字【2021】251号高阳县财政局关于高阳县永泰烟花爆竹销售有限公司清零补偿的建议</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实际支出占预算金额的比例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snapToGrid w:val="0"/>
              <w:spacing w:line="240" w:lineRule="exact"/>
            </w:pPr>
            <w:r>
              <w:t>高财呈字【2021】251号高阳县财政局关于高阳县永泰烟花爆竹销售有限公司清零补偿的建议</w:t>
            </w:r>
          </w:p>
        </w:tc>
      </w:tr>
      <w:tr>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按期完成资金支付及时性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按期完成资金支付占总支付资金的比例</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snapToGrid w:val="0"/>
              <w:spacing w:line="240" w:lineRule="exact"/>
            </w:pPr>
            <w:r>
              <w:t>高财呈字【2021】251号高阳县财政局关于高阳县永泰烟花爆竹销售有限公司清零补偿的建议</w:t>
            </w:r>
          </w:p>
        </w:tc>
      </w:tr>
      <w:tr>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15"/>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生态环境、农村形象提高度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4"/>
            </w:pPr>
            <w:r>
              <w:t>改善了居民生活环境、投资环境和生态环境，得到了社会的认可，社会认可度达到一定水平</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4"/>
            </w:pPr>
            <w: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14"/>
              <w:snapToGrid w:val="0"/>
              <w:spacing w:line="240" w:lineRule="exact"/>
            </w:pPr>
            <w:r>
              <w:t>高财呈字【2021】251号高阳县财政局关于高阳县永泰烟花爆竹销售有限公司清零补偿的建议</w:t>
            </w:r>
          </w:p>
        </w:tc>
      </w:tr>
    </w:tbl>
    <w:p>
      <w:pPr>
        <w:spacing w:before="10" w:after="10"/>
        <w:ind w:firstLine="640"/>
        <w:outlineLvl w:val="2"/>
      </w:pPr>
      <w:bookmarkStart w:id="14" w:name="_Toc_3_3_0000000015"/>
      <w:r>
        <w:rPr>
          <w:rFonts w:ascii="黑体" w:eastAsia="黑体" w:cs="黑体"/>
          <w:color w:val="000000"/>
          <w:sz w:val="32"/>
        </w:rPr>
        <w:t>六、政府采购预算情况</w:t>
      </w:r>
      <w:bookmarkEnd w:id="14"/>
    </w:p>
    <w:p>
      <w:pPr>
        <w:spacing w:line="500" w:lineRule="exact"/>
        <w:ind w:firstLine="560"/>
      </w:pPr>
      <w:r>
        <w:rPr>
          <w:rFonts w:eastAsia="方正仿宋_GBK"/>
          <w:color w:val="000000"/>
          <w:sz w:val="28"/>
        </w:rPr>
        <w:t>2022年，高阳县庞家佐镇安排政府采购预算0.00万元。具体内容见下表。</w:t>
      </w:r>
    </w:p>
    <w:p>
      <w:pPr>
        <w:jc w:val="center"/>
      </w:pPr>
      <w:r>
        <w:rPr>
          <w:rFonts w:ascii="方正小标宋_GBK" w:eastAsia="方正小标宋_GBK" w:cs="方正小标宋_GBK"/>
          <w:color w:val="000000"/>
          <w:sz w:val="36"/>
        </w:rPr>
        <w:t>部门政府采购预算</w:t>
      </w:r>
    </w:p>
    <w:tbl>
      <w:tblPr>
        <w:tblW w:w="150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rPr>
          <w:cantSplit/>
          <w:tblHeader/>
          <w:jc w:val="center"/>
        </w:trPr>
        <w:tc>
          <w:tcPr>
            <w:tcW w:w="6884" w:type="dxa"/>
            <w:gridSpan w:val="7"/>
            <w:tcBorders>
              <w:top w:val="single" w:color="FFFFFF" w:sz="6" w:space="0"/>
              <w:left w:val="single" w:color="FFFFFF" w:sz="6" w:space="0"/>
              <w:bottom w:val="single" w:color="000000" w:sz="6" w:space="0"/>
              <w:right w:val="single" w:color="FFFFFF" w:sz="6" w:space="0"/>
            </w:tcBorders>
            <w:vAlign w:val="center"/>
          </w:tcPr>
          <w:p>
            <w:pPr>
              <w:pStyle w:val="11"/>
            </w:pPr>
          </w:p>
          <w:p>
            <w:pPr>
              <w:pStyle w:val="11"/>
            </w:pPr>
          </w:p>
          <w:p>
            <w:pPr>
              <w:pStyle w:val="11"/>
            </w:pPr>
            <w:r>
              <w:t>453高阳县庞家佐镇</w:t>
            </w:r>
          </w:p>
        </w:tc>
        <w:tc>
          <w:tcPr>
            <w:tcW w:w="8136" w:type="dxa"/>
            <w:gridSpan w:val="9"/>
            <w:tcBorders>
              <w:top w:val="single" w:color="FFFFFF" w:sz="6" w:space="0"/>
              <w:left w:val="single" w:color="FFFFFF" w:sz="6" w:space="0"/>
              <w:bottom w:val="single" w:color="000000" w:sz="6" w:space="0"/>
              <w:right w:val="single" w:color="FFFFFF" w:sz="6" w:space="0"/>
            </w:tcBorders>
            <w:vAlign w:val="center"/>
          </w:tcPr>
          <w:p>
            <w:pPr>
              <w:pStyle w:val="26"/>
            </w:pPr>
            <w:r>
              <w:t>单位：万元</w:t>
            </w:r>
          </w:p>
        </w:tc>
      </w:tr>
      <w:tr>
        <w:trPr>
          <w:cantSplit/>
          <w:tblHeader/>
          <w:jc w:val="center"/>
        </w:trPr>
        <w:tc>
          <w:tcPr>
            <w:tcW w:w="2499"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政府采购项目来源</w:t>
            </w:r>
          </w:p>
        </w:tc>
        <w:tc>
          <w:tcPr>
            <w:tcW w:w="1063"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采购物品名称</w:t>
            </w:r>
          </w:p>
        </w:tc>
        <w:tc>
          <w:tcPr>
            <w:tcW w:w="1063"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政府采购目录序号</w:t>
            </w:r>
          </w:p>
        </w:tc>
        <w:tc>
          <w:tcPr>
            <w:tcW w:w="665"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计量  单位</w:t>
            </w:r>
          </w:p>
        </w:tc>
        <w:tc>
          <w:tcPr>
            <w:tcW w:w="797"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数量</w:t>
            </w:r>
          </w:p>
        </w:tc>
        <w:tc>
          <w:tcPr>
            <w:tcW w:w="797"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单价</w:t>
            </w:r>
          </w:p>
        </w:tc>
        <w:tc>
          <w:tcPr>
            <w:tcW w:w="7232" w:type="dxa"/>
            <w:gridSpan w:val="8"/>
            <w:tcBorders>
              <w:top w:val="single" w:color="000000" w:sz="6" w:space="0"/>
              <w:left w:val="single" w:color="000000" w:sz="6" w:space="0"/>
              <w:bottom w:val="single" w:color="000000" w:sz="6" w:space="0"/>
              <w:right w:val="single" w:color="000000" w:sz="6" w:space="0"/>
            </w:tcBorders>
            <w:vAlign w:val="center"/>
          </w:tcPr>
          <w:p>
            <w:pPr>
              <w:pStyle w:val="12"/>
            </w:pPr>
            <w:r>
              <w:t>政府采购金额（当年部门预算安排资金）</w:t>
            </w:r>
          </w:p>
        </w:tc>
        <w:tc>
          <w:tcPr>
            <w:tcW w:w="90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2022年  预留中  小微企  业份额</w:t>
            </w:r>
          </w:p>
        </w:tc>
      </w:tr>
      <w:tr>
        <w:trPr>
          <w:cantSplit/>
          <w:tblHeader/>
          <w:jc w:val="center"/>
        </w:trPr>
        <w:tc>
          <w:tcPr>
            <w:tcW w:w="1595" w:type="dxa"/>
            <w:tcBorders>
              <w:top w:val="single" w:color="000000" w:sz="6" w:space="0"/>
              <w:left w:val="single" w:color="000000" w:sz="6" w:space="0"/>
              <w:bottom w:val="single" w:color="000000" w:sz="6" w:space="0"/>
              <w:right w:val="single" w:color="000000" w:sz="6" w:space="0"/>
            </w:tcBorders>
            <w:vAlign w:val="center"/>
          </w:tcPr>
          <w:p>
            <w:pPr>
              <w:pStyle w:val="12"/>
            </w:pPr>
            <w:r>
              <w:t>项目名称</w:t>
            </w: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2"/>
            </w:pPr>
            <w:r>
              <w:t>预算    资金</w:t>
            </w:r>
          </w:p>
        </w:tc>
        <w:tc>
          <w:tcPr>
            <w:tcW w:w="1063" w:type="dxa"/>
            <w:vMerge w:val="continue"/>
            <w:tcBorders>
              <w:top w:val="single" w:color="000000" w:sz="6" w:space="0"/>
              <w:left w:val="single" w:color="000000" w:sz="6" w:space="0"/>
              <w:bottom w:val="single" w:color="000000" w:sz="6" w:space="0"/>
              <w:right w:val="single" w:color="000000" w:sz="6" w:space="0"/>
            </w:tcBorders>
            <w:vAlign w:val="top"/>
          </w:tcPr>
          <w:p/>
        </w:tc>
        <w:tc>
          <w:tcPr>
            <w:tcW w:w="1063" w:type="dxa"/>
            <w:vMerge w:val="continue"/>
            <w:tcBorders>
              <w:top w:val="single" w:color="000000" w:sz="6" w:space="0"/>
              <w:left w:val="single" w:color="000000" w:sz="6" w:space="0"/>
              <w:bottom w:val="single" w:color="000000" w:sz="6" w:space="0"/>
              <w:right w:val="single" w:color="000000" w:sz="6" w:space="0"/>
            </w:tcBorders>
            <w:vAlign w:val="top"/>
          </w:tcPr>
          <w:p/>
        </w:tc>
        <w:tc>
          <w:tcPr>
            <w:tcW w:w="665" w:type="dxa"/>
            <w:vMerge w:val="continue"/>
            <w:tcBorders>
              <w:top w:val="single" w:color="000000" w:sz="6" w:space="0"/>
              <w:left w:val="single" w:color="000000" w:sz="6" w:space="0"/>
              <w:bottom w:val="single" w:color="000000" w:sz="6" w:space="0"/>
              <w:right w:val="single" w:color="000000" w:sz="6" w:space="0"/>
            </w:tcBorders>
            <w:vAlign w:val="top"/>
          </w:tcPr>
          <w:p/>
        </w:tc>
        <w:tc>
          <w:tcPr>
            <w:tcW w:w="797" w:type="dxa"/>
            <w:vMerge w:val="continue"/>
            <w:tcBorders>
              <w:top w:val="single" w:color="000000" w:sz="6" w:space="0"/>
              <w:left w:val="single" w:color="000000" w:sz="6" w:space="0"/>
              <w:bottom w:val="single" w:color="000000" w:sz="6" w:space="0"/>
              <w:right w:val="single" w:color="000000" w:sz="6" w:space="0"/>
            </w:tcBorders>
            <w:vAlign w:val="top"/>
          </w:tcPr>
          <w:p/>
        </w:tc>
        <w:tc>
          <w:tcPr>
            <w:tcW w:w="797" w:type="dxa"/>
            <w:vMerge w:val="continue"/>
            <w:tcBorders>
              <w:top w:val="single" w:color="000000" w:sz="6" w:space="0"/>
              <w:left w:val="single" w:color="000000" w:sz="6" w:space="0"/>
              <w:bottom w:val="single" w:color="000000" w:sz="6" w:space="0"/>
              <w:right w:val="single" w:color="000000" w:sz="6" w:space="0"/>
            </w:tcBorders>
            <w:vAlign w:val="top"/>
          </w:tcP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2"/>
            </w:pPr>
            <w:r>
              <w:t>一般公共预算拨款</w:t>
            </w: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2"/>
            </w:pPr>
            <w:r>
              <w:t>基金预算拨款</w:t>
            </w: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2"/>
            </w:pPr>
            <w:r>
              <w:t>国有资本经营预算拨款</w:t>
            </w: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2"/>
            </w:pPr>
            <w:r>
              <w:t>财政专户核拨</w:t>
            </w: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2"/>
            </w:pPr>
            <w:r>
              <w:t>单位    资金</w:t>
            </w: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2"/>
            </w:pPr>
            <w:r>
              <w:t>财政拨    款结转</w:t>
            </w: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2"/>
            </w:pPr>
            <w:r>
              <w:t>非财政    拨款结    转结余</w:t>
            </w:r>
          </w:p>
        </w:tc>
        <w:tc>
          <w:tcPr>
            <w:tcW w:w="904" w:type="dxa"/>
            <w:vMerge w:val="continue"/>
            <w:tcBorders>
              <w:top w:val="single" w:color="000000" w:sz="6" w:space="0"/>
              <w:left w:val="single" w:color="000000" w:sz="6" w:space="0"/>
              <w:bottom w:val="single" w:color="000000" w:sz="6" w:space="0"/>
              <w:right w:val="single" w:color="000000" w:sz="6" w:space="0"/>
            </w:tcBorders>
            <w:vAlign w:val="top"/>
          </w:tcPr>
          <w:p/>
        </w:tc>
      </w:tr>
      <w:tr>
        <w:trPr>
          <w:cantSplit/>
          <w:jc w:val="center"/>
        </w:trPr>
        <w:tc>
          <w:tcPr>
            <w:tcW w:w="159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063"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063"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665"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797"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797"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04"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eastAsia="黑体" w:cs="黑体"/>
          <w:color w:val="000000"/>
          <w:sz w:val="32"/>
        </w:rPr>
        <w:t>七、国有资产信息</w:t>
      </w:r>
      <w:bookmarkEnd w:id="15"/>
    </w:p>
    <w:p>
      <w:pPr>
        <w:spacing w:line="500" w:lineRule="exact"/>
        <w:ind w:firstLine="560"/>
      </w:pPr>
      <w:r>
        <w:rPr>
          <w:rFonts w:eastAsia="方正仿宋_GBK"/>
          <w:color w:val="000000"/>
          <w:sz w:val="28"/>
        </w:rPr>
        <w:t>高阳县庞家佐镇上年末固定资产金额为90.58万元（详见下表）。本年度拟购置固定资产总额为26.31万元。拟购置固定资产没有达到政府采购标准</w:t>
      </w:r>
      <w:r>
        <w:rPr>
          <w:rFonts w:hint="eastAsia" w:ascii="宋体" w:eastAsia="宋体"/>
          <w:color w:val="000000"/>
          <w:sz w:val="28"/>
          <w:lang w:eastAsia="zh-CN"/>
        </w:rPr>
        <w:t>，</w:t>
      </w:r>
      <w:r>
        <w:rPr>
          <w:rFonts w:eastAsia="方正仿宋_GBK"/>
          <w:color w:val="000000"/>
          <w:sz w:val="28"/>
        </w:rPr>
        <w:t>不在政府采购预算体现</w:t>
      </w:r>
      <w:r>
        <w:rPr>
          <w:rFonts w:hint="eastAsia" w:ascii="宋体" w:eastAsia="宋体"/>
          <w:color w:val="000000"/>
          <w:sz w:val="28"/>
          <w:lang w:eastAsia="zh-CN"/>
        </w:rPr>
        <w:t>。</w:t>
      </w:r>
    </w:p>
    <w:p>
      <w:pPr>
        <w:jc w:val="center"/>
      </w:pPr>
      <w:r>
        <w:rPr>
          <w:rFonts w:ascii="方正小标宋_GBK" w:eastAsia="方正小标宋_GBK" w:cs="方正小标宋_GBK"/>
          <w:color w:val="000000"/>
          <w:sz w:val="36"/>
        </w:rPr>
        <w:t>部门固定资产占用情况表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11"/>
            </w:pPr>
            <w:r>
              <w:t>453高阳县庞家佐镇</w:t>
            </w:r>
          </w:p>
        </w:tc>
        <w:tc>
          <w:tcPr>
            <w:tcW w:w="5670" w:type="dxa"/>
            <w:gridSpan w:val="2"/>
            <w:tcBorders>
              <w:top w:val="single" w:color="FFFFFF" w:sz="6" w:space="0"/>
              <w:left w:val="single" w:color="FFFFFF" w:sz="6" w:space="0"/>
              <w:bottom w:val="single" w:color="000000" w:sz="6" w:space="0"/>
              <w:right w:val="single" w:color="FFFFFF" w:sz="6" w:space="0"/>
            </w:tcBorders>
            <w:vAlign w:val="center"/>
          </w:tcPr>
          <w:p>
            <w:pPr>
              <w:pStyle w:val="6"/>
            </w:pPr>
            <w:r>
              <w:t>截止时间：2021-12-31</w:t>
            </w:r>
          </w:p>
        </w:tc>
      </w:tr>
      <w:tr>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价值（金额单位：万元）</w:t>
            </w:r>
          </w:p>
        </w:tc>
      </w:tr>
      <w:tr>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r>
              <w:t>90.58</w:t>
            </w:r>
          </w:p>
        </w:tc>
      </w:tr>
      <w:tr>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1、房屋（平方米）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r>
              <w:t>1300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r>
              <w:t>62.17</w:t>
            </w:r>
          </w:p>
        </w:tc>
      </w:tr>
      <w:tr>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r>
              <w:t>1300</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r>
              <w:t>62.17</w:t>
            </w:r>
          </w:p>
        </w:tc>
      </w:tr>
      <w:tr>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2、车辆（台、辆）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r>
              <w:t>7.54</w:t>
            </w:r>
          </w:p>
        </w:tc>
      </w:tr>
      <w:tr>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3、单价在20万元以上的设备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p>
        </w:tc>
      </w:tr>
      <w:tr>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r>
              <w:t>464</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r>
              <w:t>47.17</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县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eastAsia="黑体" w:cs="黑体"/>
          <w:color w:val="000000"/>
          <w:sz w:val="32"/>
        </w:rPr>
        <w:t>九、其他需要说明的事项</w:t>
      </w:r>
      <w:bookmarkEnd w:id="17"/>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小标宋_GBK">
    <w:altName w:val="宋体"/>
    <w:panose1 w:val="00000000000000000000"/>
    <w:charset w:val="86"/>
    <w:family w:val="auto"/>
    <w:pitch w:val="default"/>
    <w:sig w:usb0="00000000" w:usb1="00000000" w:usb2="00000000" w:usb3="00000000" w:csb0="00040001" w:csb1="00000000"/>
  </w:font>
  <w:font w:name="方正书宋_GBK">
    <w:altName w:val="宋体"/>
    <w:panose1 w:val="00000000000000000000"/>
    <w:charset w:val="86"/>
    <w:family w:val="auto"/>
    <w:pitch w:val="default"/>
    <w:sig w:usb0="00000000" w:usb1="00000000" w:usb2="00000000" w:usb3="00000000" w:csb0="00040001" w:csb1="00000000"/>
  </w:font>
  <w:font w:name="方正仿宋_GBK">
    <w:altName w:val="宋体"/>
    <w:panose1 w:val="00000000000000000000"/>
    <w:charset w:val="86"/>
    <w:family w:val="auto"/>
    <w:pitch w:val="default"/>
    <w:sig w:usb0="00000000" w:usb1="00000000" w:usb2="00000000" w:usb3="00000000" w:csb0="00040001" w:csb1="00000000"/>
  </w:font>
  <w:font w:name="方正楷体_GBK">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evenAndOddHeaders w:val="1"/>
  <w:drawingGridHorizontalSpacing w:val="120"/>
  <w:drawingGridVerticalSpacing w:val="163"/>
  <w:displayHorizontalDrawingGridEvery w:val="0"/>
  <w:displayVerticalDrawingGridEvery w:val="1"/>
  <w:characterSpacingControl w:val="compressPunctuation"/>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rPr>
      <w:rFonts w:ascii="Times New Roman" w:hAnsi="Times New Roman" w:eastAsia="Times New Roman" w:cs="Times New Roman"/>
      <w:sz w:val="24"/>
      <w:szCs w:val="24"/>
      <w:lang w:val="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paragraph" w:styleId="5">
    <w:name w:val="Body Text"/>
    <w:basedOn w:val="1"/>
    <w:next w:val="6"/>
    <w:qFormat/>
    <w:uiPriority w:val="0"/>
    <w:pPr>
      <w:widowControl w:val="0"/>
      <w:autoSpaceDE w:val="0"/>
      <w:autoSpaceDN w:val="0"/>
      <w:spacing w:before="0" w:after="0" w:line="240" w:lineRule="auto"/>
      <w:ind w:left="0" w:right="0"/>
      <w:jc w:val="left"/>
    </w:pPr>
    <w:rPr>
      <w:rFonts w:ascii="宋体" w:eastAsia="宋体" w:cs="宋体"/>
      <w:sz w:val="28"/>
      <w:szCs w:val="28"/>
      <w:lang w:val="zh-CN" w:eastAsia="zh-CN" w:bidi="zh-CN"/>
    </w:rPr>
  </w:style>
  <w:style w:type="paragraph" w:customStyle="1" w:styleId="6">
    <w:name w:val="单元格样式22"/>
    <w:basedOn w:val="1"/>
    <w:qFormat/>
    <w:uiPriority w:val="0"/>
    <w:pPr>
      <w:jc w:val="right"/>
    </w:pPr>
    <w:rPr>
      <w:rFonts w:ascii="方正小标宋_GBK" w:eastAsia="方正小标宋_GBK" w:cs="方正小标宋_GBK"/>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单元格样式21"/>
    <w:basedOn w:val="1"/>
    <w:qFormat/>
    <w:uiPriority w:val="0"/>
    <w:pPr>
      <w:jc w:val="center"/>
    </w:pPr>
    <w:rPr>
      <w:rFonts w:ascii="方正小标宋_GBK" w:eastAsia="方正小标宋_GBK" w:cs="方正小标宋_GBK"/>
    </w:rPr>
  </w:style>
  <w:style w:type="paragraph" w:customStyle="1" w:styleId="11">
    <w:name w:val="单元格样式20"/>
    <w:basedOn w:val="1"/>
    <w:qFormat/>
    <w:uiPriority w:val="0"/>
    <w:rPr>
      <w:rFonts w:ascii="方正小标宋_GBK" w:eastAsia="方正小标宋_GBK" w:cs="方正小标宋_GBK"/>
    </w:rPr>
  </w:style>
  <w:style w:type="paragraph" w:customStyle="1" w:styleId="12">
    <w:name w:val="单元格样式1"/>
    <w:basedOn w:val="1"/>
    <w:qFormat/>
    <w:uiPriority w:val="0"/>
    <w:pPr>
      <w:jc w:val="center"/>
    </w:pPr>
    <w:rPr>
      <w:rFonts w:ascii="方正书宋_GBK" w:eastAsia="方正书宋_GBK" w:cs="方正书宋_GBK"/>
      <w:b/>
      <w:sz w:val="21"/>
    </w:rPr>
  </w:style>
  <w:style w:type="paragraph" w:customStyle="1" w:styleId="13">
    <w:name w:val="单元格样式4"/>
    <w:basedOn w:val="1"/>
    <w:qFormat/>
    <w:uiPriority w:val="0"/>
    <w:pPr>
      <w:jc w:val="right"/>
    </w:pPr>
    <w:rPr>
      <w:rFonts w:ascii="方正书宋_GBK" w:eastAsia="方正书宋_GBK" w:cs="方正书宋_GBK"/>
      <w:sz w:val="21"/>
    </w:rPr>
  </w:style>
  <w:style w:type="paragraph" w:customStyle="1" w:styleId="14">
    <w:name w:val="单元格样式2"/>
    <w:basedOn w:val="1"/>
    <w:qFormat/>
    <w:uiPriority w:val="0"/>
    <w:rPr>
      <w:rFonts w:ascii="方正书宋_GBK" w:eastAsia="方正书宋_GBK" w:cs="方正书宋_GBK"/>
      <w:sz w:val="21"/>
    </w:rPr>
  </w:style>
  <w:style w:type="paragraph" w:customStyle="1" w:styleId="15">
    <w:name w:val="单元格样式3"/>
    <w:basedOn w:val="1"/>
    <w:qFormat/>
    <w:uiPriority w:val="0"/>
    <w:pPr>
      <w:jc w:val="center"/>
    </w:pPr>
    <w:rPr>
      <w:rFonts w:ascii="方正书宋_GBK" w:eastAsia="方正书宋_GBK" w:cs="方正书宋_GBK"/>
      <w:sz w:val="21"/>
    </w:rPr>
  </w:style>
  <w:style w:type="paragraph" w:customStyle="1" w:styleId="16">
    <w:name w:val="单元格样式6"/>
    <w:basedOn w:val="1"/>
    <w:qFormat/>
    <w:uiPriority w:val="0"/>
    <w:pPr>
      <w:jc w:val="center"/>
    </w:pPr>
    <w:rPr>
      <w:rFonts w:ascii="方正书宋_GBK" w:eastAsia="方正书宋_GBK" w:cs="方正书宋_GBK"/>
      <w:b/>
      <w:sz w:val="21"/>
    </w:rPr>
  </w:style>
  <w:style w:type="paragraph" w:customStyle="1" w:styleId="17">
    <w:name w:val="单元格样式7"/>
    <w:basedOn w:val="1"/>
    <w:qFormat/>
    <w:uiPriority w:val="0"/>
    <w:pPr>
      <w:jc w:val="right"/>
    </w:pPr>
    <w:rPr>
      <w:rFonts w:ascii="方正书宋_GBK" w:eastAsia="方正书宋_GBK" w:cs="方正书宋_GBK"/>
      <w:b/>
      <w:sz w:val="21"/>
    </w:rPr>
  </w:style>
  <w:style w:type="paragraph" w:customStyle="1" w:styleId="18">
    <w:name w:val="单元格样式5"/>
    <w:basedOn w:val="1"/>
    <w:qFormat/>
    <w:uiPriority w:val="0"/>
    <w:rPr>
      <w:rFonts w:asci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1">
    <w:name w:val="目录 21"/>
    <w:basedOn w:val="1"/>
    <w:qFormat/>
    <w:uiPriority w:val="0"/>
    <w:pPr>
      <w:ind w:left="240"/>
    </w:pPr>
  </w:style>
  <w:style w:type="paragraph" w:customStyle="1" w:styleId="32">
    <w:name w:val="目录 31"/>
    <w:basedOn w:val="1"/>
    <w:qFormat/>
    <w:uiPriority w:val="0"/>
    <w:pPr>
      <w:ind w:left="480"/>
    </w:pPr>
  </w:style>
  <w:style w:type="paragraph" w:customStyle="1" w:styleId="33">
    <w:name w:val="目录 41"/>
    <w:basedOn w:val="1"/>
    <w:qFormat/>
    <w:uiPriority w:val="0"/>
    <w:pPr>
      <w:ind w:left="720"/>
    </w:pPr>
  </w:style>
  <w:style w:type="paragraph" w:customStyle="1" w:styleId="34">
    <w:name w:val="目录 1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40</Pages>
  <Words>13875</Words>
  <Characters>16838</Characters>
  <Lines>2965</Lines>
  <Paragraphs>1822</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2022-02-16T06:40:00Z</dcterms:created>
  <dc:creator>Administrator</dc:creator>
  <cp:lastModifiedBy>Lenovo</cp:lastModifiedBy>
  <dcterms:modified xsi:type="dcterms:W3CDTF">2024-05-31T08:11:12Z</dcterms:modified>
  <dc:title>2022年部门预算信息公开目录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A7F3E89C78024CAC80692E84B51F0CDB_12</vt:lpwstr>
  </property>
</Properties>
</file>