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spacing w:line="560" w:lineRule="atLeast" w:before="11"/>
        <w:ind w:left="549" w:right="7011" w:firstLine="0"/>
        <w:jc w:val="left"/>
        <w:rPr>
          <w:rFonts w:ascii="黑体" w:eastAsia="黑体" w:hint="eastAsia"/>
          <w:sz w:val="28"/>
        </w:rPr>
      </w:pPr>
      <w:r>
        <w:rPr>
          <w:rFonts w:ascii="黑体" w:eastAsia="黑体" w:hint="eastAsia"/>
          <w:sz w:val="28"/>
        </w:rPr>
        <w:t>高阳县十八届人大二次会议文件（8）</w:t>
      </w:r>
    </w:p>
    <w:p>
      <w:pPr>
        <w:spacing w:line="577" w:lineRule="exact" w:before="0"/>
        <w:ind w:left="413" w:right="437" w:firstLine="0"/>
        <w:jc w:val="center"/>
        <w:rPr>
          <w:rFonts w:ascii="微软雅黑" w:eastAsia="微软雅黑" w:hint="eastAsia"/>
          <w:sz w:val="44"/>
        </w:rPr>
      </w:pPr>
      <w:r>
        <w:rPr>
          <w:rFonts w:ascii="微软雅黑" w:eastAsia="微软雅黑" w:hint="eastAsia"/>
          <w:sz w:val="44"/>
        </w:rPr>
        <w:t>高阳县人民政府</w:t>
      </w:r>
    </w:p>
    <w:p>
      <w:pPr>
        <w:spacing w:line="570" w:lineRule="exact" w:before="0"/>
        <w:ind w:left="409" w:right="437" w:firstLine="0"/>
        <w:jc w:val="center"/>
        <w:rPr>
          <w:rFonts w:ascii="微软雅黑" w:eastAsia="微软雅黑" w:hint="eastAsia"/>
          <w:sz w:val="44"/>
        </w:rPr>
      </w:pPr>
      <w:r>
        <w:rPr>
          <w:rFonts w:ascii="微软雅黑" w:eastAsia="微软雅黑" w:hint="eastAsia"/>
          <w:sz w:val="44"/>
        </w:rPr>
        <w:t>关于高阳县 2022 年预算执行情况和</w:t>
      </w:r>
    </w:p>
    <w:p>
      <w:pPr>
        <w:spacing w:line="685" w:lineRule="exact" w:before="0"/>
        <w:ind w:left="410" w:right="437" w:firstLine="0"/>
        <w:jc w:val="center"/>
        <w:rPr>
          <w:rFonts w:ascii="微软雅黑" w:eastAsia="微软雅黑" w:hint="eastAsia"/>
          <w:sz w:val="44"/>
        </w:rPr>
      </w:pPr>
      <w:r>
        <w:rPr>
          <w:rFonts w:ascii="微软雅黑" w:eastAsia="微软雅黑" w:hint="eastAsia"/>
          <w:sz w:val="44"/>
        </w:rPr>
        <w:t>2023 年预算（草案）的报告</w:t>
      </w:r>
    </w:p>
    <w:p>
      <w:pPr>
        <w:pStyle w:val="BodyText"/>
        <w:spacing w:before="252"/>
        <w:ind w:left="433" w:right="437"/>
        <w:jc w:val="center"/>
        <w:rPr>
          <w:rFonts w:ascii="楷体_GB2312" w:eastAsia="楷体_GB2312" w:hint="eastAsia"/>
        </w:rPr>
      </w:pPr>
      <w:r>
        <w:rPr>
          <w:rFonts w:ascii="Times New Roman" w:eastAsia="Times New Roman"/>
        </w:rPr>
        <w:t>2023 </w:t>
      </w:r>
      <w:r>
        <w:rPr>
          <w:rFonts w:ascii="楷体_GB2312" w:eastAsia="楷体_GB2312" w:hint="eastAsia"/>
        </w:rPr>
        <w:t>年 </w:t>
      </w:r>
      <w:r>
        <w:rPr>
          <w:rFonts w:ascii="Times New Roman" w:eastAsia="Times New Roman"/>
        </w:rPr>
        <w:t>1 </w:t>
      </w:r>
      <w:r>
        <w:rPr>
          <w:rFonts w:ascii="楷体_GB2312" w:eastAsia="楷体_GB2312" w:hint="eastAsia"/>
        </w:rPr>
        <w:t>月 </w:t>
      </w:r>
      <w:r>
        <w:rPr>
          <w:rFonts w:ascii="Times New Roman" w:eastAsia="Times New Roman"/>
        </w:rPr>
        <w:t>12 </w:t>
      </w:r>
      <w:r>
        <w:rPr>
          <w:rFonts w:ascii="楷体_GB2312" w:eastAsia="楷体_GB2312" w:hint="eastAsia"/>
        </w:rPr>
        <w:t>日在高阳县第十八届人民代表大会第三次会议上</w:t>
      </w:r>
    </w:p>
    <w:p>
      <w:pPr>
        <w:pStyle w:val="BodyText"/>
        <w:rPr>
          <w:rFonts w:ascii="楷体_GB2312"/>
          <w:sz w:val="34"/>
        </w:rPr>
      </w:pPr>
    </w:p>
    <w:p>
      <w:pPr>
        <w:pStyle w:val="BodyText"/>
        <w:spacing w:before="10"/>
        <w:rPr>
          <w:rFonts w:ascii="楷体_GB2312"/>
          <w:sz w:val="33"/>
        </w:rPr>
      </w:pPr>
    </w:p>
    <w:p>
      <w:pPr>
        <w:pStyle w:val="BodyText"/>
        <w:ind w:left="1190"/>
        <w:rPr>
          <w:rFonts w:ascii="黑体" w:eastAsia="黑体" w:hint="eastAsia"/>
        </w:rPr>
      </w:pPr>
      <w:r>
        <w:rPr>
          <w:rFonts w:ascii="黑体" w:eastAsia="黑体" w:hint="eastAsia"/>
        </w:rPr>
        <w:t>一、2022 年预算执行情况</w:t>
      </w:r>
    </w:p>
    <w:p>
      <w:pPr>
        <w:pStyle w:val="BodyText"/>
        <w:spacing w:line="328" w:lineRule="auto" w:before="150"/>
        <w:ind w:left="549" w:right="552" w:firstLine="640"/>
        <w:jc w:val="both"/>
      </w:pPr>
      <w:r>
        <w:rPr/>
        <w:t>2022 年是党和国家历史上具有里程碑意义的一年，是党的</w:t>
      </w:r>
      <w:r>
        <w:rPr>
          <w:w w:val="95"/>
        </w:rPr>
        <w:t>二十大胜利召开之年，是激情奋进“十四五”、加速崛起新高 阳的发力之年。我们以习近平新时代中国特色社会主义思想为 指导，深入学习宣传贯彻党的二十大精神，全面落实省委十届 三次全会、市委十二届四次全会、县委十四届四次全会精神， 牢牢把握团结奋斗的时代要求，不忘初心、牢记使命，解放思 想、奋发进取，科学规范理财，统筹财源配置，保障重点支 出，在克服诸多困难的基础上实现了收支平衡，预算运行总体 </w:t>
      </w:r>
      <w:r>
        <w:rPr/>
        <w:t>平稳。</w:t>
      </w:r>
    </w:p>
    <w:p>
      <w:pPr>
        <w:pStyle w:val="Heading4"/>
        <w:spacing w:line="396" w:lineRule="exact"/>
      </w:pPr>
      <w:r>
        <w:rPr/>
        <w:t>（一）全县财政收支情况</w:t>
      </w:r>
    </w:p>
    <w:p>
      <w:pPr>
        <w:pStyle w:val="ListParagraph"/>
        <w:numPr>
          <w:ilvl w:val="0"/>
          <w:numId w:val="1"/>
        </w:numPr>
        <w:tabs>
          <w:tab w:pos="1514" w:val="left" w:leader="none"/>
        </w:tabs>
        <w:spacing w:line="240" w:lineRule="auto" w:before="149" w:after="0"/>
        <w:ind w:left="1514" w:right="0" w:hanging="322"/>
        <w:jc w:val="left"/>
        <w:rPr>
          <w:b/>
          <w:sz w:val="32"/>
        </w:rPr>
      </w:pPr>
      <w:r>
        <w:rPr>
          <w:b/>
          <w:sz w:val="32"/>
        </w:rPr>
        <w:t>一般公共预算</w:t>
      </w:r>
    </w:p>
    <w:p>
      <w:pPr>
        <w:pStyle w:val="BodyText"/>
        <w:spacing w:before="151"/>
        <w:ind w:left="1190"/>
      </w:pPr>
      <w:r>
        <w:rPr/>
        <w:t>收入总计 320002 万元。其构成：县级一般公共预算收入</w:t>
      </w:r>
    </w:p>
    <w:p>
      <w:pPr>
        <w:pStyle w:val="BodyText"/>
        <w:spacing w:before="150"/>
        <w:ind w:left="549"/>
      </w:pPr>
      <w:r>
        <w:rPr>
          <w:spacing w:val="1"/>
          <w:w w:val="99"/>
        </w:rPr>
        <w:t>9435</w:t>
      </w:r>
      <w:r>
        <w:rPr>
          <w:w w:val="99"/>
        </w:rPr>
        <w:t>3</w:t>
      </w:r>
      <w:r>
        <w:rPr>
          <w:spacing w:val="-90"/>
        </w:rPr>
        <w:t> </w:t>
      </w:r>
      <w:r>
        <w:rPr>
          <w:spacing w:val="-19"/>
          <w:w w:val="99"/>
        </w:rPr>
        <w:t>万元，占调整预算的</w:t>
      </w:r>
      <w:r>
        <w:rPr>
          <w:spacing w:val="-87"/>
        </w:rPr>
        <w:t> </w:t>
      </w:r>
      <w:r>
        <w:rPr>
          <w:spacing w:val="1"/>
          <w:w w:val="99"/>
        </w:rPr>
        <w:t>10</w:t>
      </w:r>
      <w:r>
        <w:rPr>
          <w:spacing w:val="-2"/>
          <w:w w:val="99"/>
        </w:rPr>
        <w:t>0</w:t>
      </w:r>
      <w:r>
        <w:rPr>
          <w:spacing w:val="-27"/>
          <w:w w:val="99"/>
        </w:rPr>
        <w:t>％，同比增收</w:t>
      </w:r>
      <w:r>
        <w:rPr>
          <w:spacing w:val="-88"/>
        </w:rPr>
        <w:t> </w:t>
      </w:r>
      <w:r>
        <w:rPr>
          <w:spacing w:val="1"/>
          <w:w w:val="99"/>
        </w:rPr>
        <w:t>73</w:t>
      </w:r>
      <w:r>
        <w:rPr>
          <w:w w:val="99"/>
        </w:rPr>
        <w:t>8</w:t>
      </w:r>
      <w:r>
        <w:rPr>
          <w:spacing w:val="-90"/>
        </w:rPr>
        <w:t> </w:t>
      </w:r>
      <w:r>
        <w:rPr>
          <w:spacing w:val="-32"/>
          <w:w w:val="99"/>
        </w:rPr>
        <w:t>万元，增长</w:t>
      </w:r>
      <w:r>
        <w:rPr>
          <w:spacing w:val="-85"/>
        </w:rPr>
        <w:t> </w:t>
      </w:r>
      <w:r>
        <w:rPr>
          <w:spacing w:val="-2"/>
          <w:w w:val="99"/>
        </w:rPr>
        <w:t>0</w:t>
      </w:r>
      <w:r>
        <w:rPr>
          <w:w w:val="99"/>
        </w:rPr>
        <w:t>.8</w:t>
      </w:r>
      <w:r>
        <w:rPr>
          <w:spacing w:val="-1"/>
          <w:w w:val="99"/>
        </w:rPr>
        <w:t>%。</w:t>
      </w:r>
    </w:p>
    <w:p>
      <w:pPr>
        <w:pStyle w:val="BodyText"/>
        <w:spacing w:before="149"/>
        <w:ind w:left="549"/>
      </w:pPr>
      <w:r>
        <w:rPr/>
        <w:t>其中，税收收入 36854 万元，同比下降 14%，非税收入 57499 万</w:t>
      </w:r>
    </w:p>
    <w:p>
      <w:pPr>
        <w:spacing w:after="0"/>
        <w:sectPr>
          <w:footerReference w:type="default" r:id="rId5"/>
          <w:type w:val="continuous"/>
          <w:pgSz w:w="11910" w:h="16840"/>
          <w:pgMar w:footer="1917" w:top="1580" w:bottom="2100" w:left="1040" w:right="920"/>
          <w:pgNumType w:start="1"/>
        </w:sectPr>
      </w:pPr>
    </w:p>
    <w:p>
      <w:pPr>
        <w:pStyle w:val="BodyText"/>
        <w:spacing w:before="2"/>
        <w:rPr>
          <w:sz w:val="27"/>
        </w:rPr>
      </w:pPr>
    </w:p>
    <w:p>
      <w:pPr>
        <w:pStyle w:val="BodyText"/>
        <w:spacing w:line="326" w:lineRule="auto" w:before="55"/>
        <w:ind w:left="549" w:right="548"/>
      </w:pPr>
      <w:r>
        <w:rPr>
          <w:spacing w:val="-7"/>
        </w:rPr>
        <w:t>元，同比增长 </w:t>
      </w:r>
      <w:r>
        <w:rPr/>
        <w:t>13</w:t>
      </w:r>
      <w:r>
        <w:rPr>
          <w:spacing w:val="-5"/>
        </w:rPr>
        <w:t>%；上级补助收入 </w:t>
      </w:r>
      <w:r>
        <w:rPr/>
        <w:t>133905</w:t>
      </w:r>
      <w:r>
        <w:rPr>
          <w:spacing w:val="-7"/>
        </w:rPr>
        <w:t> 万元，其中，返还性</w:t>
      </w:r>
      <w:r>
        <w:rPr>
          <w:spacing w:val="-32"/>
        </w:rPr>
        <w:t>收入 </w:t>
      </w:r>
      <w:r>
        <w:rPr/>
        <w:t>4341</w:t>
      </w:r>
      <w:r>
        <w:rPr>
          <w:spacing w:val="-27"/>
        </w:rPr>
        <w:t> 万元，一般转移支付 </w:t>
      </w:r>
      <w:r>
        <w:rPr/>
        <w:t>121133</w:t>
      </w:r>
      <w:r>
        <w:rPr>
          <w:spacing w:val="-26"/>
        </w:rPr>
        <w:t> 万元，专项转移支付 </w:t>
      </w:r>
      <w:r>
        <w:rPr/>
        <w:t>8431</w:t>
      </w:r>
    </w:p>
    <w:p>
      <w:pPr>
        <w:pStyle w:val="BodyText"/>
        <w:spacing w:before="3"/>
        <w:ind w:left="549"/>
      </w:pPr>
      <w:r>
        <w:rPr>
          <w:spacing w:val="-22"/>
        </w:rPr>
        <w:t>万元；一般债券转贷收入 </w:t>
      </w:r>
      <w:r>
        <w:rPr/>
        <w:t>12200</w:t>
      </w:r>
      <w:r>
        <w:rPr>
          <w:spacing w:val="-27"/>
        </w:rPr>
        <w:t> 万元；再融资债券收入 </w:t>
      </w:r>
      <w:r>
        <w:rPr/>
        <w:t>900</w:t>
      </w:r>
      <w:r>
        <w:rPr>
          <w:spacing w:val="-21"/>
        </w:rPr>
        <w:t> 万元；</w:t>
      </w:r>
    </w:p>
    <w:p>
      <w:pPr>
        <w:pStyle w:val="BodyText"/>
        <w:spacing w:before="151"/>
        <w:ind w:left="549"/>
      </w:pPr>
      <w:r>
        <w:rPr/>
        <w:t>上年结转收入 2735 万元；动用预算稳定调节基金 15022 万元；</w:t>
      </w:r>
    </w:p>
    <w:p>
      <w:pPr>
        <w:pStyle w:val="BodyText"/>
        <w:spacing w:before="150"/>
        <w:ind w:left="549"/>
      </w:pPr>
      <w:r>
        <w:rPr/>
        <w:t>调入资金 60887 万元。</w:t>
      </w:r>
    </w:p>
    <w:p>
      <w:pPr>
        <w:pStyle w:val="BodyText"/>
        <w:spacing w:before="149"/>
        <w:ind w:right="552"/>
        <w:jc w:val="right"/>
      </w:pPr>
      <w:r>
        <w:rPr>
          <w:spacing w:val="5"/>
        </w:rPr>
        <w:t>支出总计 </w:t>
      </w:r>
      <w:r>
        <w:rPr/>
        <w:t>320002</w:t>
      </w:r>
      <w:r>
        <w:rPr>
          <w:spacing w:val="6"/>
        </w:rPr>
        <w:t> 万元。其构成：县级一般公共预算支出</w:t>
      </w:r>
    </w:p>
    <w:p>
      <w:pPr>
        <w:pStyle w:val="BodyText"/>
        <w:spacing w:before="152"/>
        <w:ind w:right="552"/>
        <w:jc w:val="right"/>
      </w:pPr>
      <w:r>
        <w:rPr/>
        <w:t>283880</w:t>
      </w:r>
      <w:r>
        <w:rPr>
          <w:spacing w:val="-15"/>
        </w:rPr>
        <w:t> 万元，占调整预算的 </w:t>
      </w:r>
      <w:r>
        <w:rPr/>
        <w:t>99.3</w:t>
      </w:r>
      <w:r>
        <w:rPr>
          <w:spacing w:val="-11"/>
        </w:rPr>
        <w:t>%，同比增支 </w:t>
      </w:r>
      <w:r>
        <w:rPr/>
        <w:t>1110</w:t>
      </w:r>
      <w:r>
        <w:rPr>
          <w:spacing w:val="-13"/>
        </w:rPr>
        <w:t> 万元，增长</w:t>
      </w:r>
    </w:p>
    <w:p>
      <w:pPr>
        <w:pStyle w:val="BodyText"/>
        <w:spacing w:before="149"/>
        <w:ind w:right="548"/>
        <w:jc w:val="right"/>
      </w:pPr>
      <w:r>
        <w:rPr/>
        <w:t>0.4</w:t>
      </w:r>
      <w:r>
        <w:rPr>
          <w:spacing w:val="-4"/>
        </w:rPr>
        <w:t>%；安排预算稳定调节基金 </w:t>
      </w:r>
      <w:r>
        <w:rPr/>
        <w:t>25527</w:t>
      </w:r>
      <w:r>
        <w:rPr>
          <w:spacing w:val="-10"/>
        </w:rPr>
        <w:t> 万元；结转下年支出 </w:t>
      </w:r>
      <w:r>
        <w:rPr/>
        <w:t>1919</w:t>
      </w:r>
    </w:p>
    <w:p>
      <w:pPr>
        <w:pStyle w:val="BodyText"/>
        <w:spacing w:before="149"/>
        <w:ind w:right="549"/>
        <w:jc w:val="right"/>
      </w:pPr>
      <w:r>
        <w:rPr>
          <w:spacing w:val="-16"/>
        </w:rPr>
        <w:t>万元；上解支出 </w:t>
      </w:r>
      <w:r>
        <w:rPr/>
        <w:t>2674</w:t>
      </w:r>
      <w:r>
        <w:rPr>
          <w:spacing w:val="-21"/>
        </w:rPr>
        <w:t> 万元；债券还本支出 </w:t>
      </w:r>
      <w:r>
        <w:rPr/>
        <w:t>1100</w:t>
      </w:r>
      <w:r>
        <w:rPr>
          <w:spacing w:val="-16"/>
        </w:rPr>
        <w:t> 万元，调出资金</w:t>
      </w:r>
    </w:p>
    <w:p>
      <w:pPr>
        <w:pStyle w:val="BodyText"/>
        <w:spacing w:before="152"/>
        <w:ind w:left="549"/>
      </w:pPr>
      <w:r>
        <w:rPr/>
        <w:t>4902 万元。收支相抵，一般公共预算收支平衡。</w:t>
      </w:r>
    </w:p>
    <w:p>
      <w:pPr>
        <w:pStyle w:val="Heading4"/>
        <w:numPr>
          <w:ilvl w:val="0"/>
          <w:numId w:val="1"/>
        </w:numPr>
        <w:tabs>
          <w:tab w:pos="1514" w:val="left" w:leader="none"/>
        </w:tabs>
        <w:spacing w:line="240" w:lineRule="auto" w:before="149" w:after="0"/>
        <w:ind w:left="1514" w:right="0" w:hanging="322"/>
        <w:jc w:val="left"/>
        <w:rPr>
          <w:rFonts w:ascii="仿宋_GB2312" w:eastAsia="仿宋_GB2312" w:hint="eastAsia"/>
        </w:rPr>
      </w:pPr>
      <w:r>
        <w:rPr>
          <w:rFonts w:ascii="仿宋_GB2312" w:eastAsia="仿宋_GB2312" w:hint="eastAsia"/>
        </w:rPr>
        <w:t>政府性基金预算</w:t>
      </w:r>
    </w:p>
    <w:p>
      <w:pPr>
        <w:pStyle w:val="BodyText"/>
        <w:spacing w:line="328" w:lineRule="auto" w:before="149"/>
        <w:ind w:left="549" w:right="386" w:firstLine="640"/>
      </w:pPr>
      <w:r>
        <w:rPr>
          <w:spacing w:val="-17"/>
        </w:rPr>
        <w:t>收入总计 </w:t>
      </w:r>
      <w:r>
        <w:rPr/>
        <w:t>276090</w:t>
      </w:r>
      <w:r>
        <w:rPr>
          <w:spacing w:val="-24"/>
        </w:rPr>
        <w:t> 万元。其构成：县级政府性基金收入 </w:t>
      </w:r>
      <w:r>
        <w:rPr/>
        <w:t>95628 </w:t>
      </w:r>
      <w:r>
        <w:rPr>
          <w:spacing w:val="-20"/>
        </w:rPr>
        <w:t>万元，占调整预算的 </w:t>
      </w:r>
      <w:r>
        <w:rPr>
          <w:spacing w:val="-19"/>
        </w:rPr>
        <w:t>100</w:t>
      </w:r>
      <w:r>
        <w:rPr>
          <w:spacing w:val="-18"/>
        </w:rPr>
        <w:t>％，同比增收 </w:t>
      </w:r>
      <w:r>
        <w:rPr/>
        <w:t>27374</w:t>
      </w:r>
      <w:r>
        <w:rPr>
          <w:spacing w:val="-38"/>
        </w:rPr>
        <w:t> 万元，增长 </w:t>
      </w:r>
      <w:r>
        <w:rPr/>
        <w:t>40.1％。</w:t>
      </w:r>
      <w:r>
        <w:rPr>
          <w:spacing w:val="-10"/>
        </w:rPr>
        <w:t>上级补助收入 </w:t>
      </w:r>
      <w:r>
        <w:rPr/>
        <w:t>132</w:t>
      </w:r>
      <w:r>
        <w:rPr>
          <w:spacing w:val="-14"/>
        </w:rPr>
        <w:t> 万元，专项债券转贷收入 </w:t>
      </w:r>
      <w:r>
        <w:rPr/>
        <w:t>170500</w:t>
      </w:r>
      <w:r>
        <w:rPr>
          <w:spacing w:val="-24"/>
        </w:rPr>
        <w:t> 万元</w:t>
      </w:r>
      <w:r>
        <w:rPr>
          <w:rFonts w:ascii="楷体_GB2312" w:eastAsia="楷体_GB2312" w:hint="eastAsia"/>
        </w:rPr>
        <w:t>，</w:t>
      </w:r>
      <w:r>
        <w:rPr/>
        <w:t>上年</w:t>
      </w:r>
    </w:p>
    <w:p>
      <w:pPr>
        <w:pStyle w:val="BodyText"/>
        <w:spacing w:line="405" w:lineRule="exact"/>
        <w:ind w:left="549"/>
      </w:pPr>
      <w:r>
        <w:rPr/>
        <w:t>结转收入 4928 万元，调入资金 4902 万元。</w:t>
      </w:r>
    </w:p>
    <w:p>
      <w:pPr>
        <w:pStyle w:val="BodyText"/>
        <w:spacing w:line="326" w:lineRule="auto" w:before="152"/>
        <w:ind w:left="549" w:right="386" w:firstLine="640"/>
      </w:pPr>
      <w:r>
        <w:rPr>
          <w:spacing w:val="-19"/>
        </w:rPr>
        <w:t>支出总计 </w:t>
      </w:r>
      <w:r>
        <w:rPr/>
        <w:t>276090</w:t>
      </w:r>
      <w:r>
        <w:rPr>
          <w:spacing w:val="-33"/>
        </w:rPr>
        <w:t> 万元。其构成：县级政府性基金支出 </w:t>
      </w:r>
      <w:r>
        <w:rPr/>
        <w:t>157729 </w:t>
      </w:r>
      <w:r>
        <w:rPr>
          <w:spacing w:val="-18"/>
          <w:w w:val="99"/>
        </w:rPr>
        <w:t>万元，占调整预算的</w:t>
      </w:r>
      <w:r>
        <w:rPr>
          <w:spacing w:val="-78"/>
        </w:rPr>
        <w:t> </w:t>
      </w:r>
      <w:r>
        <w:rPr>
          <w:w w:val="99"/>
        </w:rPr>
        <w:t>72</w:t>
      </w:r>
      <w:r>
        <w:rPr>
          <w:spacing w:val="-2"/>
          <w:w w:val="99"/>
        </w:rPr>
        <w:t>.</w:t>
      </w:r>
      <w:r>
        <w:rPr>
          <w:w w:val="99"/>
        </w:rPr>
        <w:t>3</w:t>
      </w:r>
      <w:r>
        <w:rPr>
          <w:spacing w:val="-25"/>
          <w:w w:val="99"/>
        </w:rPr>
        <w:t>%，同比增支</w:t>
      </w:r>
      <w:r>
        <w:rPr>
          <w:spacing w:val="-78"/>
        </w:rPr>
        <w:t> </w:t>
      </w:r>
      <w:r>
        <w:rPr>
          <w:w w:val="99"/>
        </w:rPr>
        <w:t>84</w:t>
      </w:r>
      <w:r>
        <w:rPr>
          <w:spacing w:val="-2"/>
          <w:w w:val="99"/>
        </w:rPr>
        <w:t>6</w:t>
      </w:r>
      <w:r>
        <w:rPr>
          <w:w w:val="99"/>
        </w:rPr>
        <w:t>80</w:t>
      </w:r>
      <w:r>
        <w:rPr>
          <w:spacing w:val="-79"/>
        </w:rPr>
        <w:t> </w:t>
      </w:r>
      <w:r>
        <w:rPr>
          <w:spacing w:val="-30"/>
          <w:w w:val="99"/>
        </w:rPr>
        <w:t>万元，增长</w:t>
      </w:r>
      <w:r>
        <w:rPr>
          <w:spacing w:val="-30"/>
        </w:rPr>
        <w:t> </w:t>
      </w:r>
      <w:r>
        <w:rPr>
          <w:w w:val="99"/>
        </w:rPr>
        <w:t>11</w:t>
      </w:r>
      <w:r>
        <w:rPr>
          <w:spacing w:val="-2"/>
          <w:w w:val="99"/>
        </w:rPr>
        <w:t>5</w:t>
      </w:r>
      <w:r>
        <w:rPr>
          <w:w w:val="99"/>
        </w:rPr>
        <w:t>.</w:t>
      </w:r>
      <w:r>
        <w:rPr>
          <w:spacing w:val="-1"/>
          <w:w w:val="99"/>
        </w:rPr>
        <w:t>9</w:t>
      </w:r>
      <w:r>
        <w:rPr>
          <w:spacing w:val="2"/>
          <w:w w:val="99"/>
        </w:rPr>
        <w:t>％。</w:t>
      </w:r>
      <w:r>
        <w:rPr>
          <w:spacing w:val="-6"/>
        </w:rPr>
        <w:t>地方政府专项债券还本支出 </w:t>
      </w:r>
      <w:r>
        <w:rPr/>
        <w:t>7600</w:t>
      </w:r>
      <w:r>
        <w:rPr>
          <w:spacing w:val="-18"/>
        </w:rPr>
        <w:t> 万元，调出资金 </w:t>
      </w:r>
      <w:r>
        <w:rPr/>
        <w:t>60884</w:t>
      </w:r>
      <w:r>
        <w:rPr>
          <w:spacing w:val="-18"/>
        </w:rPr>
        <w:t> 万元，</w:t>
      </w:r>
    </w:p>
    <w:p>
      <w:pPr>
        <w:pStyle w:val="BodyText"/>
        <w:spacing w:before="8"/>
        <w:ind w:left="549"/>
      </w:pPr>
      <w:r>
        <w:rPr>
          <w:spacing w:val="-12"/>
        </w:rPr>
        <w:t>结转下年支出 </w:t>
      </w:r>
      <w:r>
        <w:rPr/>
        <w:t>49877</w:t>
      </w:r>
      <w:r>
        <w:rPr>
          <w:spacing w:val="-28"/>
        </w:rPr>
        <w:t> 元。</w:t>
      </w:r>
    </w:p>
    <w:p>
      <w:pPr>
        <w:spacing w:line="326" w:lineRule="auto" w:before="149"/>
        <w:ind w:left="1192" w:right="3695" w:hanging="44"/>
        <w:jc w:val="left"/>
        <w:rPr>
          <w:b/>
          <w:sz w:val="32"/>
        </w:rPr>
      </w:pPr>
      <w:r>
        <w:rPr>
          <w:spacing w:val="-20"/>
          <w:sz w:val="32"/>
        </w:rPr>
        <w:t>收支相抵，政府性基金预算收支平衡。</w:t>
      </w:r>
      <w:r>
        <w:rPr>
          <w:b/>
          <w:sz w:val="32"/>
        </w:rPr>
        <w:t>3.国有资本经营预算</w:t>
      </w:r>
    </w:p>
    <w:p>
      <w:pPr>
        <w:pStyle w:val="BodyText"/>
        <w:spacing w:before="6"/>
        <w:ind w:left="1190"/>
      </w:pPr>
      <w:r>
        <w:rPr/>
        <w:t>收入总计 13 万元。其构成：上级补助收入 6 万元，上年结</w:t>
      </w:r>
    </w:p>
    <w:p>
      <w:pPr>
        <w:spacing w:after="0"/>
        <w:sectPr>
          <w:pgSz w:w="11910" w:h="16840"/>
          <w:pgMar w:header="0" w:footer="1917" w:top="1580" w:bottom="2100" w:left="1040" w:right="920"/>
        </w:sectPr>
      </w:pPr>
    </w:p>
    <w:p>
      <w:pPr>
        <w:pStyle w:val="BodyText"/>
        <w:spacing w:before="2"/>
        <w:rPr>
          <w:sz w:val="27"/>
        </w:rPr>
      </w:pPr>
    </w:p>
    <w:p>
      <w:pPr>
        <w:pStyle w:val="BodyText"/>
        <w:spacing w:before="55"/>
        <w:ind w:left="549"/>
      </w:pPr>
      <w:r>
        <w:rPr/>
        <w:t>转收入 7 万元。</w:t>
      </w:r>
    </w:p>
    <w:p>
      <w:pPr>
        <w:pStyle w:val="BodyText"/>
        <w:spacing w:before="149"/>
        <w:ind w:left="1190"/>
      </w:pPr>
      <w:r>
        <w:rPr/>
        <w:t>支出总计 13 万元。其构成：县级国有资本经营预算支出 4</w:t>
      </w:r>
    </w:p>
    <w:p>
      <w:pPr>
        <w:pStyle w:val="BodyText"/>
        <w:spacing w:line="328" w:lineRule="auto" w:before="149"/>
        <w:ind w:left="1190" w:right="2674" w:hanging="641"/>
        <w:rPr>
          <w:b/>
        </w:rPr>
      </w:pPr>
      <w:r>
        <w:rPr>
          <w:spacing w:val="-11"/>
        </w:rPr>
        <w:t>万元，调出资金 </w:t>
      </w:r>
      <w:r>
        <w:rPr/>
        <w:t>3</w:t>
      </w:r>
      <w:r>
        <w:rPr>
          <w:spacing w:val="-17"/>
        </w:rPr>
        <w:t> 万元，结转下年支出 </w:t>
      </w:r>
      <w:r>
        <w:rPr/>
        <w:t>6</w:t>
      </w:r>
      <w:r>
        <w:rPr>
          <w:spacing w:val="-25"/>
        </w:rPr>
        <w:t> 万元。</w:t>
      </w:r>
      <w:r>
        <w:rPr/>
        <w:t>收支相抵，国有资本经营预算收支平衡。 </w:t>
      </w:r>
      <w:r>
        <w:rPr>
          <w:b/>
        </w:rPr>
        <w:t>4.社会保险基金预算</w:t>
      </w:r>
    </w:p>
    <w:p>
      <w:pPr>
        <w:pStyle w:val="BodyText"/>
        <w:spacing w:line="328" w:lineRule="auto"/>
        <w:ind w:left="549" w:right="531" w:firstLine="640"/>
      </w:pPr>
      <w:r>
        <w:rPr>
          <w:spacing w:val="-4"/>
        </w:rPr>
        <w:t>社保基金预算收入累计 </w:t>
      </w:r>
      <w:r>
        <w:rPr/>
        <w:t>37186</w:t>
      </w:r>
      <w:r>
        <w:rPr>
          <w:spacing w:val="-11"/>
        </w:rPr>
        <w:t> 万元，占预算的 </w:t>
      </w:r>
      <w:r>
        <w:rPr/>
        <w:t>124.9%。其</w:t>
      </w:r>
      <w:r>
        <w:rPr>
          <w:spacing w:val="14"/>
        </w:rPr>
        <w:t>中：机关事业养老保险基金收入完成 </w:t>
      </w:r>
      <w:r>
        <w:rPr/>
        <w:t>25148</w:t>
      </w:r>
      <w:r>
        <w:rPr>
          <w:spacing w:val="12"/>
        </w:rPr>
        <w:t> 万元，占预算的</w:t>
      </w:r>
    </w:p>
    <w:p>
      <w:pPr>
        <w:pStyle w:val="BodyText"/>
        <w:spacing w:line="408" w:lineRule="exact"/>
        <w:ind w:left="549"/>
      </w:pPr>
      <w:r>
        <w:rPr>
          <w:spacing w:val="-9"/>
        </w:rPr>
        <w:t>140.9</w:t>
      </w:r>
      <w:r>
        <w:rPr>
          <w:spacing w:val="-10"/>
        </w:rPr>
        <w:t>%；城乡居民养老保险基金收入完成 </w:t>
      </w:r>
      <w:r>
        <w:rPr/>
        <w:t>12038</w:t>
      </w:r>
      <w:r>
        <w:rPr>
          <w:spacing w:val="-20"/>
        </w:rPr>
        <w:t> 万元，占预算的</w:t>
      </w:r>
    </w:p>
    <w:p>
      <w:pPr>
        <w:pStyle w:val="ListParagraph"/>
        <w:numPr>
          <w:ilvl w:val="1"/>
          <w:numId w:val="2"/>
        </w:numPr>
        <w:tabs>
          <w:tab w:pos="1511" w:val="left" w:leader="none"/>
        </w:tabs>
        <w:spacing w:line="240" w:lineRule="auto" w:before="144" w:after="0"/>
        <w:ind w:left="1510" w:right="0" w:hanging="962"/>
        <w:jc w:val="left"/>
        <w:rPr>
          <w:sz w:val="32"/>
        </w:rPr>
      </w:pPr>
      <w:r>
        <w:rPr>
          <w:sz w:val="32"/>
        </w:rPr>
        <w:t>%。</w:t>
      </w:r>
    </w:p>
    <w:p>
      <w:pPr>
        <w:pStyle w:val="BodyText"/>
        <w:spacing w:line="326" w:lineRule="auto" w:before="152"/>
        <w:ind w:left="549" w:right="386" w:firstLine="640"/>
      </w:pPr>
      <w:r>
        <w:rPr>
          <w:spacing w:val="-4"/>
        </w:rPr>
        <w:t>社保基金预算支出累计 </w:t>
      </w:r>
      <w:r>
        <w:rPr/>
        <w:t>28590</w:t>
      </w:r>
      <w:r>
        <w:rPr>
          <w:spacing w:val="-11"/>
        </w:rPr>
        <w:t> 万元，占预算的 </w:t>
      </w:r>
      <w:r>
        <w:rPr/>
        <w:t>112.6%。其</w:t>
      </w:r>
      <w:r>
        <w:rPr>
          <w:spacing w:val="-10"/>
        </w:rPr>
        <w:t>中：机关事业养老保险基金支出 </w:t>
      </w:r>
      <w:r>
        <w:rPr/>
        <w:t>20449</w:t>
      </w:r>
      <w:r>
        <w:rPr>
          <w:spacing w:val="-22"/>
        </w:rPr>
        <w:t> 万元，占预算的 </w:t>
      </w:r>
      <w:r>
        <w:rPr/>
        <w:t>115.8%； </w:t>
      </w:r>
      <w:r>
        <w:rPr>
          <w:spacing w:val="-7"/>
        </w:rPr>
        <w:t>城乡居民养老保险基金支出 </w:t>
      </w:r>
      <w:r>
        <w:rPr/>
        <w:t>8141</w:t>
      </w:r>
      <w:r>
        <w:rPr>
          <w:spacing w:val="-20"/>
        </w:rPr>
        <w:t> 万元，占预算的 </w:t>
      </w:r>
      <w:r>
        <w:rPr/>
        <w:t>105.3%。</w:t>
      </w:r>
    </w:p>
    <w:p>
      <w:pPr>
        <w:pStyle w:val="BodyText"/>
        <w:spacing w:before="7"/>
        <w:ind w:left="969"/>
      </w:pPr>
      <w:r>
        <w:rPr/>
        <w:t>收支相抵，社保基金预算结余 8596 万元。</w:t>
      </w:r>
    </w:p>
    <w:p>
      <w:pPr>
        <w:pStyle w:val="Heading4"/>
        <w:spacing w:before="149"/>
        <w:ind w:left="969"/>
      </w:pPr>
      <w:r>
        <w:rPr/>
        <w:t>（二）财政重点工作开展情况</w:t>
      </w:r>
    </w:p>
    <w:p>
      <w:pPr>
        <w:pStyle w:val="ListParagraph"/>
        <w:numPr>
          <w:ilvl w:val="2"/>
          <w:numId w:val="2"/>
        </w:numPr>
        <w:tabs>
          <w:tab w:pos="1536" w:val="left" w:leader="none"/>
        </w:tabs>
        <w:spacing w:line="328" w:lineRule="auto" w:before="150" w:after="0"/>
        <w:ind w:left="549" w:right="549" w:firstLine="643"/>
        <w:jc w:val="left"/>
        <w:rPr>
          <w:sz w:val="32"/>
        </w:rPr>
      </w:pPr>
      <w:r>
        <w:rPr>
          <w:b/>
          <w:spacing w:val="22"/>
          <w:w w:val="95"/>
          <w:sz w:val="32"/>
        </w:rPr>
        <w:t>坚持人民至上，保民生福祉稳步提升。</w:t>
      </w:r>
      <w:r>
        <w:rPr>
          <w:spacing w:val="17"/>
          <w:w w:val="95"/>
          <w:sz w:val="32"/>
        </w:rPr>
        <w:t>全县民生支出</w:t>
      </w:r>
      <w:r>
        <w:rPr>
          <w:spacing w:val="17"/>
          <w:sz w:val="32"/>
        </w:rPr>
        <w:t>245053</w:t>
      </w:r>
      <w:r>
        <w:rPr>
          <w:spacing w:val="-15"/>
          <w:sz w:val="32"/>
        </w:rPr>
        <w:t> 万元，占一般公共预算支出的 </w:t>
      </w:r>
      <w:r>
        <w:rPr>
          <w:sz w:val="32"/>
        </w:rPr>
        <w:t>86.3%。</w:t>
      </w:r>
    </w:p>
    <w:p>
      <w:pPr>
        <w:spacing w:line="326" w:lineRule="auto" w:before="0"/>
        <w:ind w:left="549" w:right="549" w:firstLine="645"/>
        <w:jc w:val="left"/>
        <w:rPr>
          <w:sz w:val="32"/>
        </w:rPr>
      </w:pPr>
      <w:r>
        <w:rPr>
          <w:b/>
          <w:spacing w:val="-9"/>
          <w:sz w:val="32"/>
        </w:rPr>
        <w:t>一是全力保障疫情防控救治，为人民生命安全保驾护航。</w:t>
      </w:r>
      <w:r>
        <w:rPr>
          <w:spacing w:val="-11"/>
          <w:sz w:val="32"/>
        </w:rPr>
        <w:t>卫</w:t>
      </w:r>
      <w:r>
        <w:rPr>
          <w:spacing w:val="-9"/>
          <w:sz w:val="32"/>
        </w:rPr>
        <w:t>生健康方面支出 </w:t>
      </w:r>
      <w:r>
        <w:rPr>
          <w:sz w:val="32"/>
        </w:rPr>
        <w:t>17339</w:t>
      </w:r>
      <w:r>
        <w:rPr>
          <w:spacing w:val="-14"/>
          <w:sz w:val="32"/>
        </w:rPr>
        <w:t> 万元，其中公共卫生支出 </w:t>
      </w:r>
      <w:r>
        <w:rPr>
          <w:sz w:val="32"/>
        </w:rPr>
        <w:t>8999</w:t>
      </w:r>
      <w:r>
        <w:rPr>
          <w:spacing w:val="-17"/>
          <w:sz w:val="32"/>
        </w:rPr>
        <w:t> 万元，包</w:t>
      </w:r>
    </w:p>
    <w:p>
      <w:pPr>
        <w:pStyle w:val="BodyText"/>
        <w:spacing w:before="3"/>
        <w:ind w:left="549"/>
      </w:pPr>
      <w:r>
        <w:rPr>
          <w:spacing w:val="-8"/>
        </w:rPr>
        <w:t>括疫情防控物资投入 </w:t>
      </w:r>
      <w:r>
        <w:rPr/>
        <w:t>1644</w:t>
      </w:r>
      <w:r>
        <w:rPr>
          <w:spacing w:val="-15"/>
        </w:rPr>
        <w:t> 万元，核酸检测投入 </w:t>
      </w:r>
      <w:r>
        <w:rPr/>
        <w:t>812</w:t>
      </w:r>
      <w:r>
        <w:rPr>
          <w:spacing w:val="-13"/>
        </w:rPr>
        <w:t> 万元，疫情</w:t>
      </w:r>
    </w:p>
    <w:p>
      <w:pPr>
        <w:pStyle w:val="BodyText"/>
        <w:spacing w:before="149"/>
        <w:ind w:left="549"/>
      </w:pPr>
      <w:r>
        <w:rPr/>
        <w:t>隔离费用投入 1590 万元，保障疫情防控基本需求。</w:t>
      </w:r>
    </w:p>
    <w:p>
      <w:pPr>
        <w:pStyle w:val="BodyText"/>
        <w:spacing w:line="328" w:lineRule="auto" w:before="150"/>
        <w:ind w:left="549" w:right="391" w:firstLine="645"/>
      </w:pPr>
      <w:r>
        <w:rPr>
          <w:spacing w:val="-6"/>
        </w:rPr>
        <w:t>持续投入专项债券资金 </w:t>
      </w:r>
      <w:r>
        <w:rPr/>
        <w:t>8600</w:t>
      </w:r>
      <w:r>
        <w:rPr>
          <w:spacing w:val="-9"/>
        </w:rPr>
        <w:t> 万元，用于县医院传染病区及</w:t>
      </w:r>
      <w:r>
        <w:rPr>
          <w:spacing w:val="-19"/>
        </w:rPr>
        <w:t>康复楼、县妇幼保健院、新中医院、新疾控中心等项目后续建设。</w:t>
      </w:r>
    </w:p>
    <w:p>
      <w:pPr>
        <w:spacing w:after="0" w:line="328" w:lineRule="auto"/>
        <w:sectPr>
          <w:pgSz w:w="11910" w:h="16840"/>
          <w:pgMar w:header="0" w:footer="1917" w:top="1580" w:bottom="2100" w:left="1040" w:right="920"/>
        </w:sectPr>
      </w:pPr>
    </w:p>
    <w:p>
      <w:pPr>
        <w:pStyle w:val="BodyText"/>
        <w:spacing w:before="2"/>
        <w:rPr>
          <w:sz w:val="27"/>
        </w:rPr>
      </w:pPr>
    </w:p>
    <w:p>
      <w:pPr>
        <w:pStyle w:val="BodyText"/>
        <w:spacing w:line="328" w:lineRule="auto" w:before="55"/>
        <w:ind w:left="549" w:right="551"/>
        <w:jc w:val="both"/>
      </w:pPr>
      <w:r>
        <w:rPr>
          <w:spacing w:val="-12"/>
        </w:rPr>
        <w:t>投入债券资金 </w:t>
      </w:r>
      <w:r>
        <w:rPr/>
        <w:t>520</w:t>
      </w:r>
      <w:r>
        <w:rPr>
          <w:spacing w:val="-16"/>
        </w:rPr>
        <w:t> 万元支持医养结合养老公寓建设。新建医疗基</w:t>
      </w:r>
      <w:r>
        <w:rPr>
          <w:spacing w:val="-11"/>
        </w:rPr>
        <w:t>础设施投入使用，极大增强我县医疗救治能力，在进一步优化疫</w:t>
      </w:r>
      <w:r>
        <w:rPr>
          <w:spacing w:val="-10"/>
        </w:rPr>
        <w:t>情防控机制的情况下，为科学精准高效的疫情防控、救治打下坚</w:t>
      </w:r>
      <w:r>
        <w:rPr>
          <w:spacing w:val="-12"/>
        </w:rPr>
        <w:t>实基础，有序为患者提供医疗资源，避免医疗资源短时间内集中</w:t>
      </w:r>
      <w:r>
        <w:rPr/>
        <w:t>挤兑，保障我县“挺过”疫情冲击。</w:t>
      </w:r>
    </w:p>
    <w:p>
      <w:pPr>
        <w:pStyle w:val="BodyText"/>
        <w:spacing w:line="328" w:lineRule="auto"/>
        <w:ind w:left="549" w:right="438" w:firstLine="643"/>
      </w:pPr>
      <w:r>
        <w:rPr>
          <w:b/>
          <w:spacing w:val="-7"/>
        </w:rPr>
        <w:t>二是持续加大教育投入，为青少年成长培育沃土</w:t>
      </w:r>
      <w:r>
        <w:rPr>
          <w:spacing w:val="-15"/>
        </w:rPr>
        <w:t>。一般公共</w:t>
      </w:r>
      <w:r>
        <w:rPr>
          <w:spacing w:val="-25"/>
        </w:rPr>
        <w:t>预算教育支出 </w:t>
      </w:r>
      <w:r>
        <w:rPr/>
        <w:t>61933</w:t>
      </w:r>
      <w:r>
        <w:rPr>
          <w:spacing w:val="-22"/>
        </w:rPr>
        <w:t> 万元，同比增长 </w:t>
      </w:r>
      <w:r>
        <w:rPr/>
        <w:t>10.6</w:t>
      </w:r>
      <w:r>
        <w:rPr>
          <w:spacing w:val="-5"/>
        </w:rPr>
        <w:t>%。积极筹措资金，调</w:t>
      </w:r>
      <w:r>
        <w:rPr>
          <w:spacing w:val="-13"/>
        </w:rPr>
        <w:t>整支出结构，加大教育投入，确保政策性教育资金投入到位，实</w:t>
      </w:r>
      <w:r>
        <w:rPr>
          <w:spacing w:val="-14"/>
        </w:rPr>
        <w:t>现“一般公共预算教育支出”、“生均一般公共预算教育支出” </w:t>
      </w:r>
      <w:r>
        <w:rPr/>
        <w:t>双增长。</w:t>
      </w:r>
    </w:p>
    <w:p>
      <w:pPr>
        <w:pStyle w:val="BodyText"/>
        <w:spacing w:line="328" w:lineRule="auto"/>
        <w:ind w:left="549" w:right="439" w:firstLine="626"/>
      </w:pPr>
      <w:r>
        <w:rPr>
          <w:spacing w:val="-12"/>
        </w:rPr>
        <w:t>投入债券资金 </w:t>
      </w:r>
      <w:r>
        <w:rPr/>
        <w:t>21700</w:t>
      </w:r>
      <w:r>
        <w:rPr>
          <w:spacing w:val="-15"/>
        </w:rPr>
        <w:t> 万元提升教育基础设施建设，实施项目</w:t>
      </w:r>
      <w:r>
        <w:rPr>
          <w:spacing w:val="-16"/>
        </w:rPr>
        <w:t>涵盖学前教育、义务教育全阶段和职业教育，区域上覆盖城乡， </w:t>
      </w:r>
      <w:r>
        <w:rPr/>
        <w:t>为促进我县教育资源均等化，提升下一代整体素质打下牢固基 </w:t>
      </w:r>
      <w:r>
        <w:rPr>
          <w:spacing w:val="-11"/>
        </w:rPr>
        <w:t>础。具体包括：高阳县第二幼儿园，高阳县第三幼儿园，高阳县</w:t>
      </w:r>
      <w:r>
        <w:rPr>
          <w:spacing w:val="-14"/>
        </w:rPr>
        <w:t>西演镇、庞口镇乡村幼儿园，高阳县农村幼儿园提升改造，西街</w:t>
      </w:r>
      <w:r>
        <w:rPr>
          <w:spacing w:val="-15"/>
        </w:rPr>
        <w:t>小学综合楼，西街小学改扩建，庞口中学，高阳县职业技术教育</w:t>
      </w:r>
      <w:r>
        <w:rPr>
          <w:spacing w:val="-18"/>
        </w:rPr>
        <w:t>中心教学楼、宿舍楼及餐厅，高阳县智慧校园，共 </w:t>
      </w:r>
      <w:r>
        <w:rPr/>
        <w:t>8</w:t>
      </w:r>
      <w:r>
        <w:rPr>
          <w:spacing w:val="-17"/>
        </w:rPr>
        <w:t> 个项目。</w:t>
      </w:r>
    </w:p>
    <w:p>
      <w:pPr>
        <w:pStyle w:val="BodyText"/>
        <w:spacing w:line="328" w:lineRule="auto"/>
        <w:ind w:left="549" w:right="549" w:firstLine="643"/>
        <w:jc w:val="both"/>
      </w:pPr>
      <w:r>
        <w:rPr>
          <w:b/>
          <w:spacing w:val="-10"/>
        </w:rPr>
        <w:t>三是努力推进乡村振兴，为建设美丽乡村添砖加瓦。</w:t>
      </w:r>
      <w:r>
        <w:rPr>
          <w:spacing w:val="-4"/>
        </w:rPr>
        <w:t>农业农</w:t>
      </w:r>
      <w:r>
        <w:rPr>
          <w:spacing w:val="-21"/>
        </w:rPr>
        <w:t>村支出 </w:t>
      </w:r>
      <w:r>
        <w:rPr/>
        <w:t>42418</w:t>
      </w:r>
      <w:r>
        <w:rPr>
          <w:spacing w:val="-15"/>
        </w:rPr>
        <w:t> 万元，农业投入政策有效落实，农村人居环境持续</w:t>
      </w:r>
      <w:r>
        <w:rPr>
          <w:spacing w:val="-13"/>
        </w:rPr>
        <w:t>改善。落实耕地地力保护补贴资金和实际种粮农民一次性补贴资</w:t>
      </w:r>
      <w:r>
        <w:rPr>
          <w:spacing w:val="-34"/>
        </w:rPr>
        <w:t>金共 </w:t>
      </w:r>
      <w:r>
        <w:rPr/>
        <w:t>4121</w:t>
      </w:r>
      <w:r>
        <w:rPr>
          <w:spacing w:val="-14"/>
        </w:rPr>
        <w:t> 万元。落实农机购置补贴 </w:t>
      </w:r>
      <w:r>
        <w:rPr/>
        <w:t>280</w:t>
      </w:r>
      <w:r>
        <w:rPr>
          <w:spacing w:val="-9"/>
        </w:rPr>
        <w:t> 万元。制定《关于增加</w:t>
      </w:r>
      <w:r>
        <w:rPr>
          <w:spacing w:val="-15"/>
        </w:rPr>
        <w:t>县级粮食储备的实施意见》和《县级储备粮入库计划》，落实县</w:t>
      </w:r>
    </w:p>
    <w:p>
      <w:pPr>
        <w:spacing w:after="0" w:line="328" w:lineRule="auto"/>
        <w:jc w:val="both"/>
        <w:sectPr>
          <w:pgSz w:w="11910" w:h="16840"/>
          <w:pgMar w:header="0" w:footer="1917" w:top="1580" w:bottom="2100" w:left="1040" w:right="920"/>
        </w:sectPr>
      </w:pPr>
    </w:p>
    <w:p>
      <w:pPr>
        <w:pStyle w:val="BodyText"/>
        <w:spacing w:before="2"/>
        <w:rPr>
          <w:sz w:val="27"/>
        </w:rPr>
      </w:pPr>
    </w:p>
    <w:p>
      <w:pPr>
        <w:pStyle w:val="BodyText"/>
        <w:spacing w:before="55"/>
        <w:ind w:left="549"/>
      </w:pPr>
      <w:r>
        <w:rPr>
          <w:spacing w:val="-9"/>
        </w:rPr>
        <w:t>级储备粮补贴资金 </w:t>
      </w:r>
      <w:r>
        <w:rPr/>
        <w:t>233</w:t>
      </w:r>
      <w:r>
        <w:rPr>
          <w:spacing w:val="-21"/>
        </w:rPr>
        <w:t> 万元，县级粮食储备增至 </w:t>
      </w:r>
      <w:r>
        <w:rPr/>
        <w:t>15150</w:t>
      </w:r>
      <w:r>
        <w:rPr>
          <w:spacing w:val="-29"/>
        </w:rPr>
        <w:t> 吨。制定</w:t>
      </w:r>
    </w:p>
    <w:p>
      <w:pPr>
        <w:pStyle w:val="BodyText"/>
        <w:spacing w:before="149"/>
        <w:ind w:left="549"/>
      </w:pPr>
      <w:r>
        <w:rPr>
          <w:spacing w:val="-13"/>
        </w:rPr>
        <w:t>《高阳县 </w:t>
      </w:r>
      <w:r>
        <w:rPr/>
        <w:t>2022</w:t>
      </w:r>
      <w:r>
        <w:rPr>
          <w:spacing w:val="-9"/>
        </w:rPr>
        <w:t> 年政策性农业保险业务和保费补贴资金核查实施</w:t>
      </w:r>
    </w:p>
    <w:p>
      <w:pPr>
        <w:pStyle w:val="BodyText"/>
        <w:spacing w:before="149"/>
        <w:ind w:left="549"/>
      </w:pPr>
      <w:r>
        <w:rPr>
          <w:spacing w:val="-15"/>
        </w:rPr>
        <w:t>方案》，落实农险补贴资金 </w:t>
      </w:r>
      <w:r>
        <w:rPr/>
        <w:t>500</w:t>
      </w:r>
      <w:r>
        <w:rPr>
          <w:spacing w:val="-12"/>
        </w:rPr>
        <w:t> 万元。投入财政衔接乡村振兴资</w:t>
      </w:r>
    </w:p>
    <w:p>
      <w:pPr>
        <w:pStyle w:val="BodyText"/>
        <w:spacing w:before="152"/>
        <w:ind w:left="549"/>
      </w:pPr>
      <w:r>
        <w:rPr>
          <w:spacing w:val="-31"/>
        </w:rPr>
        <w:t>金 </w:t>
      </w:r>
      <w:r>
        <w:rPr/>
        <w:t>2152</w:t>
      </w:r>
      <w:r>
        <w:rPr>
          <w:spacing w:val="-9"/>
        </w:rPr>
        <w:t> 万元巩固拓展脱贫攻坚成果同乡村振兴有效衔接。统筹</w:t>
      </w:r>
    </w:p>
    <w:p>
      <w:pPr>
        <w:pStyle w:val="BodyText"/>
        <w:spacing w:before="149"/>
        <w:ind w:left="549"/>
      </w:pPr>
      <w:r>
        <w:rPr>
          <w:spacing w:val="-25"/>
        </w:rPr>
        <w:t>资金 </w:t>
      </w:r>
      <w:r>
        <w:rPr/>
        <w:t>7283</w:t>
      </w:r>
      <w:r>
        <w:rPr>
          <w:spacing w:val="-15"/>
        </w:rPr>
        <w:t> 万元新建高标准农田 </w:t>
      </w:r>
      <w:r>
        <w:rPr/>
        <w:t>3.5</w:t>
      </w:r>
      <w:r>
        <w:rPr>
          <w:spacing w:val="-23"/>
        </w:rPr>
        <w:t> 万亩。投入 </w:t>
      </w:r>
      <w:r>
        <w:rPr/>
        <w:t>340</w:t>
      </w:r>
      <w:r>
        <w:rPr>
          <w:spacing w:val="-14"/>
        </w:rPr>
        <w:t> 万元新改建</w:t>
      </w:r>
    </w:p>
    <w:p>
      <w:pPr>
        <w:pStyle w:val="BodyText"/>
        <w:spacing w:before="149"/>
        <w:ind w:left="549"/>
      </w:pPr>
      <w:r>
        <w:rPr>
          <w:spacing w:val="-10"/>
        </w:rPr>
        <w:t>农村户厕 </w:t>
      </w:r>
      <w:r>
        <w:rPr/>
        <w:t>3000</w:t>
      </w:r>
      <w:r>
        <w:rPr>
          <w:spacing w:val="-17"/>
        </w:rPr>
        <w:t> 座、公厕 </w:t>
      </w:r>
      <w:r>
        <w:rPr/>
        <w:t>42</w:t>
      </w:r>
      <w:r>
        <w:rPr>
          <w:spacing w:val="-17"/>
        </w:rPr>
        <w:t> 座。补贴 </w:t>
      </w:r>
      <w:r>
        <w:rPr/>
        <w:t>828</w:t>
      </w:r>
      <w:r>
        <w:rPr>
          <w:spacing w:val="-8"/>
        </w:rPr>
        <w:t> 万元新改建农村公路</w:t>
      </w:r>
    </w:p>
    <w:p>
      <w:pPr>
        <w:pStyle w:val="BodyText"/>
        <w:spacing w:line="326" w:lineRule="auto" w:before="152"/>
        <w:ind w:left="549" w:right="549"/>
      </w:pPr>
      <w:r>
        <w:rPr/>
        <w:t>22.3</w:t>
      </w:r>
      <w:r>
        <w:rPr>
          <w:spacing w:val="-20"/>
        </w:rPr>
        <w:t> 公里、硬化村庄巷道 </w:t>
      </w:r>
      <w:r>
        <w:rPr/>
        <w:t>55</w:t>
      </w:r>
      <w:r>
        <w:rPr>
          <w:spacing w:val="-17"/>
        </w:rPr>
        <w:t> 万平米。争取债券资金 </w:t>
      </w:r>
      <w:r>
        <w:rPr/>
        <w:t>10000</w:t>
      </w:r>
      <w:r>
        <w:rPr>
          <w:spacing w:val="-27"/>
        </w:rPr>
        <w:t> 万元开展乡村振兴示范片区基础设施建设。</w:t>
      </w:r>
    </w:p>
    <w:p>
      <w:pPr>
        <w:spacing w:line="328" w:lineRule="auto" w:before="3"/>
        <w:ind w:left="549" w:right="549" w:firstLine="643"/>
        <w:jc w:val="left"/>
        <w:rPr>
          <w:sz w:val="32"/>
        </w:rPr>
      </w:pPr>
      <w:r>
        <w:rPr>
          <w:b/>
          <w:spacing w:val="-9"/>
          <w:w w:val="95"/>
          <w:sz w:val="32"/>
        </w:rPr>
        <w:t>四是着力提升社会保障水平，为特殊群体兜底保障。</w:t>
      </w:r>
      <w:r>
        <w:rPr>
          <w:w w:val="95"/>
          <w:sz w:val="32"/>
        </w:rPr>
        <w:t>社会保 </w:t>
      </w:r>
      <w:r>
        <w:rPr>
          <w:spacing w:val="-10"/>
          <w:sz w:val="32"/>
        </w:rPr>
        <w:t>障和就业方面支出 </w:t>
      </w:r>
      <w:r>
        <w:rPr>
          <w:sz w:val="32"/>
        </w:rPr>
        <w:t>34328</w:t>
      </w:r>
      <w:r>
        <w:rPr>
          <w:spacing w:val="-15"/>
          <w:sz w:val="32"/>
        </w:rPr>
        <w:t> 万元，相关政策投入足额保障。落实养</w:t>
      </w:r>
    </w:p>
    <w:p>
      <w:pPr>
        <w:pStyle w:val="BodyText"/>
        <w:spacing w:line="407" w:lineRule="exact"/>
        <w:ind w:left="549"/>
      </w:pPr>
      <w:r>
        <w:rPr>
          <w:spacing w:val="-1"/>
        </w:rPr>
        <w:t>老保险补助资金 </w:t>
      </w:r>
      <w:r>
        <w:rPr/>
        <w:t>8124</w:t>
      </w:r>
      <w:r>
        <w:rPr>
          <w:spacing w:val="-11"/>
        </w:rPr>
        <w:t> 万元，保障全县 </w:t>
      </w:r>
      <w:r>
        <w:rPr/>
        <w:t>8291</w:t>
      </w:r>
      <w:r>
        <w:rPr>
          <w:spacing w:val="-7"/>
        </w:rPr>
        <w:t> 名企业离退休人员</w:t>
      </w:r>
    </w:p>
    <w:p>
      <w:pPr>
        <w:pStyle w:val="BodyText"/>
        <w:spacing w:before="150"/>
        <w:ind w:left="549"/>
      </w:pPr>
      <w:r>
        <w:rPr>
          <w:spacing w:val="-12"/>
        </w:rPr>
        <w:t>养老金待遇，全县城乡居民月人均养老金达到 </w:t>
      </w:r>
      <w:r>
        <w:rPr/>
        <w:t>123</w:t>
      </w:r>
      <w:r>
        <w:rPr>
          <w:spacing w:val="-22"/>
        </w:rPr>
        <w:t> 元。筹措资金</w:t>
      </w:r>
    </w:p>
    <w:p>
      <w:pPr>
        <w:pStyle w:val="BodyText"/>
        <w:spacing w:before="152"/>
        <w:ind w:left="549"/>
      </w:pPr>
      <w:r>
        <w:rPr/>
        <w:t>8536 万元，确保优抚对象、困难群众和救助补助等待遇政策及</w:t>
      </w:r>
    </w:p>
    <w:p>
      <w:pPr>
        <w:pStyle w:val="BodyText"/>
        <w:spacing w:before="149"/>
        <w:ind w:left="549"/>
      </w:pPr>
      <w:r>
        <w:rPr>
          <w:spacing w:val="-12"/>
        </w:rPr>
        <w:t>时足额落实。其中，发放退役人员安置资金 </w:t>
      </w:r>
      <w:r>
        <w:rPr/>
        <w:t>382</w:t>
      </w:r>
      <w:r>
        <w:rPr>
          <w:spacing w:val="-17"/>
        </w:rPr>
        <w:t> 万元、义务兵家</w:t>
      </w:r>
    </w:p>
    <w:p>
      <w:pPr>
        <w:pStyle w:val="BodyText"/>
        <w:spacing w:before="149"/>
        <w:ind w:left="549"/>
      </w:pPr>
      <w:r>
        <w:rPr>
          <w:spacing w:val="-15"/>
        </w:rPr>
        <w:t>庭优待金 </w:t>
      </w:r>
      <w:r>
        <w:rPr/>
        <w:t>478</w:t>
      </w:r>
      <w:r>
        <w:rPr>
          <w:spacing w:val="-14"/>
        </w:rPr>
        <w:t> 万元、优抚人员生活补助 </w:t>
      </w:r>
      <w:r>
        <w:rPr/>
        <w:t>1851</w:t>
      </w:r>
      <w:r>
        <w:rPr>
          <w:spacing w:val="-10"/>
        </w:rPr>
        <w:t> 万元、优抚对象医</w:t>
      </w:r>
    </w:p>
    <w:p>
      <w:pPr>
        <w:pStyle w:val="BodyText"/>
        <w:spacing w:before="152"/>
        <w:ind w:left="549"/>
      </w:pPr>
      <w:r>
        <w:rPr>
          <w:spacing w:val="-18"/>
        </w:rPr>
        <w:t>疗补助 </w:t>
      </w:r>
      <w:r>
        <w:rPr/>
        <w:t>126</w:t>
      </w:r>
      <w:r>
        <w:rPr>
          <w:spacing w:val="-13"/>
        </w:rPr>
        <w:t> 万元、城乡居民最低生活保障 </w:t>
      </w:r>
      <w:r>
        <w:rPr/>
        <w:t>1638</w:t>
      </w:r>
      <w:r>
        <w:rPr>
          <w:spacing w:val="-11"/>
        </w:rPr>
        <w:t> 万元、特困人员</w:t>
      </w:r>
    </w:p>
    <w:p>
      <w:pPr>
        <w:pStyle w:val="BodyText"/>
        <w:spacing w:before="149"/>
        <w:ind w:left="549"/>
      </w:pPr>
      <w:r>
        <w:rPr>
          <w:spacing w:val="-13"/>
        </w:rPr>
        <w:t>救助供养 </w:t>
      </w:r>
      <w:r>
        <w:rPr/>
        <w:t>1187</w:t>
      </w:r>
      <w:r>
        <w:rPr>
          <w:spacing w:val="-9"/>
        </w:rPr>
        <w:t> 万元、困难残疾人生活补贴和重度残疾人护理补</w:t>
      </w:r>
    </w:p>
    <w:p>
      <w:pPr>
        <w:pStyle w:val="BodyText"/>
        <w:spacing w:before="149"/>
        <w:ind w:left="549"/>
      </w:pPr>
      <w:r>
        <w:rPr>
          <w:spacing w:val="-15"/>
        </w:rPr>
        <w:t>贴 </w:t>
      </w:r>
      <w:r>
        <w:rPr/>
        <w:t>273</w:t>
      </w:r>
      <w:r>
        <w:rPr>
          <w:spacing w:val="-8"/>
        </w:rPr>
        <w:t> 万元、赤脚医生养老补助 </w:t>
      </w:r>
      <w:r>
        <w:rPr/>
        <w:t>217</w:t>
      </w:r>
      <w:r>
        <w:rPr>
          <w:spacing w:val="-6"/>
        </w:rPr>
        <w:t> 万元、流浪乞讨人员救助</w:t>
      </w:r>
    </w:p>
    <w:p>
      <w:pPr>
        <w:pStyle w:val="BodyText"/>
        <w:spacing w:before="152"/>
        <w:ind w:left="549"/>
      </w:pPr>
      <w:r>
        <w:rPr/>
        <w:t>147</w:t>
      </w:r>
      <w:r>
        <w:rPr>
          <w:spacing w:val="-19"/>
        </w:rPr>
        <w:t> 万元、孤儿生活补助 </w:t>
      </w:r>
      <w:r>
        <w:rPr/>
        <w:t>81</w:t>
      </w:r>
      <w:r>
        <w:rPr>
          <w:spacing w:val="-17"/>
        </w:rPr>
        <w:t> 万元、优抚对象医疗补助 </w:t>
      </w:r>
      <w:r>
        <w:rPr/>
        <w:t>126</w:t>
      </w:r>
      <w:r>
        <w:rPr>
          <w:spacing w:val="-21"/>
        </w:rPr>
        <w:t> 万元、</w:t>
      </w:r>
    </w:p>
    <w:p>
      <w:pPr>
        <w:pStyle w:val="BodyText"/>
        <w:spacing w:before="149"/>
        <w:ind w:left="549"/>
      </w:pPr>
      <w:r>
        <w:rPr>
          <w:spacing w:val="-10"/>
        </w:rPr>
        <w:t>高龄老人津贴 </w:t>
      </w:r>
      <w:r>
        <w:rPr/>
        <w:t>251</w:t>
      </w:r>
      <w:r>
        <w:rPr>
          <w:spacing w:val="-13"/>
        </w:rPr>
        <w:t> 万元、农机员农技员基层兽医补助资金 </w:t>
      </w:r>
      <w:r>
        <w:rPr/>
        <w:t>66</w:t>
      </w:r>
      <w:r>
        <w:rPr>
          <w:spacing w:val="-37"/>
        </w:rPr>
        <w:t> 万</w:t>
      </w:r>
    </w:p>
    <w:p>
      <w:pPr>
        <w:pStyle w:val="BodyText"/>
        <w:spacing w:before="150"/>
        <w:ind w:left="549"/>
      </w:pPr>
      <w:r>
        <w:rPr>
          <w:spacing w:val="-14"/>
        </w:rPr>
        <w:t>元。投入惠民医疗救助资金 </w:t>
      </w:r>
      <w:r>
        <w:rPr/>
        <w:t>602</w:t>
      </w:r>
      <w:r>
        <w:rPr>
          <w:spacing w:val="-13"/>
        </w:rPr>
        <w:t> 万元，专项用于低保对象等困难</w:t>
      </w:r>
    </w:p>
    <w:p>
      <w:pPr>
        <w:pStyle w:val="BodyText"/>
        <w:spacing w:before="151"/>
        <w:ind w:left="549"/>
      </w:pPr>
      <w:r>
        <w:rPr>
          <w:spacing w:val="-3"/>
        </w:rPr>
        <w:t>群众医药费、床位费减免项目补助。投入就业补助资金 </w:t>
      </w:r>
      <w:r>
        <w:rPr/>
        <w:t>1111</w:t>
      </w:r>
      <w:r>
        <w:rPr>
          <w:spacing w:val="-32"/>
        </w:rPr>
        <w:t> 万</w:t>
      </w:r>
    </w:p>
    <w:p>
      <w:pPr>
        <w:spacing w:after="0"/>
        <w:sectPr>
          <w:pgSz w:w="11910" w:h="16840"/>
          <w:pgMar w:header="0" w:footer="1917" w:top="1580" w:bottom="2100" w:left="1040" w:right="920"/>
        </w:sectPr>
      </w:pPr>
    </w:p>
    <w:p>
      <w:pPr>
        <w:pStyle w:val="BodyText"/>
        <w:spacing w:before="2"/>
        <w:rPr>
          <w:sz w:val="27"/>
        </w:rPr>
      </w:pPr>
    </w:p>
    <w:p>
      <w:pPr>
        <w:pStyle w:val="BodyText"/>
        <w:spacing w:line="326" w:lineRule="auto" w:before="55"/>
        <w:ind w:left="549" w:right="552"/>
      </w:pPr>
      <w:r>
        <w:rPr>
          <w:spacing w:val="-12"/>
        </w:rPr>
        <w:t>元，惠及 </w:t>
      </w:r>
      <w:r>
        <w:rPr/>
        <w:t>2031</w:t>
      </w:r>
      <w:r>
        <w:rPr>
          <w:spacing w:val="-9"/>
        </w:rPr>
        <w:t> 人次，落实就业补贴政策，推动孵化基地和服务</w:t>
      </w:r>
      <w:r>
        <w:rPr/>
        <w:t>平台建设。</w:t>
      </w:r>
    </w:p>
    <w:p>
      <w:pPr>
        <w:pStyle w:val="ListParagraph"/>
        <w:numPr>
          <w:ilvl w:val="2"/>
          <w:numId w:val="2"/>
        </w:numPr>
        <w:tabs>
          <w:tab w:pos="1514" w:val="left" w:leader="none"/>
        </w:tabs>
        <w:spacing w:line="328" w:lineRule="auto" w:before="3" w:after="0"/>
        <w:ind w:left="549" w:right="547" w:firstLine="643"/>
        <w:jc w:val="left"/>
        <w:rPr>
          <w:sz w:val="32"/>
        </w:rPr>
      </w:pPr>
      <w:r>
        <w:rPr>
          <w:b/>
          <w:spacing w:val="-11"/>
          <w:w w:val="95"/>
          <w:sz w:val="32"/>
        </w:rPr>
        <w:t>统筹安排财政资金，推动社会各项事业全面发展。</w:t>
      </w:r>
      <w:r>
        <w:rPr>
          <w:w w:val="95"/>
          <w:sz w:val="32"/>
        </w:rPr>
        <w:t>财政政 </w:t>
      </w:r>
      <w:r>
        <w:rPr>
          <w:sz w:val="32"/>
        </w:rPr>
        <w:t>策提质增效，精准发力，狠抓落实，加力投资，稳定经济。</w:t>
      </w:r>
    </w:p>
    <w:p>
      <w:pPr>
        <w:spacing w:line="328" w:lineRule="auto" w:before="0"/>
        <w:ind w:left="549" w:right="549" w:firstLine="643"/>
        <w:jc w:val="both"/>
        <w:rPr>
          <w:sz w:val="32"/>
        </w:rPr>
      </w:pPr>
      <w:r>
        <w:rPr>
          <w:b/>
          <w:spacing w:val="-14"/>
          <w:w w:val="95"/>
          <w:sz w:val="32"/>
        </w:rPr>
        <w:t>一是一以贯之，创新城、抓建设，规划引领实现城市风貌换 </w:t>
      </w:r>
      <w:r>
        <w:rPr>
          <w:b/>
          <w:spacing w:val="-23"/>
          <w:sz w:val="32"/>
        </w:rPr>
        <w:t>新颜。</w:t>
      </w:r>
      <w:r>
        <w:rPr>
          <w:spacing w:val="-8"/>
          <w:sz w:val="32"/>
        </w:rPr>
        <w:t>财政投入城市建设资金 </w:t>
      </w:r>
      <w:r>
        <w:rPr>
          <w:sz w:val="32"/>
        </w:rPr>
        <w:t>166489</w:t>
      </w:r>
      <w:r>
        <w:rPr>
          <w:spacing w:val="-24"/>
          <w:sz w:val="32"/>
        </w:rPr>
        <w:t> 万元，涉及项目 </w:t>
      </w:r>
      <w:r>
        <w:rPr>
          <w:sz w:val="32"/>
        </w:rPr>
        <w:t>57</w:t>
      </w:r>
      <w:r>
        <w:rPr>
          <w:spacing w:val="-32"/>
          <w:sz w:val="32"/>
        </w:rPr>
        <w:t> 个，助</w:t>
      </w:r>
      <w:r>
        <w:rPr>
          <w:spacing w:val="-21"/>
          <w:sz w:val="32"/>
        </w:rPr>
        <w:t>力擦亮省级文明县城、省级卫生县城、省级园林县城、省级森林</w:t>
      </w:r>
      <w:r>
        <w:rPr>
          <w:spacing w:val="-23"/>
          <w:w w:val="95"/>
          <w:sz w:val="32"/>
        </w:rPr>
        <w:t>城市、省级洁净城市“五张城市金名片”。其中债券资金共</w:t>
      </w:r>
      <w:r>
        <w:rPr>
          <w:w w:val="95"/>
          <w:sz w:val="32"/>
        </w:rPr>
        <w:t>126000</w:t>
      </w:r>
    </w:p>
    <w:p>
      <w:pPr>
        <w:pStyle w:val="BodyText"/>
        <w:spacing w:line="403" w:lineRule="exact"/>
        <w:ind w:left="549"/>
      </w:pPr>
      <w:r>
        <w:rPr>
          <w:spacing w:val="-33"/>
        </w:rPr>
        <w:t>万元，涉及到 </w:t>
      </w:r>
      <w:r>
        <w:rPr/>
        <w:t>8</w:t>
      </w:r>
      <w:r>
        <w:rPr>
          <w:spacing w:val="-16"/>
        </w:rPr>
        <w:t> 个项目，全力支持县城建设样板培育试点县工作。</w:t>
      </w:r>
    </w:p>
    <w:p>
      <w:pPr>
        <w:pStyle w:val="BodyText"/>
        <w:spacing w:before="149"/>
        <w:ind w:left="549"/>
      </w:pPr>
      <w:r>
        <w:rPr>
          <w:spacing w:val="-25"/>
        </w:rPr>
        <w:t>投入 </w:t>
      </w:r>
      <w:r>
        <w:rPr/>
        <w:t>12023</w:t>
      </w:r>
      <w:r>
        <w:rPr>
          <w:spacing w:val="-14"/>
        </w:rPr>
        <w:t> 万元用于城中村改造，投入 </w:t>
      </w:r>
      <w:r>
        <w:rPr/>
        <w:t>8150</w:t>
      </w:r>
      <w:r>
        <w:rPr>
          <w:spacing w:val="-10"/>
        </w:rPr>
        <w:t> 万元支持城镇保障</w:t>
      </w:r>
    </w:p>
    <w:p>
      <w:pPr>
        <w:pStyle w:val="BodyText"/>
        <w:spacing w:before="149"/>
        <w:ind w:left="549"/>
      </w:pPr>
      <w:r>
        <w:rPr>
          <w:spacing w:val="-19"/>
        </w:rPr>
        <w:t>安居工程，投入 </w:t>
      </w:r>
      <w:r>
        <w:rPr/>
        <w:t>4341</w:t>
      </w:r>
      <w:r>
        <w:rPr>
          <w:spacing w:val="-28"/>
        </w:rPr>
        <w:t> 万元完成 </w:t>
      </w:r>
      <w:r>
        <w:rPr/>
        <w:t>25</w:t>
      </w:r>
      <w:r>
        <w:rPr>
          <w:spacing w:val="-13"/>
        </w:rPr>
        <w:t> 个老旧小区改造。申请债券资</w:t>
      </w:r>
    </w:p>
    <w:p>
      <w:pPr>
        <w:pStyle w:val="BodyText"/>
        <w:spacing w:before="149"/>
        <w:ind w:left="549"/>
      </w:pPr>
      <w:r>
        <w:rPr>
          <w:spacing w:val="-31"/>
        </w:rPr>
        <w:t>金 </w:t>
      </w:r>
      <w:r>
        <w:rPr/>
        <w:t>8900</w:t>
      </w:r>
      <w:r>
        <w:rPr>
          <w:spacing w:val="-9"/>
        </w:rPr>
        <w:t> 万元用于县城区重点道路基础设施建设，投入债券资金</w:t>
      </w:r>
    </w:p>
    <w:p>
      <w:pPr>
        <w:pStyle w:val="BodyText"/>
        <w:spacing w:before="152"/>
        <w:ind w:left="549"/>
      </w:pPr>
      <w:r>
        <w:rPr/>
        <w:t>2580 万元新建 4 条城乡道路。</w:t>
      </w:r>
    </w:p>
    <w:p>
      <w:pPr>
        <w:spacing w:line="328" w:lineRule="auto" w:before="149"/>
        <w:ind w:left="549" w:right="511" w:firstLine="643"/>
        <w:jc w:val="both"/>
        <w:rPr>
          <w:sz w:val="32"/>
        </w:rPr>
      </w:pPr>
      <w:r>
        <w:rPr>
          <w:b/>
          <w:spacing w:val="-14"/>
          <w:sz w:val="32"/>
        </w:rPr>
        <w:t>二是久久为功，优生态、防污染，碧水蓝天筑牢雄安生态屏障。</w:t>
      </w:r>
      <w:r>
        <w:rPr>
          <w:spacing w:val="-14"/>
          <w:sz w:val="32"/>
        </w:rPr>
        <w:t>2022 年争取省级白洋淀流域生态环境治理资金 </w:t>
      </w:r>
      <w:r>
        <w:rPr>
          <w:sz w:val="32"/>
        </w:rPr>
        <w:t>8839</w:t>
      </w:r>
      <w:r>
        <w:rPr>
          <w:spacing w:val="-25"/>
          <w:sz w:val="32"/>
        </w:rPr>
        <w:t> 万元， </w:t>
      </w:r>
      <w:r>
        <w:rPr>
          <w:spacing w:val="-10"/>
          <w:sz w:val="32"/>
        </w:rPr>
        <w:t>用于水生态治理，推动孝义河生态修复、蒲口渠系环境整治等涉</w:t>
      </w:r>
      <w:r>
        <w:rPr>
          <w:spacing w:val="-26"/>
          <w:sz w:val="32"/>
        </w:rPr>
        <w:t>水项目加速施工。投资 </w:t>
      </w:r>
      <w:r>
        <w:rPr>
          <w:sz w:val="32"/>
        </w:rPr>
        <w:t>11155</w:t>
      </w:r>
      <w:r>
        <w:rPr>
          <w:spacing w:val="-10"/>
          <w:sz w:val="32"/>
        </w:rPr>
        <w:t> 万元的庞口镇镇区生活污水综合治</w:t>
      </w:r>
    </w:p>
    <w:p>
      <w:pPr>
        <w:pStyle w:val="BodyText"/>
        <w:spacing w:line="402" w:lineRule="exact"/>
        <w:ind w:left="549"/>
      </w:pPr>
      <w:r>
        <w:rPr/>
        <w:t>理工程加快推进，总投资 130146 万元的环城水系工程强势开篇，</w:t>
      </w:r>
    </w:p>
    <w:p>
      <w:pPr>
        <w:pStyle w:val="BodyText"/>
        <w:spacing w:before="153"/>
        <w:ind w:left="549"/>
      </w:pPr>
      <w:r>
        <w:rPr>
          <w:spacing w:val="-7"/>
        </w:rPr>
        <w:t>拨付污水处理资金 </w:t>
      </w:r>
      <w:r>
        <w:rPr/>
        <w:t>11310</w:t>
      </w:r>
      <w:r>
        <w:rPr>
          <w:spacing w:val="-9"/>
        </w:rPr>
        <w:t> 万元，入淀河流水质稳定达到</w:t>
      </w:r>
      <w:r>
        <w:rPr/>
        <w:t>III类。</w:t>
      </w:r>
    </w:p>
    <w:p>
      <w:pPr>
        <w:pStyle w:val="BodyText"/>
        <w:spacing w:before="149"/>
        <w:ind w:left="549"/>
      </w:pPr>
      <w:r>
        <w:rPr>
          <w:spacing w:val="-13"/>
        </w:rPr>
        <w:t>筹措资金 </w:t>
      </w:r>
      <w:r>
        <w:rPr/>
        <w:t>6000</w:t>
      </w:r>
      <w:r>
        <w:rPr>
          <w:spacing w:val="-9"/>
        </w:rPr>
        <w:t> 万元用于江水置换、自备井关停，地下水水位持</w:t>
      </w:r>
    </w:p>
    <w:p>
      <w:pPr>
        <w:pStyle w:val="BodyText"/>
        <w:spacing w:before="149"/>
        <w:ind w:left="549"/>
      </w:pPr>
      <w:r>
        <w:rPr>
          <w:spacing w:val="-5"/>
        </w:rPr>
        <w:t>续回升。投入大气污染防治资金 </w:t>
      </w:r>
      <w:r>
        <w:rPr/>
        <w:t>6224</w:t>
      </w:r>
      <w:r>
        <w:rPr>
          <w:spacing w:val="-8"/>
        </w:rPr>
        <w:t> 万元，农村“双代”补贴</w:t>
      </w:r>
    </w:p>
    <w:p>
      <w:pPr>
        <w:pStyle w:val="BodyText"/>
        <w:spacing w:before="152"/>
        <w:ind w:left="549"/>
      </w:pPr>
      <w:r>
        <w:rPr/>
        <w:t>4878</w:t>
      </w:r>
      <w:r>
        <w:rPr>
          <w:spacing w:val="-15"/>
        </w:rPr>
        <w:t> 万元，全年空气质量优良天数同比增加 </w:t>
      </w:r>
      <w:r>
        <w:rPr/>
        <w:t>23</w:t>
      </w:r>
      <w:r>
        <w:rPr>
          <w:spacing w:val="-14"/>
        </w:rPr>
        <w:t> 天，综合指数创</w:t>
      </w:r>
    </w:p>
    <w:p>
      <w:pPr>
        <w:spacing w:after="0"/>
        <w:sectPr>
          <w:pgSz w:w="11910" w:h="16840"/>
          <w:pgMar w:header="0" w:footer="1917" w:top="1580" w:bottom="2100" w:left="1040" w:right="920"/>
        </w:sectPr>
      </w:pPr>
    </w:p>
    <w:p>
      <w:pPr>
        <w:pStyle w:val="BodyText"/>
        <w:spacing w:before="2"/>
        <w:rPr>
          <w:sz w:val="27"/>
        </w:rPr>
      </w:pPr>
    </w:p>
    <w:p>
      <w:pPr>
        <w:pStyle w:val="BodyText"/>
        <w:spacing w:before="55"/>
        <w:ind w:left="549"/>
      </w:pPr>
      <w:r>
        <w:rPr/>
        <w:t>有监测记录以来最好水平。投入 3067 万元开展生态绿廊建设，</w:t>
      </w:r>
    </w:p>
    <w:p>
      <w:pPr>
        <w:pStyle w:val="BodyText"/>
        <w:spacing w:before="149"/>
        <w:ind w:left="549"/>
      </w:pPr>
      <w:r>
        <w:rPr>
          <w:spacing w:val="-17"/>
        </w:rPr>
        <w:t>义务植树 </w:t>
      </w:r>
      <w:r>
        <w:rPr/>
        <w:t>45.6</w:t>
      </w:r>
      <w:r>
        <w:rPr>
          <w:spacing w:val="-20"/>
        </w:rPr>
        <w:t> 万株、人工造林 </w:t>
      </w:r>
      <w:r>
        <w:rPr/>
        <w:t>300</w:t>
      </w:r>
      <w:r>
        <w:rPr>
          <w:spacing w:val="-20"/>
        </w:rPr>
        <w:t> 余亩、森林抚育 </w:t>
      </w:r>
      <w:r>
        <w:rPr/>
        <w:t>4600</w:t>
      </w:r>
      <w:r>
        <w:rPr>
          <w:spacing w:val="-21"/>
        </w:rPr>
        <w:t> 余亩。</w:t>
      </w:r>
    </w:p>
    <w:p>
      <w:pPr>
        <w:pStyle w:val="BodyText"/>
        <w:spacing w:line="328" w:lineRule="auto" w:before="149"/>
        <w:ind w:left="549" w:right="553"/>
      </w:pPr>
      <w:r>
        <w:rPr>
          <w:spacing w:val="-21"/>
        </w:rPr>
        <w:t>投入 </w:t>
      </w:r>
      <w:r>
        <w:rPr/>
        <w:t>4717</w:t>
      </w:r>
      <w:r>
        <w:rPr>
          <w:spacing w:val="-9"/>
        </w:rPr>
        <w:t> 万元实施绿化市场化管理，切实巩固省级森林城市创</w:t>
      </w:r>
      <w:r>
        <w:rPr/>
        <w:t>建成果，生态系统碳汇能力持续提升。</w:t>
      </w:r>
    </w:p>
    <w:p>
      <w:pPr>
        <w:spacing w:line="326" w:lineRule="auto" w:before="0"/>
        <w:ind w:left="549" w:right="547" w:firstLine="643"/>
        <w:jc w:val="left"/>
        <w:rPr>
          <w:sz w:val="32"/>
        </w:rPr>
      </w:pPr>
      <w:r>
        <w:rPr>
          <w:b/>
          <w:spacing w:val="-14"/>
          <w:w w:val="95"/>
          <w:sz w:val="32"/>
        </w:rPr>
        <w:t>三是多点投入，保产业、促提升，数字赋能助力经济转型升 </w:t>
      </w:r>
      <w:r>
        <w:rPr>
          <w:b/>
          <w:spacing w:val="-14"/>
          <w:sz w:val="32"/>
        </w:rPr>
        <w:t>级</w:t>
      </w:r>
      <w:r>
        <w:rPr>
          <w:spacing w:val="-15"/>
          <w:sz w:val="32"/>
        </w:rPr>
        <w:t>。投入企业奖励资金 </w:t>
      </w:r>
      <w:r>
        <w:rPr>
          <w:sz w:val="32"/>
        </w:rPr>
        <w:t>82</w:t>
      </w:r>
      <w:r>
        <w:rPr>
          <w:spacing w:val="-20"/>
          <w:sz w:val="32"/>
        </w:rPr>
        <w:t> 万元、产业扶持资金 </w:t>
      </w:r>
      <w:r>
        <w:rPr>
          <w:sz w:val="32"/>
        </w:rPr>
        <w:t>58</w:t>
      </w:r>
      <w:r>
        <w:rPr>
          <w:spacing w:val="-20"/>
          <w:sz w:val="32"/>
        </w:rPr>
        <w:t> 万元、支持企</w:t>
      </w:r>
    </w:p>
    <w:p>
      <w:pPr>
        <w:pStyle w:val="BodyText"/>
        <w:spacing w:before="4"/>
        <w:ind w:left="549"/>
      </w:pPr>
      <w:r>
        <w:rPr>
          <w:spacing w:val="-14"/>
        </w:rPr>
        <w:t>业发展资金 </w:t>
      </w:r>
      <w:r>
        <w:rPr/>
        <w:t>157</w:t>
      </w:r>
      <w:r>
        <w:rPr>
          <w:spacing w:val="-23"/>
        </w:rPr>
        <w:t> 万元、企业技改资金 </w:t>
      </w:r>
      <w:r>
        <w:rPr/>
        <w:t>668</w:t>
      </w:r>
      <w:r>
        <w:rPr>
          <w:spacing w:val="-16"/>
        </w:rPr>
        <w:t> 万元，支持中小企业发</w:t>
      </w:r>
    </w:p>
    <w:p>
      <w:pPr>
        <w:pStyle w:val="BodyText"/>
        <w:spacing w:before="149"/>
        <w:ind w:left="549"/>
      </w:pPr>
      <w:r>
        <w:rPr>
          <w:spacing w:val="-14"/>
        </w:rPr>
        <w:t>展壮大，加快淘汰落后产能，推进企业升级改造。投入 </w:t>
      </w:r>
      <w:r>
        <w:rPr/>
        <w:t>248</w:t>
      </w:r>
      <w:r>
        <w:rPr>
          <w:spacing w:val="-29"/>
        </w:rPr>
        <w:t> 万元</w:t>
      </w:r>
    </w:p>
    <w:p>
      <w:pPr>
        <w:pStyle w:val="BodyText"/>
        <w:spacing w:before="149"/>
        <w:ind w:left="549"/>
      </w:pPr>
      <w:r>
        <w:rPr>
          <w:spacing w:val="-17"/>
        </w:rPr>
        <w:t>开展开发区区域评估。投入 </w:t>
      </w:r>
      <w:r>
        <w:rPr/>
        <w:t>921</w:t>
      </w:r>
      <w:r>
        <w:rPr>
          <w:spacing w:val="-10"/>
        </w:rPr>
        <w:t> 万元支持高阳循环经济示范区建</w:t>
      </w:r>
    </w:p>
    <w:p>
      <w:pPr>
        <w:pStyle w:val="BodyText"/>
        <w:spacing w:line="328" w:lineRule="auto" w:before="152"/>
        <w:ind w:left="549" w:right="550"/>
        <w:jc w:val="both"/>
      </w:pPr>
      <w:r>
        <w:rPr>
          <w:spacing w:val="-7"/>
        </w:rPr>
        <w:t>设。投入债券资金 </w:t>
      </w:r>
      <w:r>
        <w:rPr/>
        <w:t>1000</w:t>
      </w:r>
      <w:r>
        <w:rPr>
          <w:spacing w:val="-9"/>
        </w:rPr>
        <w:t> 万元支持庞佐工业园区基础设施及配套建设。支持召开高阳县产业数字化创新发展大会暨中国</w:t>
      </w:r>
      <w:r>
        <w:rPr>
          <w:rFonts w:ascii="宋体" w:hAnsi="宋体" w:eastAsia="宋体" w:hint="eastAsia"/>
        </w:rPr>
        <w:t>•</w:t>
      </w:r>
      <w:r>
        <w:rPr>
          <w:spacing w:val="1"/>
        </w:rPr>
        <w:t>高阳毛</w:t>
      </w:r>
      <w:r>
        <w:rPr>
          <w:spacing w:val="6"/>
          <w:w w:val="95"/>
        </w:rPr>
        <w:t>巾数字狂欢季启动仪式，推进产业数字化和数字产业化深度融 </w:t>
      </w:r>
      <w:r>
        <w:rPr>
          <w:spacing w:val="6"/>
        </w:rPr>
        <w:t>合，打造数字经济引领区和数字动能增长极。</w:t>
      </w:r>
    </w:p>
    <w:p>
      <w:pPr>
        <w:spacing w:line="326" w:lineRule="auto" w:before="0"/>
        <w:ind w:left="549" w:right="547" w:firstLine="645"/>
        <w:jc w:val="left"/>
        <w:rPr>
          <w:sz w:val="32"/>
        </w:rPr>
      </w:pPr>
      <w:r>
        <w:rPr>
          <w:b/>
          <w:spacing w:val="-11"/>
          <w:w w:val="95"/>
          <w:sz w:val="32"/>
        </w:rPr>
        <w:t>四是深挖历史，打基础、促融合，推动文旅新发展</w:t>
      </w:r>
      <w:r>
        <w:rPr>
          <w:spacing w:val="-10"/>
          <w:w w:val="95"/>
          <w:sz w:val="32"/>
        </w:rPr>
        <w:t>。一般公 </w:t>
      </w:r>
      <w:r>
        <w:rPr>
          <w:spacing w:val="-14"/>
          <w:sz w:val="32"/>
        </w:rPr>
        <w:t>共预算文化旅游体育与传媒支出 </w:t>
      </w:r>
      <w:r>
        <w:rPr>
          <w:sz w:val="32"/>
        </w:rPr>
        <w:t>9719</w:t>
      </w:r>
      <w:r>
        <w:rPr>
          <w:spacing w:val="-8"/>
          <w:sz w:val="32"/>
        </w:rPr>
        <w:t> 万元、争取专项债券资金</w:t>
      </w:r>
    </w:p>
    <w:p>
      <w:pPr>
        <w:pStyle w:val="BodyText"/>
        <w:spacing w:line="328" w:lineRule="auto"/>
        <w:ind w:left="549" w:right="391"/>
      </w:pPr>
      <w:r>
        <w:rPr/>
        <w:t>8700 万元，支持维护、修缮布里留法工艺学校旧址、高蠡暴动</w:t>
      </w:r>
      <w:r>
        <w:rPr>
          <w:spacing w:val="-17"/>
        </w:rPr>
        <w:t>纪念馆，建设便民步道和旅游基础设施等项目；挖掘历史、纺织、</w:t>
      </w:r>
      <w:r>
        <w:rPr>
          <w:spacing w:val="-10"/>
        </w:rPr>
        <w:t>红色、戏曲等特色文化内涵，高标建设红色旅游、商贸旅游、工</w:t>
      </w:r>
      <w:r>
        <w:rPr>
          <w:spacing w:val="-14"/>
        </w:rPr>
        <w:t>业旅游、生态旅游等精品线路，打造京津冀旅游目的地和雄安新区后花园。</w:t>
      </w:r>
    </w:p>
    <w:p>
      <w:pPr>
        <w:spacing w:line="328" w:lineRule="auto" w:before="0"/>
        <w:ind w:left="549" w:right="403" w:firstLine="643"/>
        <w:jc w:val="left"/>
        <w:rPr>
          <w:sz w:val="32"/>
        </w:rPr>
      </w:pPr>
      <w:r>
        <w:rPr>
          <w:b/>
          <w:sz w:val="32"/>
        </w:rPr>
        <w:t>五是助力基层，建队伍、抓管理，推进社会治理创新局面。</w:t>
      </w:r>
      <w:r>
        <w:rPr>
          <w:sz w:val="32"/>
        </w:rPr>
        <w:t>支持“四项机制”工作推动落实，投入 2850 万元用于村干部基</w:t>
      </w:r>
    </w:p>
    <w:p>
      <w:pPr>
        <w:spacing w:after="0" w:line="328" w:lineRule="auto"/>
        <w:jc w:val="left"/>
        <w:rPr>
          <w:sz w:val="32"/>
        </w:rPr>
        <w:sectPr>
          <w:pgSz w:w="11910" w:h="16840"/>
          <w:pgMar w:header="0" w:footer="1917" w:top="1580" w:bottom="2100" w:left="1040" w:right="920"/>
        </w:sectPr>
      </w:pPr>
    </w:p>
    <w:p>
      <w:pPr>
        <w:pStyle w:val="BodyText"/>
        <w:spacing w:before="2"/>
        <w:rPr>
          <w:sz w:val="27"/>
        </w:rPr>
      </w:pPr>
    </w:p>
    <w:p>
      <w:pPr>
        <w:pStyle w:val="BodyText"/>
        <w:spacing w:line="326" w:lineRule="auto" w:before="55"/>
        <w:ind w:left="549" w:right="387"/>
        <w:jc w:val="both"/>
      </w:pPr>
      <w:r>
        <w:rPr>
          <w:spacing w:val="-7"/>
        </w:rPr>
        <w:t>础职务补贴和正常离任干部职务补贴，保障基层组织运转；投入230</w:t>
      </w:r>
      <w:r>
        <w:rPr>
          <w:spacing w:val="-17"/>
        </w:rPr>
        <w:t> 万元，支持人才工作；安排 </w:t>
      </w:r>
      <w:r>
        <w:rPr/>
        <w:t>85</w:t>
      </w:r>
      <w:r>
        <w:rPr>
          <w:spacing w:val="-11"/>
        </w:rPr>
        <w:t> 万元，招聘基层社区工作者，</w:t>
      </w:r>
    </w:p>
    <w:p>
      <w:pPr>
        <w:pStyle w:val="BodyText"/>
        <w:spacing w:before="3"/>
        <w:ind w:left="549"/>
        <w:jc w:val="both"/>
      </w:pPr>
      <w:r>
        <w:rPr>
          <w:spacing w:val="-5"/>
        </w:rPr>
        <w:t>加强基层队伍建设。投入 </w:t>
      </w:r>
      <w:r>
        <w:rPr/>
        <w:t>1056</w:t>
      </w:r>
      <w:r>
        <w:rPr>
          <w:spacing w:val="-9"/>
        </w:rPr>
        <w:t> 万元支持消防救援事务，庞口消</w:t>
      </w:r>
    </w:p>
    <w:p>
      <w:pPr>
        <w:pStyle w:val="BodyText"/>
        <w:spacing w:line="326" w:lineRule="auto" w:before="151"/>
        <w:ind w:left="549" w:right="550"/>
        <w:jc w:val="both"/>
      </w:pPr>
      <w:r>
        <w:rPr>
          <w:spacing w:val="-6"/>
        </w:rPr>
        <w:t>防站建成投用。投入 </w:t>
      </w:r>
      <w:r>
        <w:rPr/>
        <w:t>8049</w:t>
      </w:r>
      <w:r>
        <w:rPr>
          <w:spacing w:val="-8"/>
        </w:rPr>
        <w:t> 万元，保障公安事业发展，严厉打击</w:t>
      </w:r>
      <w:r>
        <w:rPr>
          <w:spacing w:val="-11"/>
        </w:rPr>
        <w:t>各类违法犯罪行为，全县 </w:t>
      </w:r>
      <w:r>
        <w:rPr/>
        <w:t>110</w:t>
      </w:r>
      <w:r>
        <w:rPr>
          <w:spacing w:val="-16"/>
        </w:rPr>
        <w:t> 警情下降 </w:t>
      </w:r>
      <w:r>
        <w:rPr/>
        <w:t>36.54%，盗抢骗警情下</w:t>
      </w:r>
      <w:r>
        <w:rPr>
          <w:spacing w:val="-40"/>
        </w:rPr>
        <w:t>降 </w:t>
      </w:r>
      <w:r>
        <w:rPr/>
        <w:t>57.1%，社会和谐稳定局面持续巩固。</w:t>
      </w:r>
    </w:p>
    <w:p>
      <w:pPr>
        <w:pStyle w:val="ListParagraph"/>
        <w:numPr>
          <w:ilvl w:val="2"/>
          <w:numId w:val="2"/>
        </w:numPr>
        <w:tabs>
          <w:tab w:pos="1514" w:val="left" w:leader="none"/>
        </w:tabs>
        <w:spacing w:line="326" w:lineRule="auto" w:before="8" w:after="0"/>
        <w:ind w:left="549" w:right="387" w:firstLine="643"/>
        <w:jc w:val="left"/>
        <w:rPr>
          <w:sz w:val="32"/>
        </w:rPr>
      </w:pPr>
      <w:r>
        <w:rPr>
          <w:b/>
          <w:spacing w:val="-21"/>
          <w:sz w:val="32"/>
        </w:rPr>
        <w:t>多管齐下引财源，保障财政平稳运行。</w:t>
      </w:r>
      <w:r>
        <w:rPr>
          <w:sz w:val="32"/>
        </w:rPr>
        <w:t>加强财政资源统筹， </w:t>
      </w:r>
      <w:r>
        <w:rPr>
          <w:spacing w:val="-9"/>
          <w:sz w:val="32"/>
        </w:rPr>
        <w:t>保障大事快实施，坚决服从服务大局，主动打好政策资金“组合拳”。</w:t>
      </w:r>
    </w:p>
    <w:p>
      <w:pPr>
        <w:spacing w:line="326" w:lineRule="auto" w:before="7"/>
        <w:ind w:left="549" w:right="552" w:firstLine="643"/>
        <w:jc w:val="left"/>
        <w:rPr>
          <w:sz w:val="32"/>
        </w:rPr>
      </w:pPr>
      <w:r>
        <w:rPr>
          <w:b/>
          <w:spacing w:val="-8"/>
          <w:sz w:val="32"/>
        </w:rPr>
        <w:t>一是科学研判勤调度，抓牢有效收入。</w:t>
      </w:r>
      <w:r>
        <w:rPr>
          <w:spacing w:val="-8"/>
          <w:sz w:val="32"/>
        </w:rPr>
        <w:t>坚持月调度，研判收</w:t>
      </w:r>
      <w:r>
        <w:rPr>
          <w:spacing w:val="-14"/>
          <w:sz w:val="32"/>
        </w:rPr>
        <w:t>入，确保财政收支节奏平衡稳定。投入 </w:t>
      </w:r>
      <w:r>
        <w:rPr>
          <w:sz w:val="32"/>
        </w:rPr>
        <w:t>22002</w:t>
      </w:r>
      <w:r>
        <w:rPr>
          <w:spacing w:val="-16"/>
          <w:sz w:val="32"/>
        </w:rPr>
        <w:t> 万元收储土地，精</w:t>
      </w:r>
    </w:p>
    <w:p>
      <w:pPr>
        <w:pStyle w:val="BodyText"/>
        <w:spacing w:line="328" w:lineRule="auto" w:before="4"/>
        <w:ind w:left="549" w:right="390"/>
      </w:pPr>
      <w:r>
        <w:rPr>
          <w:spacing w:val="-10"/>
        </w:rPr>
        <w:t>准把握土地出让节奏，实现土地出让收入 </w:t>
      </w:r>
      <w:r>
        <w:rPr/>
        <w:t>88955</w:t>
      </w:r>
      <w:r>
        <w:rPr>
          <w:spacing w:val="-20"/>
        </w:rPr>
        <w:t> 万元。努力克服</w:t>
      </w:r>
      <w:r>
        <w:rPr>
          <w:spacing w:val="-16"/>
        </w:rPr>
        <w:t>经济下行、新冠疫情、减税降费的多重压力，统筹盘活各类资源</w:t>
      </w:r>
      <w:r>
        <w:rPr>
          <w:spacing w:val="-13"/>
        </w:rPr>
        <w:t>资产，大力挖潜增收，实现应收尽收。通过不懈努力，实现县级</w:t>
      </w:r>
      <w:r>
        <w:rPr>
          <w:spacing w:val="-21"/>
        </w:rPr>
        <w:t>一般公共预算收入 </w:t>
      </w:r>
      <w:r>
        <w:rPr/>
        <w:t>94353</w:t>
      </w:r>
      <w:r>
        <w:rPr>
          <w:spacing w:val="-22"/>
        </w:rPr>
        <w:t> 万元，同比增长 </w:t>
      </w:r>
      <w:r>
        <w:rPr/>
        <w:t>0.8</w:t>
      </w:r>
      <w:r>
        <w:rPr>
          <w:spacing w:val="-4"/>
        </w:rPr>
        <w:t>%。剔除减税降费， </w:t>
      </w:r>
      <w:r>
        <w:rPr>
          <w:spacing w:val="-9"/>
        </w:rPr>
        <w:t>留抵退税、加计扣除等因素，可比增长 </w:t>
      </w:r>
      <w:r>
        <w:rPr/>
        <w:t>7.6%。</w:t>
      </w:r>
    </w:p>
    <w:p>
      <w:pPr>
        <w:spacing w:line="326" w:lineRule="auto" w:before="0"/>
        <w:ind w:left="549" w:right="549" w:firstLine="643"/>
        <w:jc w:val="left"/>
        <w:rPr>
          <w:sz w:val="32"/>
        </w:rPr>
      </w:pPr>
      <w:r>
        <w:rPr>
          <w:b/>
          <w:spacing w:val="-8"/>
          <w:w w:val="95"/>
          <w:sz w:val="32"/>
        </w:rPr>
        <w:t>二是立足自身跑项目，争取转移支付。</w:t>
      </w:r>
      <w:r>
        <w:rPr>
          <w:spacing w:val="-6"/>
          <w:w w:val="95"/>
          <w:sz w:val="32"/>
        </w:rPr>
        <w:t>抢抓政策窗口期，主 </w:t>
      </w:r>
      <w:r>
        <w:rPr>
          <w:spacing w:val="-14"/>
          <w:sz w:val="32"/>
        </w:rPr>
        <w:t>动对接上级部门，争取财力性转移支付资金 </w:t>
      </w:r>
      <w:r>
        <w:rPr>
          <w:sz w:val="32"/>
        </w:rPr>
        <w:t>26182</w:t>
      </w:r>
      <w:r>
        <w:rPr>
          <w:spacing w:val="-22"/>
          <w:sz w:val="32"/>
        </w:rPr>
        <w:t> 万元；县级基</w:t>
      </w:r>
    </w:p>
    <w:p>
      <w:pPr>
        <w:pStyle w:val="BodyText"/>
        <w:ind w:left="549"/>
      </w:pPr>
      <w:r>
        <w:rPr>
          <w:spacing w:val="-8"/>
        </w:rPr>
        <w:t>本财力保障机制奖补资金 </w:t>
      </w:r>
      <w:r>
        <w:rPr/>
        <w:t>14183</w:t>
      </w:r>
      <w:r>
        <w:rPr>
          <w:spacing w:val="-16"/>
        </w:rPr>
        <w:t> 万元；农业转移支付市民化奖励</w:t>
      </w:r>
    </w:p>
    <w:p>
      <w:pPr>
        <w:pStyle w:val="BodyText"/>
        <w:spacing w:before="148"/>
        <w:ind w:left="549"/>
      </w:pPr>
      <w:r>
        <w:rPr>
          <w:spacing w:val="-24"/>
        </w:rPr>
        <w:t>资金 </w:t>
      </w:r>
      <w:r>
        <w:rPr/>
        <w:t>545</w:t>
      </w:r>
      <w:r>
        <w:rPr>
          <w:spacing w:val="-13"/>
        </w:rPr>
        <w:t> 万元；重点生态功能区转移支付 </w:t>
      </w:r>
      <w:r>
        <w:rPr/>
        <w:t>3748</w:t>
      </w:r>
      <w:r>
        <w:rPr>
          <w:spacing w:val="-11"/>
        </w:rPr>
        <w:t> 万元；减税降费</w:t>
      </w:r>
    </w:p>
    <w:p>
      <w:pPr>
        <w:pStyle w:val="BodyText"/>
        <w:spacing w:before="149"/>
        <w:ind w:left="549"/>
      </w:pPr>
      <w:r>
        <w:rPr>
          <w:spacing w:val="-9"/>
        </w:rPr>
        <w:t>等转移支付资金 </w:t>
      </w:r>
      <w:r>
        <w:rPr/>
        <w:t>5864</w:t>
      </w:r>
      <w:r>
        <w:rPr>
          <w:spacing w:val="-13"/>
        </w:rPr>
        <w:t> 万元；革命老区转移支付资金 </w:t>
      </w:r>
      <w:r>
        <w:rPr/>
        <w:t>399</w:t>
      </w:r>
      <w:r>
        <w:rPr>
          <w:spacing w:val="-18"/>
        </w:rPr>
        <w:t> 万元；</w:t>
      </w:r>
    </w:p>
    <w:p>
      <w:pPr>
        <w:pStyle w:val="BodyText"/>
        <w:spacing w:before="154"/>
        <w:ind w:left="549"/>
      </w:pPr>
      <w:r>
        <w:rPr>
          <w:spacing w:val="-9"/>
        </w:rPr>
        <w:t>产粮大县奖励资金 </w:t>
      </w:r>
      <w:r>
        <w:rPr/>
        <w:t>313</w:t>
      </w:r>
      <w:r>
        <w:rPr>
          <w:spacing w:val="-21"/>
        </w:rPr>
        <w:t> 万元；农村综改转移支付资金 </w:t>
      </w:r>
      <w:r>
        <w:rPr/>
        <w:t>1743</w:t>
      </w:r>
      <w:r>
        <w:rPr>
          <w:spacing w:val="-21"/>
        </w:rPr>
        <w:t> 万元。</w:t>
      </w:r>
    </w:p>
    <w:p>
      <w:pPr>
        <w:spacing w:after="0"/>
        <w:sectPr>
          <w:pgSz w:w="11910" w:h="16840"/>
          <w:pgMar w:header="0" w:footer="1917" w:top="1580" w:bottom="2100" w:left="1040" w:right="920"/>
        </w:sectPr>
      </w:pPr>
    </w:p>
    <w:p>
      <w:pPr>
        <w:pStyle w:val="BodyText"/>
        <w:spacing w:before="2"/>
        <w:rPr>
          <w:sz w:val="27"/>
        </w:rPr>
      </w:pPr>
    </w:p>
    <w:p>
      <w:pPr>
        <w:pStyle w:val="BodyText"/>
        <w:spacing w:line="328" w:lineRule="auto" w:before="55"/>
        <w:ind w:left="549" w:right="439" w:firstLine="643"/>
      </w:pPr>
      <w:r>
        <w:rPr>
          <w:b/>
          <w:spacing w:val="-9"/>
        </w:rPr>
        <w:t>三是支持国有企业市场化运营，增加国企竞争力。</w:t>
      </w:r>
      <w:r>
        <w:rPr/>
        <w:t>财政注资</w:t>
      </w:r>
      <w:r>
        <w:rPr>
          <w:spacing w:val="-28"/>
        </w:rPr>
        <w:t>国企 </w:t>
      </w:r>
      <w:r>
        <w:rPr/>
        <w:t>21860</w:t>
      </w:r>
      <w:r>
        <w:rPr>
          <w:spacing w:val="-16"/>
        </w:rPr>
        <w:t> 万元。鼎诚公司完成巾巾乐道等重大项目，推动国有</w:t>
      </w:r>
      <w:r>
        <w:rPr>
          <w:spacing w:val="-14"/>
        </w:rPr>
        <w:t>资产整合，优化重组，发挥效益，市场融资能力显著提升。推动</w:t>
      </w:r>
      <w:r>
        <w:rPr>
          <w:spacing w:val="-18"/>
        </w:rPr>
        <w:t>兴阳公司由融资平台转向市场化经营，在纺织和农机配件产业开展智能装备、智慧物流、数字化转型项目为传统产业持续赋能。</w:t>
      </w:r>
      <w:r>
        <w:rPr>
          <w:spacing w:val="-7"/>
        </w:rPr>
        <w:t>对自来水公司改制成立润阳公司，统筹全县水务，全力推动智慧水务、农田灌溉项目。</w:t>
      </w:r>
    </w:p>
    <w:p>
      <w:pPr>
        <w:pStyle w:val="BodyText"/>
        <w:spacing w:line="328" w:lineRule="auto"/>
        <w:ind w:left="549" w:right="547" w:firstLine="643"/>
        <w:jc w:val="both"/>
      </w:pPr>
      <w:r>
        <w:rPr>
          <w:b/>
          <w:spacing w:val="-10"/>
        </w:rPr>
        <w:t>四是精准盘活存量资金，提升财政统筹能力。</w:t>
      </w:r>
      <w:r>
        <w:rPr>
          <w:spacing w:val="-2"/>
        </w:rPr>
        <w:t>加强财政资金</w:t>
      </w:r>
      <w:r>
        <w:rPr>
          <w:spacing w:val="-11"/>
        </w:rPr>
        <w:t>动态监控，通过对结转结余资金、实有账户资金清理，共盘活财</w:t>
      </w:r>
      <w:r>
        <w:rPr>
          <w:spacing w:val="-20"/>
        </w:rPr>
        <w:t>政存量资金 </w:t>
      </w:r>
      <w:r>
        <w:rPr/>
        <w:t>2400</w:t>
      </w:r>
      <w:r>
        <w:rPr>
          <w:spacing w:val="-8"/>
        </w:rPr>
        <w:t> 万元，清理收回的资金主要用于民生保障、基</w:t>
      </w:r>
      <w:r>
        <w:rPr>
          <w:spacing w:val="-14"/>
        </w:rPr>
        <w:t>础设施建设等急需支出，进一步弥补公共预算财力缺口，不断增强财政保障能力。</w:t>
      </w:r>
    </w:p>
    <w:p>
      <w:pPr>
        <w:spacing w:line="403" w:lineRule="exact" w:before="0"/>
        <w:ind w:left="1192" w:right="0" w:firstLine="0"/>
        <w:jc w:val="both"/>
        <w:rPr>
          <w:sz w:val="32"/>
        </w:rPr>
      </w:pPr>
      <w:r>
        <w:rPr>
          <w:b/>
          <w:sz w:val="32"/>
        </w:rPr>
        <w:t>五是支付债券还本付息、严控债务风险。</w:t>
      </w:r>
      <w:r>
        <w:rPr>
          <w:sz w:val="32"/>
        </w:rPr>
        <w:t>根据 2022 年债券</w:t>
      </w:r>
    </w:p>
    <w:p>
      <w:pPr>
        <w:pStyle w:val="BodyText"/>
        <w:spacing w:before="137"/>
        <w:ind w:left="549"/>
        <w:jc w:val="both"/>
      </w:pPr>
      <w:r>
        <w:rPr/>
        <w:t>还本付息计划，及时足额拨付还本付息资金 19720 万元，其中，</w:t>
      </w:r>
    </w:p>
    <w:p>
      <w:pPr>
        <w:pStyle w:val="BodyText"/>
        <w:spacing w:line="328" w:lineRule="auto" w:before="149"/>
        <w:ind w:left="549" w:right="549"/>
        <w:jc w:val="both"/>
      </w:pPr>
      <w:r>
        <w:rPr>
          <w:spacing w:val="-11"/>
        </w:rPr>
        <w:t>债券还本资金 </w:t>
      </w:r>
      <w:r>
        <w:rPr/>
        <w:t>10050</w:t>
      </w:r>
      <w:r>
        <w:rPr>
          <w:spacing w:val="-15"/>
        </w:rPr>
        <w:t> 万元、债券付息资金 </w:t>
      </w:r>
      <w:r>
        <w:rPr/>
        <w:t>9670</w:t>
      </w:r>
      <w:r>
        <w:rPr>
          <w:spacing w:val="-11"/>
        </w:rPr>
        <w:t> 万元。同时，严格债务管理，强化日常监督，全年未出现债务风险。</w:t>
      </w:r>
    </w:p>
    <w:p>
      <w:pPr>
        <w:pStyle w:val="ListParagraph"/>
        <w:numPr>
          <w:ilvl w:val="2"/>
          <w:numId w:val="2"/>
        </w:numPr>
        <w:tabs>
          <w:tab w:pos="1514" w:val="left" w:leader="none"/>
        </w:tabs>
        <w:spacing w:line="328" w:lineRule="auto" w:before="0" w:after="0"/>
        <w:ind w:left="549" w:right="394" w:firstLine="643"/>
        <w:jc w:val="left"/>
        <w:rPr>
          <w:sz w:val="32"/>
        </w:rPr>
      </w:pPr>
      <w:r>
        <w:rPr>
          <w:b/>
          <w:spacing w:val="-10"/>
          <w:sz w:val="32"/>
        </w:rPr>
        <w:t>落实一揽子积极财政政策，保市场主体、稳经济增长。</w:t>
      </w:r>
      <w:r>
        <w:rPr>
          <w:sz w:val="32"/>
        </w:rPr>
        <w:t>统</w:t>
      </w:r>
      <w:r>
        <w:rPr>
          <w:spacing w:val="-18"/>
          <w:sz w:val="32"/>
        </w:rPr>
        <w:t>筹疫情防控和经济社会发展，结合我县实际，最大程度守护人民， </w:t>
      </w:r>
      <w:r>
        <w:rPr>
          <w:spacing w:val="-11"/>
          <w:sz w:val="32"/>
        </w:rPr>
        <w:t>稳定县域经济，坚决落实积极财政政策，努力实现全年经济社会发展预期目标。</w:t>
      </w:r>
    </w:p>
    <w:p>
      <w:pPr>
        <w:spacing w:line="328" w:lineRule="auto" w:before="0"/>
        <w:ind w:left="549" w:right="549" w:firstLine="643"/>
        <w:jc w:val="left"/>
        <w:rPr>
          <w:sz w:val="32"/>
        </w:rPr>
      </w:pPr>
      <w:r>
        <w:rPr>
          <w:b/>
          <w:spacing w:val="16"/>
          <w:sz w:val="32"/>
        </w:rPr>
        <w:t>一是加大退税减税政策实施力度。</w:t>
      </w:r>
      <w:r>
        <w:rPr>
          <w:sz w:val="32"/>
        </w:rPr>
        <w:t>1-11</w:t>
      </w:r>
      <w:r>
        <w:rPr>
          <w:spacing w:val="8"/>
          <w:sz w:val="32"/>
        </w:rPr>
        <w:t> 月累计减税降费31141</w:t>
      </w:r>
      <w:r>
        <w:rPr>
          <w:spacing w:val="-23"/>
          <w:sz w:val="32"/>
        </w:rPr>
        <w:t> 万元，其中留抵退税 </w:t>
      </w:r>
      <w:r>
        <w:rPr>
          <w:sz w:val="32"/>
        </w:rPr>
        <w:t>8352</w:t>
      </w:r>
      <w:r>
        <w:rPr>
          <w:spacing w:val="-20"/>
          <w:sz w:val="32"/>
        </w:rPr>
        <w:t> 万元，预计全年减税降费 </w:t>
      </w:r>
      <w:r>
        <w:rPr>
          <w:sz w:val="32"/>
        </w:rPr>
        <w:t>37800</w:t>
      </w:r>
    </w:p>
    <w:p>
      <w:pPr>
        <w:spacing w:after="0" w:line="328" w:lineRule="auto"/>
        <w:jc w:val="left"/>
        <w:rPr>
          <w:sz w:val="32"/>
        </w:rPr>
        <w:sectPr>
          <w:pgSz w:w="11910" w:h="16840"/>
          <w:pgMar w:header="0" w:footer="1917" w:top="1580" w:bottom="2100" w:left="1040" w:right="920"/>
        </w:sectPr>
      </w:pPr>
    </w:p>
    <w:p>
      <w:pPr>
        <w:pStyle w:val="BodyText"/>
        <w:spacing w:before="2"/>
        <w:rPr>
          <w:sz w:val="27"/>
        </w:rPr>
      </w:pPr>
    </w:p>
    <w:p>
      <w:pPr>
        <w:pStyle w:val="BodyText"/>
        <w:spacing w:line="326" w:lineRule="auto" w:before="55"/>
        <w:ind w:left="549" w:right="553"/>
        <w:jc w:val="both"/>
      </w:pPr>
      <w:r>
        <w:rPr>
          <w:spacing w:val="-7"/>
        </w:rPr>
        <w:t>万元；全年落实缓税 </w:t>
      </w:r>
      <w:r>
        <w:rPr/>
        <w:t>8555</w:t>
      </w:r>
      <w:r>
        <w:rPr>
          <w:spacing w:val="-9"/>
        </w:rPr>
        <w:t> 万元。最大限度减少疫情对经济的影</w:t>
      </w:r>
      <w:r>
        <w:rPr/>
        <w:t>响，提振市场信心。</w:t>
      </w:r>
    </w:p>
    <w:p>
      <w:pPr>
        <w:pStyle w:val="BodyText"/>
        <w:spacing w:line="328" w:lineRule="auto" w:before="3"/>
        <w:ind w:left="549" w:right="548" w:firstLine="643"/>
        <w:jc w:val="both"/>
      </w:pPr>
      <w:r>
        <w:rPr>
          <w:b/>
        </w:rPr>
        <w:t>二是加快财政资金支出发挥效益</w:t>
      </w:r>
      <w:r>
        <w:rPr>
          <w:spacing w:val="-15"/>
        </w:rPr>
        <w:t>。加快转移支付资金和债券</w:t>
      </w:r>
      <w:r>
        <w:rPr>
          <w:spacing w:val="-11"/>
        </w:rPr>
        <w:t>资金支出进度，尽快将资金落实到具体单位和项目，第一时间拨</w:t>
      </w:r>
      <w:r>
        <w:rPr>
          <w:spacing w:val="-7"/>
        </w:rPr>
        <w:t>付到位，确保快支出、快使用、快见效。</w:t>
      </w:r>
      <w:r>
        <w:rPr/>
        <w:t>2022 年争取债券资金182700</w:t>
      </w:r>
      <w:r>
        <w:rPr>
          <w:spacing w:val="-10"/>
        </w:rPr>
        <w:t> 万元，其中：一般债券资金 </w:t>
      </w:r>
      <w:r>
        <w:rPr/>
        <w:t>12200</w:t>
      </w:r>
      <w:r>
        <w:rPr>
          <w:spacing w:val="-7"/>
        </w:rPr>
        <w:t> 万元、专项债券资金</w:t>
      </w:r>
    </w:p>
    <w:p>
      <w:pPr>
        <w:pStyle w:val="BodyText"/>
        <w:spacing w:line="405" w:lineRule="exact"/>
        <w:ind w:left="549"/>
      </w:pPr>
      <w:r>
        <w:rPr/>
        <w:t>170500</w:t>
      </w:r>
      <w:r>
        <w:rPr>
          <w:spacing w:val="-14"/>
        </w:rPr>
        <w:t> 万元，当年支出 </w:t>
      </w:r>
      <w:r>
        <w:rPr/>
        <w:t>131004</w:t>
      </w:r>
      <w:r>
        <w:rPr>
          <w:spacing w:val="-17"/>
        </w:rPr>
        <w:t> 万元。完成 </w:t>
      </w:r>
      <w:r>
        <w:rPr/>
        <w:t>2023</w:t>
      </w:r>
      <w:r>
        <w:rPr>
          <w:spacing w:val="-9"/>
        </w:rPr>
        <w:t> 年提前批专项</w:t>
      </w:r>
    </w:p>
    <w:p>
      <w:pPr>
        <w:pStyle w:val="BodyText"/>
        <w:spacing w:line="328" w:lineRule="auto" w:before="149"/>
        <w:ind w:left="549" w:right="438"/>
      </w:pPr>
      <w:r>
        <w:rPr>
          <w:spacing w:val="-12"/>
        </w:rPr>
        <w:t>债券项目储备 </w:t>
      </w:r>
      <w:r>
        <w:rPr/>
        <w:t>15</w:t>
      </w:r>
      <w:r>
        <w:rPr>
          <w:spacing w:val="-26"/>
        </w:rPr>
        <w:t> 个，申报金额 </w:t>
      </w:r>
      <w:r>
        <w:rPr/>
        <w:t>225900</w:t>
      </w:r>
      <w:r>
        <w:rPr>
          <w:spacing w:val="-16"/>
        </w:rPr>
        <w:t> 万元。用好政策性、开发</w:t>
      </w:r>
      <w:r>
        <w:rPr>
          <w:spacing w:val="-12"/>
        </w:rPr>
        <w:t>性金融工具，推动我县可市场化运作资产接受农发行融资支持， </w:t>
      </w:r>
      <w:r>
        <w:rPr>
          <w:spacing w:val="-7"/>
        </w:rPr>
        <w:t>全年与农发行对接项目 </w:t>
      </w:r>
      <w:r>
        <w:rPr/>
        <w:t>2</w:t>
      </w:r>
      <w:r>
        <w:rPr>
          <w:spacing w:val="-24"/>
        </w:rPr>
        <w:t> 个，融资 </w:t>
      </w:r>
      <w:r>
        <w:rPr/>
        <w:t>8500</w:t>
      </w:r>
      <w:r>
        <w:rPr>
          <w:spacing w:val="-9"/>
        </w:rPr>
        <w:t> 万元，支持县城供水管网建设。</w:t>
      </w:r>
    </w:p>
    <w:p>
      <w:pPr>
        <w:pStyle w:val="BodyText"/>
        <w:spacing w:line="328" w:lineRule="auto"/>
        <w:ind w:left="549" w:right="439" w:firstLine="643"/>
      </w:pPr>
      <w:r>
        <w:rPr>
          <w:b/>
          <w:spacing w:val="-7"/>
        </w:rPr>
        <w:t>三是落实政府性融资担保和政府采购支持政策。</w:t>
      </w:r>
      <w:r>
        <w:rPr/>
        <w:t>依托市中小</w:t>
      </w:r>
      <w:r>
        <w:rPr>
          <w:spacing w:val="-6"/>
        </w:rPr>
        <w:t>企业融资担保有限公司高阳分公司，对符合条件的交通运输、餐</w:t>
      </w:r>
      <w:r>
        <w:rPr>
          <w:spacing w:val="-12"/>
        </w:rPr>
        <w:t>饮、住宿、旅游、纺织、农机配件、电器电料等行业的中小微企</w:t>
      </w:r>
      <w:r>
        <w:rPr>
          <w:spacing w:val="-13"/>
        </w:rPr>
        <w:t>业和个体工商户，提供融资担保支持，推动金融机构定向放贷。</w:t>
      </w:r>
      <w:r>
        <w:rPr>
          <w:spacing w:val="-12"/>
        </w:rPr>
        <w:t>全年担保贷款 </w:t>
      </w:r>
      <w:r>
        <w:rPr/>
        <w:t>900</w:t>
      </w:r>
      <w:r>
        <w:rPr>
          <w:spacing w:val="-16"/>
        </w:rPr>
        <w:t> 万元。政府采购货物、服务项目预留中小企业</w:t>
      </w:r>
      <w:r>
        <w:rPr>
          <w:spacing w:val="-5"/>
        </w:rPr>
        <w:t>份额达到所有采购项目的 </w:t>
      </w:r>
      <w:r>
        <w:rPr/>
        <w:t>36.06%，对小微企业的价格扣除优惠</w:t>
      </w:r>
      <w:r>
        <w:rPr>
          <w:spacing w:val="-17"/>
        </w:rPr>
        <w:t>幅度升至 </w:t>
      </w:r>
      <w:r>
        <w:rPr/>
        <w:t>10%-20%。</w:t>
      </w:r>
    </w:p>
    <w:p>
      <w:pPr>
        <w:pStyle w:val="BodyText"/>
        <w:spacing w:line="328" w:lineRule="auto"/>
        <w:ind w:left="549" w:right="549" w:firstLine="643"/>
        <w:jc w:val="both"/>
      </w:pPr>
      <w:r>
        <w:rPr>
          <w:b/>
          <w:spacing w:val="-8"/>
        </w:rPr>
        <w:t>四是扩大实施社保缴费缓缴政策，加大稳岗支持力度。</w:t>
      </w:r>
      <w:r>
        <w:rPr>
          <w:spacing w:val="-6"/>
        </w:rPr>
        <w:t>阶段</w:t>
      </w:r>
      <w:r>
        <w:rPr>
          <w:spacing w:val="-4"/>
        </w:rPr>
        <w:t>性缓缴养老、工伤、失业 </w:t>
      </w:r>
      <w:r>
        <w:rPr/>
        <w:t>3</w:t>
      </w:r>
      <w:r>
        <w:rPr>
          <w:spacing w:val="-7"/>
        </w:rPr>
        <w:t> 项社会保险单位缴费部分，</w:t>
      </w:r>
      <w:r>
        <w:rPr/>
        <w:t>2022</w:t>
      </w:r>
      <w:r>
        <w:rPr>
          <w:spacing w:val="-26"/>
        </w:rPr>
        <w:t> 年</w:t>
      </w:r>
      <w:r>
        <w:rPr>
          <w:spacing w:val="-10"/>
        </w:rPr>
        <w:t>共缓缴 </w:t>
      </w:r>
      <w:r>
        <w:rPr/>
        <w:t>2</w:t>
      </w:r>
      <w:r>
        <w:rPr>
          <w:spacing w:val="-7"/>
        </w:rPr>
        <w:t> 万元；对参保失业保险的企业，</w:t>
      </w:r>
      <w:r>
        <w:rPr/>
        <w:t>2022</w:t>
      </w:r>
      <w:r>
        <w:rPr>
          <w:spacing w:val="-8"/>
        </w:rPr>
        <w:t> 年返还失业保险</w:t>
      </w:r>
      <w:r>
        <w:rPr/>
        <w:t>202</w:t>
      </w:r>
      <w:r>
        <w:rPr>
          <w:spacing w:val="-9"/>
        </w:rPr>
        <w:t> 万元；支出一次性留工培训补助 </w:t>
      </w:r>
      <w:r>
        <w:rPr/>
        <w:t>12</w:t>
      </w:r>
      <w:r>
        <w:rPr>
          <w:spacing w:val="-8"/>
        </w:rPr>
        <w:t> 万元；发放一次性扩岗</w:t>
      </w:r>
    </w:p>
    <w:p>
      <w:pPr>
        <w:spacing w:after="0" w:line="328" w:lineRule="auto"/>
        <w:jc w:val="both"/>
        <w:sectPr>
          <w:pgSz w:w="11910" w:h="16840"/>
          <w:pgMar w:header="0" w:footer="1917" w:top="1580" w:bottom="2100" w:left="1040" w:right="920"/>
        </w:sectPr>
      </w:pPr>
    </w:p>
    <w:p>
      <w:pPr>
        <w:pStyle w:val="BodyText"/>
        <w:spacing w:before="2"/>
        <w:rPr>
          <w:sz w:val="27"/>
        </w:rPr>
      </w:pPr>
    </w:p>
    <w:p>
      <w:pPr>
        <w:pStyle w:val="BodyText"/>
        <w:spacing w:line="326" w:lineRule="auto" w:before="55"/>
        <w:ind w:left="549" w:right="548"/>
      </w:pPr>
      <w:r>
        <w:rPr>
          <w:spacing w:val="-25"/>
        </w:rPr>
        <w:t>补助 </w:t>
      </w:r>
      <w:r>
        <w:rPr/>
        <w:t>1</w:t>
      </w:r>
      <w:r>
        <w:rPr>
          <w:spacing w:val="-14"/>
        </w:rPr>
        <w:t> 万元；将失业保险总费率由 </w:t>
      </w:r>
      <w:r>
        <w:rPr/>
        <w:t>1.5</w:t>
      </w:r>
      <w:r>
        <w:rPr>
          <w:spacing w:val="-9"/>
        </w:rPr>
        <w:t>%阶段性降低至 </w:t>
      </w:r>
      <w:r>
        <w:rPr/>
        <w:t>1%，2022 </w:t>
      </w:r>
      <w:r>
        <w:rPr>
          <w:spacing w:val="-14"/>
        </w:rPr>
        <w:t>年累计降费 </w:t>
      </w:r>
      <w:r>
        <w:rPr/>
        <w:t>427</w:t>
      </w:r>
      <w:r>
        <w:rPr>
          <w:spacing w:val="-21"/>
        </w:rPr>
        <w:t> 万元。</w:t>
      </w:r>
    </w:p>
    <w:p>
      <w:pPr>
        <w:pStyle w:val="ListParagraph"/>
        <w:numPr>
          <w:ilvl w:val="2"/>
          <w:numId w:val="2"/>
        </w:numPr>
        <w:tabs>
          <w:tab w:pos="1514" w:val="left" w:leader="none"/>
        </w:tabs>
        <w:spacing w:line="328" w:lineRule="auto" w:before="3" w:after="0"/>
        <w:ind w:left="549" w:right="392" w:firstLine="643"/>
        <w:jc w:val="left"/>
        <w:rPr>
          <w:sz w:val="32"/>
        </w:rPr>
      </w:pPr>
      <w:r>
        <w:rPr>
          <w:b/>
          <w:spacing w:val="-10"/>
          <w:sz w:val="32"/>
        </w:rPr>
        <w:t>扎实推进各项财政制度，全面深化财政体制改革。</w:t>
      </w:r>
      <w:r>
        <w:rPr>
          <w:sz w:val="32"/>
        </w:rPr>
        <w:t>坚持锐</w:t>
      </w:r>
      <w:r>
        <w:rPr>
          <w:spacing w:val="-19"/>
          <w:sz w:val="32"/>
        </w:rPr>
        <w:t>意进取，勇于攻坚突破，落实各项财政制度，提升财政治理能效。</w:t>
      </w:r>
      <w:r>
        <w:rPr>
          <w:spacing w:val="-5"/>
          <w:sz w:val="32"/>
        </w:rPr>
        <w:t>今年被省财政厅评为高阳县 </w:t>
      </w:r>
      <w:r>
        <w:rPr>
          <w:sz w:val="32"/>
        </w:rPr>
        <w:t>2021</w:t>
      </w:r>
      <w:r>
        <w:rPr>
          <w:spacing w:val="-8"/>
          <w:sz w:val="32"/>
        </w:rPr>
        <w:t> 年度市县财政工作综合考评先进行列。</w:t>
      </w:r>
    </w:p>
    <w:p>
      <w:pPr>
        <w:pStyle w:val="BodyText"/>
        <w:spacing w:line="328" w:lineRule="auto"/>
        <w:ind w:left="549" w:right="391" w:firstLine="643"/>
      </w:pPr>
      <w:r>
        <w:rPr>
          <w:b/>
          <w:spacing w:val="-14"/>
        </w:rPr>
        <w:t>一是严抓绩效管理。</w:t>
      </w:r>
      <w:r>
        <w:rPr/>
        <w:t>推动县级预算绩效目标与预算编审同步</w:t>
      </w:r>
      <w:r>
        <w:rPr>
          <w:spacing w:val="-21"/>
        </w:rPr>
        <w:t>对接，强化预算绩效结果应用。出台预算绩效管理相关文件 </w:t>
      </w:r>
      <w:r>
        <w:rPr/>
        <w:t>7</w:t>
      </w:r>
      <w:r>
        <w:rPr>
          <w:spacing w:val="-32"/>
        </w:rPr>
        <w:t> 个， </w:t>
      </w:r>
      <w:r>
        <w:rPr>
          <w:spacing w:val="-8"/>
        </w:rPr>
        <w:t>持续完善预算绩效管理机制。拓宽预算事前绩效评估范围、强化</w:t>
      </w:r>
      <w:r>
        <w:rPr>
          <w:spacing w:val="-18"/>
        </w:rPr>
        <w:t>评估结果应用，评估 </w:t>
      </w:r>
      <w:r>
        <w:rPr/>
        <w:t>38</w:t>
      </w:r>
      <w:r>
        <w:rPr>
          <w:spacing w:val="-17"/>
        </w:rPr>
        <w:t> 个重点项目，发现问题项目 </w:t>
      </w:r>
      <w:r>
        <w:rPr/>
        <w:t>31</w:t>
      </w:r>
      <w:r>
        <w:rPr>
          <w:spacing w:val="-25"/>
        </w:rPr>
        <w:t> 个，审减</w:t>
      </w:r>
    </w:p>
    <w:p>
      <w:pPr>
        <w:pStyle w:val="BodyText"/>
        <w:spacing w:line="402" w:lineRule="exact"/>
        <w:ind w:left="549"/>
      </w:pPr>
      <w:r>
        <w:rPr>
          <w:spacing w:val="4"/>
        </w:rPr>
        <w:t>项目资金 </w:t>
      </w:r>
      <w:r>
        <w:rPr/>
        <w:t>6061</w:t>
      </w:r>
      <w:r>
        <w:rPr>
          <w:spacing w:val="5"/>
        </w:rPr>
        <w:t> 万元；完善事中预算绩效监控，跟踪审核资金</w:t>
      </w:r>
    </w:p>
    <w:p>
      <w:pPr>
        <w:pStyle w:val="BodyText"/>
        <w:spacing w:line="328" w:lineRule="auto" w:before="144"/>
        <w:ind w:left="549" w:right="391"/>
      </w:pPr>
      <w:r>
        <w:rPr/>
        <w:t>428500</w:t>
      </w:r>
      <w:r>
        <w:rPr>
          <w:spacing w:val="-13"/>
        </w:rPr>
        <w:t> 万元，及时督促整改发现问题；强化财政重点绩效评价， </w:t>
      </w:r>
      <w:r>
        <w:rPr>
          <w:spacing w:val="-47"/>
        </w:rPr>
        <w:t>对 </w:t>
      </w:r>
      <w:r>
        <w:rPr/>
        <w:t>12</w:t>
      </w:r>
      <w:r>
        <w:rPr>
          <w:spacing w:val="-14"/>
        </w:rPr>
        <w:t> 个重点项目实施事后绩效评价，优良率 </w:t>
      </w:r>
      <w:r>
        <w:rPr/>
        <w:t>100%。</w:t>
      </w:r>
    </w:p>
    <w:p>
      <w:pPr>
        <w:pStyle w:val="BodyText"/>
        <w:spacing w:line="328" w:lineRule="auto"/>
        <w:ind w:left="549" w:right="439" w:firstLine="643"/>
      </w:pPr>
      <w:r>
        <w:rPr>
          <w:b/>
          <w:spacing w:val="-6"/>
        </w:rPr>
        <w:t>二是规范国有资产管理。</w:t>
      </w:r>
      <w:r>
        <w:rPr>
          <w:spacing w:val="-9"/>
        </w:rPr>
        <w:t>根据《县政府向人大常委会报告国</w:t>
      </w:r>
      <w:r>
        <w:rPr>
          <w:spacing w:val="-14"/>
        </w:rPr>
        <w:t>有资产管理情况办法》，向人大进行国有资产管理情况报告，完</w:t>
      </w:r>
      <w:r>
        <w:rPr>
          <w:spacing w:val="-18"/>
        </w:rPr>
        <w:t>成年度行政事业单位资产报表和国有企业财务会计决算报表，完</w:t>
      </w:r>
      <w:r>
        <w:rPr>
          <w:spacing w:val="-34"/>
        </w:rPr>
        <w:t>成全县 </w:t>
      </w:r>
      <w:r>
        <w:rPr/>
        <w:t>106</w:t>
      </w:r>
      <w:r>
        <w:rPr>
          <w:spacing w:val="-11"/>
        </w:rPr>
        <w:t> 个行政事业单位国有资产清查工作。加强公车管理， </w:t>
      </w:r>
      <w:r>
        <w:rPr>
          <w:spacing w:val="-8"/>
        </w:rPr>
        <w:t>利用公务用车服务平台数据，督促各单位规范用车，完成全县党</w:t>
      </w:r>
      <w:r>
        <w:rPr>
          <w:spacing w:val="-17"/>
        </w:rPr>
        <w:t>政机关公务用车统计工作。盘活 </w:t>
      </w:r>
      <w:r>
        <w:rPr/>
        <w:t>9</w:t>
      </w:r>
      <w:r>
        <w:rPr>
          <w:spacing w:val="-13"/>
        </w:rPr>
        <w:t> 处资产和自来水管网，提高国有资产利用率。</w:t>
      </w:r>
    </w:p>
    <w:p>
      <w:pPr>
        <w:spacing w:line="328" w:lineRule="auto" w:before="0"/>
        <w:ind w:left="549" w:right="551" w:firstLine="643"/>
        <w:jc w:val="left"/>
        <w:rPr>
          <w:sz w:val="32"/>
        </w:rPr>
      </w:pPr>
      <w:r>
        <w:rPr>
          <w:b/>
          <w:spacing w:val="-6"/>
          <w:sz w:val="32"/>
        </w:rPr>
        <w:t>三是加强政府采购管理。</w:t>
      </w:r>
      <w:r>
        <w:rPr>
          <w:spacing w:val="-6"/>
          <w:sz w:val="32"/>
        </w:rPr>
        <w:t>全面推进政府采购电子化管理，持</w:t>
      </w:r>
      <w:r>
        <w:rPr>
          <w:spacing w:val="-9"/>
          <w:sz w:val="32"/>
        </w:rPr>
        <w:t>续推进政府采购信息公开。实行政府采购电子备案，推动政府采</w:t>
      </w:r>
    </w:p>
    <w:p>
      <w:pPr>
        <w:spacing w:after="0" w:line="328" w:lineRule="auto"/>
        <w:jc w:val="left"/>
        <w:rPr>
          <w:sz w:val="32"/>
        </w:rPr>
        <w:sectPr>
          <w:pgSz w:w="11910" w:h="16840"/>
          <w:pgMar w:header="0" w:footer="1917" w:top="1580" w:bottom="2100" w:left="1040" w:right="920"/>
        </w:sectPr>
      </w:pPr>
    </w:p>
    <w:p>
      <w:pPr>
        <w:pStyle w:val="BodyText"/>
        <w:spacing w:before="2"/>
        <w:rPr>
          <w:sz w:val="27"/>
        </w:rPr>
      </w:pPr>
    </w:p>
    <w:p>
      <w:pPr>
        <w:pStyle w:val="BodyText"/>
        <w:spacing w:line="326" w:lineRule="auto" w:before="55"/>
        <w:ind w:left="549" w:right="552"/>
        <w:jc w:val="both"/>
      </w:pPr>
      <w:r>
        <w:rPr>
          <w:spacing w:val="-11"/>
        </w:rPr>
        <w:t>购意向公开。统一使用政府采购电子交易平台，实现开标、评标</w:t>
      </w:r>
      <w:r>
        <w:rPr>
          <w:spacing w:val="-12"/>
        </w:rPr>
        <w:t>全流程电子化。充分发挥社会监督作用，及时处理政府采购相关</w:t>
      </w:r>
      <w:r>
        <w:rPr>
          <w:spacing w:val="-3"/>
        </w:rPr>
        <w:t>质疑、投诉、举报，维护市场公平。开展政府采购项目 </w:t>
      </w:r>
      <w:r>
        <w:rPr/>
        <w:t>61</w:t>
      </w:r>
      <w:r>
        <w:rPr>
          <w:spacing w:val="-26"/>
        </w:rPr>
        <w:t> 个，</w:t>
      </w:r>
    </w:p>
    <w:p>
      <w:pPr>
        <w:pStyle w:val="BodyText"/>
        <w:spacing w:line="326" w:lineRule="auto" w:before="7"/>
        <w:ind w:left="1192" w:right="388" w:hanging="644"/>
      </w:pPr>
      <w:r>
        <w:rPr>
          <w:spacing w:val="-17"/>
        </w:rPr>
        <w:t>预算安排 </w:t>
      </w:r>
      <w:r>
        <w:rPr/>
        <w:t>12812</w:t>
      </w:r>
      <w:r>
        <w:rPr>
          <w:spacing w:val="-35"/>
        </w:rPr>
        <w:t> 万元，实际使用 </w:t>
      </w:r>
      <w:r>
        <w:rPr/>
        <w:t>12437</w:t>
      </w:r>
      <w:r>
        <w:rPr>
          <w:spacing w:val="-35"/>
        </w:rPr>
        <w:t> 万元，节约资金 </w:t>
      </w:r>
      <w:r>
        <w:rPr/>
        <w:t>375</w:t>
      </w:r>
      <w:r>
        <w:rPr>
          <w:spacing w:val="-21"/>
        </w:rPr>
        <w:t> 万元。</w:t>
      </w:r>
      <w:r>
        <w:rPr>
          <w:b/>
          <w:spacing w:val="-23"/>
        </w:rPr>
        <w:t>四是全面推行报销改革。</w:t>
      </w:r>
      <w:r>
        <w:rPr/>
        <w:t>实施高阳县预算单位差旅电子凭证</w:t>
      </w:r>
    </w:p>
    <w:p>
      <w:pPr>
        <w:pStyle w:val="BodyText"/>
        <w:spacing w:before="3"/>
        <w:ind w:left="549"/>
      </w:pPr>
      <w:r>
        <w:rPr/>
        <w:t>网上报销制度，累计注册用户 3782 人，累计激活用户 1507 人，</w:t>
      </w:r>
    </w:p>
    <w:p>
      <w:pPr>
        <w:pStyle w:val="BodyText"/>
        <w:spacing w:line="326" w:lineRule="auto" w:before="152"/>
        <w:ind w:left="549" w:right="547"/>
      </w:pPr>
      <w:r>
        <w:rPr>
          <w:spacing w:val="-12"/>
        </w:rPr>
        <w:t>提交出差申请 </w:t>
      </w:r>
      <w:r>
        <w:rPr/>
        <w:t>1061</w:t>
      </w:r>
      <w:r>
        <w:rPr>
          <w:spacing w:val="-27"/>
        </w:rPr>
        <w:t> 次，审批通过 </w:t>
      </w:r>
      <w:r>
        <w:rPr/>
        <w:t>990</w:t>
      </w:r>
      <w:r>
        <w:rPr>
          <w:spacing w:val="-26"/>
        </w:rPr>
        <w:t> 次，报销金额 </w:t>
      </w:r>
      <w:r>
        <w:rPr/>
        <w:t>75</w:t>
      </w:r>
      <w:r>
        <w:rPr>
          <w:spacing w:val="-24"/>
        </w:rPr>
        <w:t> 万元，实现差旅凭证电子化报销全覆盖。</w:t>
      </w:r>
    </w:p>
    <w:p>
      <w:pPr>
        <w:pStyle w:val="BodyText"/>
        <w:spacing w:line="328" w:lineRule="auto" w:before="3"/>
        <w:ind w:left="549" w:right="437" w:firstLine="643"/>
      </w:pPr>
      <w:r>
        <w:rPr>
          <w:b/>
        </w:rPr>
        <w:t>五是稳步推进财政评审</w:t>
      </w:r>
      <w:r>
        <w:rPr>
          <w:spacing w:val="-12"/>
        </w:rPr>
        <w:t>。强化政府项目管理，出台《高阳县政府投资项目实施管理办法（试行）</w:t>
      </w:r>
      <w:r>
        <w:rPr>
          <w:spacing w:val="-13"/>
        </w:rPr>
        <w:t>》。坚持以“公平、公正、</w:t>
      </w:r>
      <w:r>
        <w:rPr>
          <w:spacing w:val="-8"/>
        </w:rPr>
        <w:t>实事求是”为原则开展评审工作，做到“不高估，不低就”，保</w:t>
      </w:r>
      <w:r>
        <w:rPr>
          <w:spacing w:val="-10"/>
        </w:rPr>
        <w:t>质守时的完成评审报告。完成财政投资评审预</w:t>
      </w:r>
      <w:r>
        <w:rPr/>
        <w:t>（结</w:t>
      </w:r>
      <w:r>
        <w:rPr>
          <w:spacing w:val="-13"/>
        </w:rPr>
        <w:t>）</w:t>
      </w:r>
      <w:r>
        <w:rPr>
          <w:spacing w:val="-20"/>
        </w:rPr>
        <w:t>算项目 </w:t>
      </w:r>
      <w:r>
        <w:rPr/>
        <w:t>117</w:t>
      </w:r>
    </w:p>
    <w:p>
      <w:pPr>
        <w:pStyle w:val="BodyText"/>
        <w:spacing w:line="405" w:lineRule="exact"/>
        <w:ind w:left="549"/>
      </w:pPr>
      <w:r>
        <w:rPr>
          <w:spacing w:val="-5"/>
        </w:rPr>
        <w:t>个，送审资金 </w:t>
      </w:r>
      <w:r>
        <w:rPr/>
        <w:t>264342</w:t>
      </w:r>
      <w:r>
        <w:rPr>
          <w:spacing w:val="-9"/>
        </w:rPr>
        <w:t> 万元，审定资金 </w:t>
      </w:r>
      <w:r>
        <w:rPr/>
        <w:t>235204</w:t>
      </w:r>
      <w:r>
        <w:rPr>
          <w:spacing w:val="-6"/>
        </w:rPr>
        <w:t> 万元，审减资金</w:t>
      </w:r>
    </w:p>
    <w:p>
      <w:pPr>
        <w:pStyle w:val="BodyText"/>
        <w:spacing w:before="150"/>
        <w:ind w:left="549"/>
      </w:pPr>
      <w:r>
        <w:rPr/>
        <w:t>29137</w:t>
      </w:r>
      <w:r>
        <w:rPr>
          <w:spacing w:val="-33"/>
        </w:rPr>
        <w:t> 万元，审减率 </w:t>
      </w:r>
      <w:r>
        <w:rPr>
          <w:spacing w:val="-14"/>
        </w:rPr>
        <w:t>11.01</w:t>
      </w:r>
      <w:r>
        <w:rPr>
          <w:spacing w:val="-12"/>
        </w:rPr>
        <w:t>%，切实提高财政资金使用效益。其中：</w:t>
      </w:r>
    </w:p>
    <w:p>
      <w:pPr>
        <w:pStyle w:val="BodyText"/>
        <w:spacing w:before="149"/>
        <w:ind w:left="549"/>
      </w:pPr>
      <w:r>
        <w:rPr>
          <w:spacing w:val="-27"/>
        </w:rPr>
        <w:t>预</w:t>
      </w:r>
      <w:r>
        <w:rPr/>
        <w:t>（概</w:t>
      </w:r>
      <w:r>
        <w:rPr>
          <w:spacing w:val="-27"/>
        </w:rPr>
        <w:t>）</w:t>
      </w:r>
      <w:r>
        <w:rPr>
          <w:spacing w:val="-12"/>
        </w:rPr>
        <w:t>算评审共完成 </w:t>
      </w:r>
      <w:r>
        <w:rPr/>
        <w:t>72</w:t>
      </w:r>
      <w:r>
        <w:rPr>
          <w:spacing w:val="-26"/>
        </w:rPr>
        <w:t> 个，送审资金 </w:t>
      </w:r>
      <w:r>
        <w:rPr/>
        <w:t>220609</w:t>
      </w:r>
      <w:r>
        <w:rPr>
          <w:spacing w:val="-16"/>
        </w:rPr>
        <w:t> 万元，审定资金</w:t>
      </w:r>
    </w:p>
    <w:p>
      <w:pPr>
        <w:pStyle w:val="BodyText"/>
        <w:spacing w:before="151"/>
        <w:ind w:left="549"/>
      </w:pPr>
      <w:r>
        <w:rPr/>
        <w:t>199125</w:t>
      </w:r>
      <w:r>
        <w:rPr>
          <w:spacing w:val="-24"/>
        </w:rPr>
        <w:t> 万元，审减资金 </w:t>
      </w:r>
      <w:r>
        <w:rPr/>
        <w:t>21485</w:t>
      </w:r>
      <w:r>
        <w:rPr>
          <w:spacing w:val="-27"/>
        </w:rPr>
        <w:t> 万元，审减率 </w:t>
      </w:r>
      <w:r>
        <w:rPr>
          <w:spacing w:val="-7"/>
        </w:rPr>
        <w:t>9.74</w:t>
      </w:r>
      <w:r>
        <w:rPr>
          <w:spacing w:val="-4"/>
        </w:rPr>
        <w:t>%；结算评审共</w:t>
      </w:r>
    </w:p>
    <w:p>
      <w:pPr>
        <w:pStyle w:val="BodyText"/>
        <w:spacing w:line="326" w:lineRule="auto" w:before="150"/>
        <w:ind w:left="549" w:right="547"/>
      </w:pPr>
      <w:r>
        <w:rPr>
          <w:spacing w:val="-25"/>
        </w:rPr>
        <w:t>完成 </w:t>
      </w:r>
      <w:r>
        <w:rPr/>
        <w:t>45</w:t>
      </w:r>
      <w:r>
        <w:rPr>
          <w:spacing w:val="-20"/>
        </w:rPr>
        <w:t> 个，送审资金 </w:t>
      </w:r>
      <w:r>
        <w:rPr/>
        <w:t>43732</w:t>
      </w:r>
      <w:r>
        <w:rPr>
          <w:spacing w:val="-18"/>
        </w:rPr>
        <w:t> 万元，审定资金 </w:t>
      </w:r>
      <w:r>
        <w:rPr/>
        <w:t>36080</w:t>
      </w:r>
      <w:r>
        <w:rPr>
          <w:spacing w:val="-14"/>
        </w:rPr>
        <w:t> 万元，审减</w:t>
      </w:r>
      <w:r>
        <w:rPr>
          <w:spacing w:val="-36"/>
        </w:rPr>
        <w:t>资金 </w:t>
      </w:r>
      <w:r>
        <w:rPr/>
        <w:t>7652</w:t>
      </w:r>
      <w:r>
        <w:rPr>
          <w:spacing w:val="-22"/>
        </w:rPr>
        <w:t> 万元，审减率 </w:t>
      </w:r>
      <w:r>
        <w:rPr/>
        <w:t>17.5%。</w:t>
      </w:r>
    </w:p>
    <w:p>
      <w:pPr>
        <w:pStyle w:val="BodyText"/>
        <w:spacing w:line="328" w:lineRule="auto" w:before="6"/>
        <w:ind w:left="549" w:right="439" w:firstLine="640"/>
        <w:jc w:val="both"/>
      </w:pPr>
      <w:r>
        <w:rPr>
          <w:spacing w:val="-12"/>
        </w:rPr>
        <w:t>在过去的一年，面对经济形势下行、税收收入大幅下降等不</w:t>
      </w:r>
      <w:r>
        <w:rPr>
          <w:spacing w:val="-14"/>
        </w:rPr>
        <w:t>利因素，取得以上成绩实属不易，是县委坚强领导和科学决策的</w:t>
      </w:r>
      <w:r>
        <w:rPr>
          <w:spacing w:val="-13"/>
        </w:rPr>
        <w:t>结果，是县人大、县政协及代表委员们监督指导的结果，是全县</w:t>
      </w:r>
      <w:r>
        <w:rPr>
          <w:spacing w:val="-14"/>
        </w:rPr>
        <w:t>上下共同奋斗的结果。在总结成绩的同时，我们也清醒地看到，</w:t>
      </w:r>
    </w:p>
    <w:p>
      <w:pPr>
        <w:spacing w:after="0" w:line="328" w:lineRule="auto"/>
        <w:jc w:val="both"/>
        <w:sectPr>
          <w:pgSz w:w="11910" w:h="16840"/>
          <w:pgMar w:header="0" w:footer="1917" w:top="1580" w:bottom="2100" w:left="1040" w:right="920"/>
        </w:sectPr>
      </w:pPr>
    </w:p>
    <w:p>
      <w:pPr>
        <w:pStyle w:val="BodyText"/>
        <w:spacing w:before="2"/>
        <w:rPr>
          <w:sz w:val="27"/>
        </w:rPr>
      </w:pPr>
    </w:p>
    <w:p>
      <w:pPr>
        <w:pStyle w:val="BodyText"/>
        <w:spacing w:line="328" w:lineRule="auto" w:before="55"/>
        <w:ind w:left="549" w:right="552"/>
        <w:jc w:val="both"/>
      </w:pPr>
      <w:r>
        <w:rPr>
          <w:spacing w:val="-7"/>
        </w:rPr>
        <w:t>预算执行和财政工作中还存在一些困难和问题，主要是：一、财</w:t>
      </w:r>
      <w:r>
        <w:rPr>
          <w:spacing w:val="-10"/>
        </w:rPr>
        <w:t>政收入增长持续乏力。组合式减税降费政策长期实施，全县纳税</w:t>
      </w:r>
      <w:r>
        <w:rPr>
          <w:spacing w:val="-11"/>
        </w:rPr>
        <w:t>主体减少；土地市场下行，土地财政难以为继。二、收支矛盾异常尖锐。城乡社会化养护、垃圾运输处理、乡村振兴、环境综合</w:t>
      </w:r>
      <w:r>
        <w:rPr>
          <w:spacing w:val="-9"/>
        </w:rPr>
        <w:t>整治等支出巨大，债务还本付息、“三保”提标保障、聘用教师</w:t>
      </w:r>
      <w:r>
        <w:rPr>
          <w:spacing w:val="-10"/>
        </w:rPr>
        <w:t>保障等刚性支出逐年增长，防疫费用、污水处理费、南水北调水</w:t>
      </w:r>
      <w:r>
        <w:rPr>
          <w:spacing w:val="-12"/>
        </w:rPr>
        <w:t>费、地表水处理服务费历史欠账较多，财政长期承担巨大支出压</w:t>
      </w:r>
      <w:r>
        <w:rPr>
          <w:spacing w:val="-11"/>
        </w:rPr>
        <w:t>力。三、预算执行缺乏刚性约束。各预算部门“花钱问效，无效</w:t>
      </w:r>
      <w:r>
        <w:rPr>
          <w:spacing w:val="-12"/>
        </w:rPr>
        <w:t>问责”观念不足，一些预算项目前期准备不足，追加预算已成常</w:t>
      </w:r>
      <w:r>
        <w:rPr>
          <w:spacing w:val="-13"/>
        </w:rPr>
        <w:t>态。面对这些问题，我们将高度重视，进一步加强研判，深化改</w:t>
      </w:r>
      <w:r>
        <w:rPr/>
        <w:t>革，强化管理，积极采取措施加以解决。</w:t>
      </w:r>
    </w:p>
    <w:p>
      <w:pPr>
        <w:pStyle w:val="BodyText"/>
        <w:spacing w:line="390" w:lineRule="exact"/>
        <w:ind w:left="1190"/>
        <w:rPr>
          <w:rFonts w:ascii="黑体" w:eastAsia="黑体" w:hint="eastAsia"/>
        </w:rPr>
      </w:pPr>
      <w:r>
        <w:rPr>
          <w:rFonts w:ascii="黑体" w:eastAsia="黑体" w:hint="eastAsia"/>
        </w:rPr>
        <w:t>二、2023 年预算安排情况</w:t>
      </w:r>
    </w:p>
    <w:p>
      <w:pPr>
        <w:pStyle w:val="BodyText"/>
        <w:spacing w:line="328" w:lineRule="auto" w:before="152"/>
        <w:ind w:left="549" w:right="439" w:firstLine="640"/>
      </w:pPr>
      <w:r>
        <w:rPr/>
        <w:t>2023 年是党和国家历史上极为重要的一年，也是高阳发展</w:t>
      </w:r>
      <w:r>
        <w:rPr>
          <w:spacing w:val="-11"/>
        </w:rPr>
        <w:t>进程中不同寻常的一年，我们坚持以学习贯彻党的二十大精神为</w:t>
      </w:r>
      <w:r>
        <w:rPr>
          <w:spacing w:val="-12"/>
        </w:rPr>
        <w:t>主线，认真落实中央、省市县委各项工作要求，坚决稳定经济， </w:t>
      </w:r>
      <w:r>
        <w:rPr>
          <w:spacing w:val="-9"/>
        </w:rPr>
        <w:t>保持区域平稳安全发展，攻坚克难，发挥财政效应，推动全县经济运行持续恢复、加快回稳。</w:t>
      </w:r>
    </w:p>
    <w:p>
      <w:pPr>
        <w:pStyle w:val="BodyText"/>
        <w:spacing w:line="328" w:lineRule="auto"/>
        <w:ind w:left="549" w:right="394" w:firstLine="640"/>
        <w:jc w:val="both"/>
      </w:pPr>
      <w:r>
        <w:rPr>
          <w:spacing w:val="-9"/>
        </w:rPr>
        <w:t>做好全年财政经济工作，既具有不少有利因素，也面临一些</w:t>
      </w:r>
      <w:r>
        <w:rPr>
          <w:spacing w:val="-16"/>
        </w:rPr>
        <w:t>困难挑战。</w:t>
      </w:r>
      <w:r>
        <w:rPr>
          <w:b/>
          <w:spacing w:val="1"/>
        </w:rPr>
        <w:t>一方面</w:t>
      </w:r>
      <w:r>
        <w:rPr>
          <w:spacing w:val="-10"/>
        </w:rPr>
        <w:t>，中央各项政策持续加力，省市配套措施迅速</w:t>
      </w:r>
      <w:r>
        <w:rPr>
          <w:spacing w:val="-13"/>
        </w:rPr>
        <w:t>跟进，明年经济运行有望总体回升；京津冀协调发展和建设雄安</w:t>
      </w:r>
      <w:r>
        <w:rPr>
          <w:spacing w:val="-16"/>
        </w:rPr>
        <w:t>新区为我县带来承接、带动机遇；我县交通区位优势明显，城乡</w:t>
      </w:r>
      <w:r>
        <w:rPr>
          <w:spacing w:val="-22"/>
        </w:rPr>
        <w:t>融合发展趋势不断向好，传统产业提质升级、新型产业蓬勃发展。</w:t>
      </w:r>
    </w:p>
    <w:p>
      <w:pPr>
        <w:spacing w:after="0" w:line="328" w:lineRule="auto"/>
        <w:jc w:val="both"/>
        <w:sectPr>
          <w:pgSz w:w="11910" w:h="16840"/>
          <w:pgMar w:header="0" w:footer="1917" w:top="1580" w:bottom="2100" w:left="1040" w:right="920"/>
        </w:sectPr>
      </w:pPr>
    </w:p>
    <w:p>
      <w:pPr>
        <w:pStyle w:val="BodyText"/>
        <w:spacing w:before="2"/>
        <w:rPr>
          <w:sz w:val="27"/>
        </w:rPr>
      </w:pPr>
    </w:p>
    <w:p>
      <w:pPr>
        <w:pStyle w:val="BodyText"/>
        <w:spacing w:line="328" w:lineRule="auto" w:before="55"/>
        <w:ind w:left="549" w:right="394"/>
      </w:pPr>
      <w:r>
        <w:rPr>
          <w:b/>
        </w:rPr>
        <w:t>另一方面，</w:t>
      </w:r>
      <w:r>
        <w:rPr/>
        <w:t>疫情影响持续，国内经济发展需求收缩、供给冲击、</w:t>
      </w:r>
      <w:r>
        <w:rPr>
          <w:spacing w:val="-8"/>
        </w:rPr>
        <w:t>预期转弱三重压力仍然较大，我县产业支撑不足、企业创新能力</w:t>
      </w:r>
      <w:r>
        <w:rPr>
          <w:spacing w:val="-13"/>
        </w:rPr>
        <w:t>不足，财政收入增长支撑不足，财政收入结构性矛盾突出。同时</w:t>
      </w:r>
      <w:r>
        <w:rPr>
          <w:spacing w:val="-24"/>
        </w:rPr>
        <w:t>国家民生政策提标扩面以及支持协同发展、科技创新、生态治理、</w:t>
      </w:r>
      <w:r>
        <w:rPr>
          <w:spacing w:val="-11"/>
        </w:rPr>
        <w:t>乡村振兴、基层“三保”等必保事项逐年增多，财政平衡压力依</w:t>
      </w:r>
      <w:r>
        <w:rPr>
          <w:spacing w:val="-14"/>
        </w:rPr>
        <w:t>然很大。我们将抢抓机遇、迎难而上，坚决履行好财政的职责使</w:t>
      </w:r>
      <w:r>
        <w:rPr>
          <w:spacing w:val="-19"/>
        </w:rPr>
        <w:t>命，科学合理安排 </w:t>
      </w:r>
      <w:r>
        <w:rPr/>
        <w:t>2023</w:t>
      </w:r>
      <w:r>
        <w:rPr>
          <w:spacing w:val="-8"/>
        </w:rPr>
        <w:t> 年预算，更好统筹财政资源，服务保障重点工作，积极推动全县经济社会高质量发展。</w:t>
      </w:r>
    </w:p>
    <w:p>
      <w:pPr>
        <w:pStyle w:val="Heading4"/>
        <w:spacing w:line="395" w:lineRule="exact"/>
      </w:pPr>
      <w:r>
        <w:rPr/>
        <w:t>（一）2023 年预算安排指导思想和总体思路</w:t>
      </w:r>
    </w:p>
    <w:p>
      <w:pPr>
        <w:pStyle w:val="BodyText"/>
        <w:spacing w:before="151"/>
        <w:ind w:left="1190"/>
      </w:pPr>
      <w:r>
        <w:rPr/>
        <w:t>2022</w:t>
      </w:r>
      <w:r>
        <w:rPr>
          <w:spacing w:val="-55"/>
        </w:rPr>
        <w:t> 年 </w:t>
      </w:r>
      <w:r>
        <w:rPr/>
        <w:t>12</w:t>
      </w:r>
      <w:r>
        <w:rPr>
          <w:spacing w:val="-12"/>
        </w:rPr>
        <w:t> 月份中央、省市县委经济工作会议相继召开，对</w:t>
      </w:r>
    </w:p>
    <w:p>
      <w:pPr>
        <w:pStyle w:val="BodyText"/>
        <w:spacing w:line="328" w:lineRule="auto" w:before="149"/>
        <w:ind w:left="549" w:right="438"/>
      </w:pPr>
      <w:r>
        <w:rPr>
          <w:spacing w:val="-20"/>
        </w:rPr>
        <w:t>做好 </w:t>
      </w:r>
      <w:r>
        <w:rPr/>
        <w:t>2023</w:t>
      </w:r>
      <w:r>
        <w:rPr>
          <w:spacing w:val="-8"/>
        </w:rPr>
        <w:t> 年经济工作进行了全面部署。根据中央、省市县委部</w:t>
      </w:r>
      <w:r>
        <w:rPr>
          <w:spacing w:val="-6"/>
        </w:rPr>
        <w:t>署要求和当前财经运行形势，</w:t>
      </w:r>
      <w:r>
        <w:rPr/>
        <w:t>2023 年预算编制的指导思想是： </w:t>
      </w:r>
      <w:r>
        <w:rPr>
          <w:spacing w:val="-6"/>
        </w:rPr>
        <w:t>以习近平新时代中国特色社会主义思想为指导，全面贯彻党的二</w:t>
      </w:r>
      <w:r>
        <w:rPr>
          <w:spacing w:val="-12"/>
        </w:rPr>
        <w:t>十大和中央省市县委经济工作会精神，坚持稳字当头，精准有效</w:t>
      </w:r>
      <w:r>
        <w:rPr>
          <w:spacing w:val="-15"/>
        </w:rPr>
        <w:t>落实积极财政政策，加强财政资源统筹，优化财政支出结构，增</w:t>
      </w:r>
      <w:r>
        <w:rPr>
          <w:spacing w:val="-17"/>
        </w:rPr>
        <w:t>强重大决策部署财力保障，坚决落实“三保”保障，深化预算管理制度改革，强化绩效管理和预算约束，严格落实过“紧日子” </w:t>
      </w:r>
      <w:r>
        <w:rPr>
          <w:spacing w:val="-11"/>
        </w:rPr>
        <w:t>要求，有效防范化解财政风险，更好发挥财政职能作用，为全县经济社会发展提供有力支撑。</w:t>
      </w:r>
    </w:p>
    <w:p>
      <w:pPr>
        <w:pStyle w:val="BodyText"/>
        <w:spacing w:line="396" w:lineRule="exact"/>
        <w:ind w:left="1190"/>
      </w:pPr>
      <w:r>
        <w:rPr/>
        <w:t>围绕上述指导思想，预算安排坚持“政治引领、突出重点，</w:t>
      </w:r>
    </w:p>
    <w:p>
      <w:pPr>
        <w:pStyle w:val="BodyText"/>
        <w:spacing w:line="331" w:lineRule="auto" w:before="150"/>
        <w:ind w:left="549" w:right="550"/>
      </w:pPr>
      <w:r>
        <w:rPr>
          <w:spacing w:val="-11"/>
        </w:rPr>
        <w:t>积极稳妥、统筹兼顾，改革创新、科学高效，厉行节约、防控风</w:t>
      </w:r>
      <w:r>
        <w:rPr/>
        <w:t>险”的基本原则，总体思路为：</w:t>
      </w:r>
    </w:p>
    <w:p>
      <w:pPr>
        <w:spacing w:after="0" w:line="331" w:lineRule="auto"/>
        <w:sectPr>
          <w:pgSz w:w="11910" w:h="16840"/>
          <w:pgMar w:header="0" w:footer="1917" w:top="1580" w:bottom="2100" w:left="1040" w:right="920"/>
        </w:sectPr>
      </w:pPr>
    </w:p>
    <w:p>
      <w:pPr>
        <w:pStyle w:val="BodyText"/>
        <w:spacing w:before="2"/>
        <w:rPr>
          <w:sz w:val="27"/>
        </w:rPr>
      </w:pPr>
    </w:p>
    <w:p>
      <w:pPr>
        <w:pStyle w:val="BodyText"/>
        <w:spacing w:line="326" w:lineRule="auto" w:before="55"/>
        <w:ind w:left="549" w:right="391" w:firstLine="643"/>
      </w:pPr>
      <w:r>
        <w:rPr>
          <w:b/>
          <w:spacing w:val="-5"/>
        </w:rPr>
        <w:t>一是全面落实各项决策部署。</w:t>
      </w:r>
      <w:r>
        <w:rPr>
          <w:spacing w:val="-9"/>
        </w:rPr>
        <w:t>把保障中央、省市县委决策部署摆在首位，聚焦协同发展、保障雄安、疫情防控、生态治理、</w:t>
      </w:r>
      <w:r>
        <w:rPr>
          <w:spacing w:val="-20"/>
        </w:rPr>
        <w:t>乡村振兴等，全力做好重大战略、重大政策、重大项目资金保障。</w:t>
      </w:r>
    </w:p>
    <w:p>
      <w:pPr>
        <w:pStyle w:val="BodyText"/>
        <w:spacing w:line="328" w:lineRule="auto" w:before="7"/>
        <w:ind w:left="549" w:right="391" w:firstLine="643"/>
      </w:pPr>
      <w:r>
        <w:rPr>
          <w:b/>
          <w:spacing w:val="-4"/>
        </w:rPr>
        <w:t>二是积极的财政政策提升效能。</w:t>
      </w:r>
      <w:r>
        <w:rPr>
          <w:spacing w:val="-11"/>
        </w:rPr>
        <w:t>更加注重精准、可持续，不</w:t>
      </w:r>
      <w:r>
        <w:rPr>
          <w:spacing w:val="-16"/>
        </w:rPr>
        <w:t>折不扣落实减税降费政策，激发市场主体活力；积极争取上级支</w:t>
      </w:r>
      <w:r>
        <w:rPr>
          <w:spacing w:val="-20"/>
        </w:rPr>
        <w:t>持，管好用好债券资金，严管快用直达资金，保证财政支出强度， </w:t>
      </w:r>
      <w:r>
        <w:rPr/>
        <w:t>加快支出进度，带动有效投资。</w:t>
      </w:r>
    </w:p>
    <w:p>
      <w:pPr>
        <w:spacing w:line="326" w:lineRule="auto" w:before="0"/>
        <w:ind w:left="549" w:right="416" w:firstLine="643"/>
        <w:jc w:val="left"/>
        <w:rPr>
          <w:sz w:val="32"/>
        </w:rPr>
      </w:pPr>
      <w:r>
        <w:rPr>
          <w:b/>
          <w:sz w:val="32"/>
        </w:rPr>
        <w:t>三是着力推动高质量发展。</w:t>
      </w:r>
      <w:r>
        <w:rPr>
          <w:sz w:val="32"/>
        </w:rPr>
        <w:t>积极推进转型升级、科技创新、开放融合、绿色低碳发展，促进发展质量和效益不断提升。</w:t>
      </w:r>
    </w:p>
    <w:p>
      <w:pPr>
        <w:pStyle w:val="BodyText"/>
        <w:spacing w:line="328" w:lineRule="auto"/>
        <w:ind w:left="549" w:right="551" w:firstLine="643"/>
        <w:jc w:val="both"/>
      </w:pPr>
      <w:r>
        <w:rPr>
          <w:b/>
          <w:spacing w:val="-4"/>
        </w:rPr>
        <w:t>四是稳步推进共同富裕。</w:t>
      </w:r>
      <w:r>
        <w:rPr>
          <w:spacing w:val="-11"/>
        </w:rPr>
        <w:t>坚持尽力而为、量力而行，认真做</w:t>
      </w:r>
      <w:r>
        <w:rPr>
          <w:spacing w:val="-10"/>
        </w:rPr>
        <w:t>好民生政策提标扩面资金保障，支持健全基本公共服务体系和社</w:t>
      </w:r>
      <w:r>
        <w:rPr>
          <w:spacing w:val="-11"/>
        </w:rPr>
        <w:t>会保障体系，扎实推动共同富裕，增强人民群众的获得感、幸福</w:t>
      </w:r>
      <w:r>
        <w:rPr/>
        <w:t>感、安全感。</w:t>
      </w:r>
    </w:p>
    <w:p>
      <w:pPr>
        <w:pStyle w:val="BodyText"/>
        <w:spacing w:line="328" w:lineRule="auto"/>
        <w:ind w:left="549" w:right="392" w:firstLine="643"/>
      </w:pPr>
      <w:r>
        <w:rPr>
          <w:b/>
          <w:spacing w:val="-10"/>
        </w:rPr>
        <w:t>五是牢固树立过“紧日子”思想。</w:t>
      </w:r>
      <w:r>
        <w:rPr>
          <w:spacing w:val="-4"/>
        </w:rPr>
        <w:t>充分估计困难挑战，实事</w:t>
      </w:r>
      <w:r>
        <w:rPr>
          <w:spacing w:val="-20"/>
        </w:rPr>
        <w:t>求是、科学预测，稳妥安排收入预算；坚持艰苦奋斗、勤俭节约， </w:t>
      </w:r>
      <w:r>
        <w:rPr>
          <w:spacing w:val="-10"/>
        </w:rPr>
        <w:t>严控一般性支出，继续强化“三公”经费管理，厉行节约办一切事业。</w:t>
      </w:r>
    </w:p>
    <w:p>
      <w:pPr>
        <w:pStyle w:val="BodyText"/>
        <w:spacing w:line="328" w:lineRule="auto"/>
        <w:ind w:left="549" w:right="439" w:firstLine="643"/>
      </w:pPr>
      <w:r>
        <w:rPr>
          <w:b/>
          <w:spacing w:val="-5"/>
        </w:rPr>
        <w:t>六是深入贯彻财政体制改革。</w:t>
      </w:r>
      <w:r>
        <w:rPr>
          <w:spacing w:val="-9"/>
        </w:rPr>
        <w:t>把握改革方向，落实财政事权</w:t>
      </w:r>
      <w:r>
        <w:rPr>
          <w:spacing w:val="-14"/>
        </w:rPr>
        <w:t>和支出责任改革成果，掌握各类调整和管理机制，用好转移支付</w:t>
      </w:r>
      <w:r>
        <w:rPr>
          <w:spacing w:val="-13"/>
        </w:rPr>
        <w:t>政策，完善“三保”保障机制，加强债务管理，保障财政平稳运</w:t>
      </w:r>
      <w:r>
        <w:rPr>
          <w:spacing w:val="-14"/>
        </w:rPr>
        <w:t>行。全面落实深化预算管理制度改革，巩固完善绩效预算管理， </w:t>
      </w:r>
      <w:r>
        <w:rPr>
          <w:spacing w:val="-10"/>
        </w:rPr>
        <w:t>全流程强化预算编制、执行及监督，提高预算规范化科学化水平</w:t>
      </w:r>
    </w:p>
    <w:p>
      <w:pPr>
        <w:spacing w:after="0" w:line="328" w:lineRule="auto"/>
        <w:sectPr>
          <w:pgSz w:w="11910" w:h="16840"/>
          <w:pgMar w:header="0" w:footer="1917" w:top="1580" w:bottom="2100" w:left="1040" w:right="920"/>
        </w:sectPr>
      </w:pPr>
    </w:p>
    <w:p>
      <w:pPr>
        <w:pStyle w:val="BodyText"/>
        <w:spacing w:before="2"/>
        <w:rPr>
          <w:sz w:val="27"/>
        </w:rPr>
      </w:pPr>
    </w:p>
    <w:p>
      <w:pPr>
        <w:pStyle w:val="BodyText"/>
        <w:spacing w:before="55"/>
        <w:ind w:left="549"/>
      </w:pPr>
      <w:r>
        <w:rPr>
          <w:w w:val="95"/>
        </w:rPr>
        <w:t>和预算透明度。</w:t>
      </w:r>
    </w:p>
    <w:p>
      <w:pPr>
        <w:pStyle w:val="BodyText"/>
        <w:spacing w:line="328" w:lineRule="auto" w:before="149"/>
        <w:ind w:left="549" w:right="551" w:firstLine="643"/>
        <w:jc w:val="both"/>
      </w:pPr>
      <w:r>
        <w:rPr>
          <w:b/>
          <w:spacing w:val="-6"/>
        </w:rPr>
        <w:t>七是有效防控财政风险。</w:t>
      </w:r>
      <w:r>
        <w:rPr>
          <w:spacing w:val="-7"/>
        </w:rPr>
        <w:t>切实保障基层平稳运行，合理安排</w:t>
      </w:r>
      <w:r>
        <w:rPr>
          <w:spacing w:val="-11"/>
        </w:rPr>
        <w:t>新增政府债务规模，落实好还本付息资金，防范化解政府债务风</w:t>
      </w:r>
      <w:r>
        <w:rPr>
          <w:spacing w:val="-12"/>
        </w:rPr>
        <w:t>险；立足当前，着眼长远，统筹考虑未来年度增支压力，确保财</w:t>
      </w:r>
      <w:r>
        <w:rPr/>
        <w:t>政可持续发展。</w:t>
      </w:r>
    </w:p>
    <w:p>
      <w:pPr>
        <w:pStyle w:val="Heading4"/>
        <w:spacing w:line="402" w:lineRule="exact"/>
      </w:pPr>
      <w:r>
        <w:rPr/>
        <w:t>（二）预算草案</w:t>
      </w:r>
    </w:p>
    <w:p>
      <w:pPr>
        <w:pStyle w:val="ListParagraph"/>
        <w:numPr>
          <w:ilvl w:val="0"/>
          <w:numId w:val="3"/>
        </w:numPr>
        <w:tabs>
          <w:tab w:pos="1514" w:val="left" w:leader="none"/>
        </w:tabs>
        <w:spacing w:line="240" w:lineRule="auto" w:before="152" w:after="0"/>
        <w:ind w:left="1514" w:right="0" w:hanging="322"/>
        <w:jc w:val="left"/>
        <w:rPr>
          <w:b/>
          <w:sz w:val="32"/>
        </w:rPr>
      </w:pPr>
      <w:r>
        <w:rPr>
          <w:b/>
          <w:sz w:val="32"/>
        </w:rPr>
        <w:t>一般公共预算安排</w:t>
      </w:r>
    </w:p>
    <w:p>
      <w:pPr>
        <w:pStyle w:val="BodyText"/>
        <w:spacing w:before="149"/>
        <w:ind w:left="1190"/>
      </w:pPr>
      <w:r>
        <w:rPr>
          <w:spacing w:val="5"/>
        </w:rPr>
        <w:t>收入总计 </w:t>
      </w:r>
      <w:r>
        <w:rPr/>
        <w:t>323109</w:t>
      </w:r>
      <w:r>
        <w:rPr>
          <w:spacing w:val="5"/>
        </w:rPr>
        <w:t> 万元，其构成：县级一般公共预算收入</w:t>
      </w:r>
    </w:p>
    <w:p>
      <w:pPr>
        <w:pStyle w:val="BodyText"/>
        <w:spacing w:before="149"/>
        <w:ind w:left="549"/>
      </w:pPr>
      <w:r>
        <w:rPr/>
        <w:t>101910</w:t>
      </w:r>
      <w:r>
        <w:rPr>
          <w:spacing w:val="-32"/>
        </w:rPr>
        <w:t> 万元；上级补助收入 </w:t>
      </w:r>
      <w:r>
        <w:rPr/>
        <w:t>108930</w:t>
      </w:r>
      <w:r>
        <w:rPr>
          <w:spacing w:val="-38"/>
        </w:rPr>
        <w:t> 万元，其中，返还性收入 </w:t>
      </w:r>
      <w:r>
        <w:rPr/>
        <w:t>4341</w:t>
      </w:r>
    </w:p>
    <w:p>
      <w:pPr>
        <w:pStyle w:val="BodyText"/>
        <w:spacing w:before="152"/>
        <w:ind w:left="549"/>
      </w:pPr>
      <w:r>
        <w:rPr>
          <w:spacing w:val="-14"/>
        </w:rPr>
        <w:t>万元，一般转移支付 </w:t>
      </w:r>
      <w:r>
        <w:rPr/>
        <w:t>100731</w:t>
      </w:r>
      <w:r>
        <w:rPr>
          <w:spacing w:val="-21"/>
        </w:rPr>
        <w:t> 万元，专项转移支付 </w:t>
      </w:r>
      <w:r>
        <w:rPr/>
        <w:t>3858</w:t>
      </w:r>
      <w:r>
        <w:rPr>
          <w:spacing w:val="-25"/>
        </w:rPr>
        <w:t> 万元；调</w:t>
      </w:r>
    </w:p>
    <w:p>
      <w:pPr>
        <w:pStyle w:val="BodyText"/>
        <w:spacing w:before="149"/>
        <w:ind w:left="549"/>
      </w:pPr>
      <w:r>
        <w:rPr>
          <w:spacing w:val="-21"/>
        </w:rPr>
        <w:t>入资金 </w:t>
      </w:r>
      <w:r>
        <w:rPr/>
        <w:t>73823</w:t>
      </w:r>
      <w:r>
        <w:rPr>
          <w:spacing w:val="-18"/>
        </w:rPr>
        <w:t> 万元；动用预算稳定调节基金 </w:t>
      </w:r>
      <w:r>
        <w:rPr/>
        <w:t>25527</w:t>
      </w:r>
      <w:r>
        <w:rPr>
          <w:spacing w:val="-22"/>
        </w:rPr>
        <w:t> 万元；再融资</w:t>
      </w:r>
    </w:p>
    <w:p>
      <w:pPr>
        <w:pStyle w:val="BodyText"/>
        <w:spacing w:before="149"/>
        <w:ind w:left="549"/>
      </w:pPr>
      <w:r>
        <w:rPr/>
        <w:t>债券收入 11000 万元，上年结转收入 1919 万元。</w:t>
      </w:r>
    </w:p>
    <w:p>
      <w:pPr>
        <w:pStyle w:val="BodyText"/>
        <w:spacing w:before="152"/>
        <w:ind w:left="1190"/>
      </w:pPr>
      <w:r>
        <w:rPr/>
        <w:t>支出总计 323109 万元，其构成：县级一般公共预算支出</w:t>
      </w:r>
    </w:p>
    <w:p>
      <w:pPr>
        <w:pStyle w:val="BodyText"/>
        <w:spacing w:line="326" w:lineRule="auto" w:before="150"/>
        <w:ind w:left="549" w:right="547"/>
      </w:pPr>
      <w:r>
        <w:rPr/>
        <w:t>305360</w:t>
      </w:r>
      <w:r>
        <w:rPr>
          <w:spacing w:val="-17"/>
        </w:rPr>
        <w:t> 万元；一般债券还本支出 </w:t>
      </w:r>
      <w:r>
        <w:rPr/>
        <w:t>13800</w:t>
      </w:r>
      <w:r>
        <w:rPr>
          <w:spacing w:val="-22"/>
        </w:rPr>
        <w:t> 万元，上解支出 </w:t>
      </w:r>
      <w:r>
        <w:rPr/>
        <w:t>3949</w:t>
      </w:r>
      <w:r>
        <w:rPr>
          <w:spacing w:val="-41"/>
        </w:rPr>
        <w:t> 万元。收支相抵，一般公共预算收支平衡。</w:t>
      </w:r>
    </w:p>
    <w:p>
      <w:pPr>
        <w:pStyle w:val="Heading4"/>
        <w:numPr>
          <w:ilvl w:val="0"/>
          <w:numId w:val="3"/>
        </w:numPr>
        <w:tabs>
          <w:tab w:pos="1514" w:val="left" w:leader="none"/>
        </w:tabs>
        <w:spacing w:line="240" w:lineRule="auto" w:before="5" w:after="0"/>
        <w:ind w:left="1514" w:right="0" w:hanging="322"/>
        <w:jc w:val="left"/>
        <w:rPr>
          <w:rFonts w:ascii="仿宋_GB2312" w:eastAsia="仿宋_GB2312" w:hint="eastAsia"/>
        </w:rPr>
      </w:pPr>
      <w:r>
        <w:rPr>
          <w:rFonts w:ascii="仿宋_GB2312" w:eastAsia="仿宋_GB2312" w:hint="eastAsia"/>
        </w:rPr>
        <w:t>政府性基金预算安排</w:t>
      </w:r>
    </w:p>
    <w:p>
      <w:pPr>
        <w:pStyle w:val="BodyText"/>
        <w:spacing w:before="149"/>
        <w:ind w:left="1190"/>
      </w:pPr>
      <w:r>
        <w:rPr/>
        <w:t>收入总计 307407 万元，其构成：县级政府性基金预算收入</w:t>
      </w:r>
    </w:p>
    <w:p>
      <w:pPr>
        <w:pStyle w:val="BodyText"/>
        <w:spacing w:line="328" w:lineRule="auto" w:before="150"/>
        <w:ind w:left="549" w:right="549"/>
      </w:pPr>
      <w:r>
        <w:rPr/>
        <w:t>257284</w:t>
      </w:r>
      <w:r>
        <w:rPr>
          <w:spacing w:val="-13"/>
        </w:rPr>
        <w:t> 万元、上级补助收入 </w:t>
      </w:r>
      <w:r>
        <w:rPr/>
        <w:t>246</w:t>
      </w:r>
      <w:r>
        <w:rPr>
          <w:spacing w:val="-13"/>
        </w:rPr>
        <w:t> 万元、上年结转收入 </w:t>
      </w:r>
      <w:r>
        <w:rPr/>
        <w:t>49877</w:t>
      </w:r>
      <w:r>
        <w:rPr>
          <w:spacing w:val="-29"/>
        </w:rPr>
        <w:t> 万元。</w:t>
      </w:r>
    </w:p>
    <w:p>
      <w:pPr>
        <w:pStyle w:val="BodyText"/>
        <w:spacing w:line="408" w:lineRule="exact"/>
        <w:ind w:left="1190"/>
      </w:pPr>
      <w:r>
        <w:rPr/>
        <w:t>支出总计 307407 万元，其构成：县级政府性基金预算支出</w:t>
      </w:r>
    </w:p>
    <w:p>
      <w:pPr>
        <w:pStyle w:val="BodyText"/>
        <w:spacing w:line="331" w:lineRule="auto" w:before="149"/>
        <w:ind w:left="549" w:right="549"/>
      </w:pPr>
      <w:r>
        <w:rPr/>
        <w:t>216604</w:t>
      </w:r>
      <w:r>
        <w:rPr>
          <w:spacing w:val="-30"/>
        </w:rPr>
        <w:t> 万元、调出资金</w:t>
      </w:r>
      <w:r>
        <w:rPr/>
        <w:t>73823</w:t>
      </w:r>
      <w:r>
        <w:rPr>
          <w:spacing w:val="-19"/>
        </w:rPr>
        <w:t> 万元、地方政府债券还本支出</w:t>
      </w:r>
      <w:r>
        <w:rPr/>
        <w:t>16980 万元。收支相抵，政府性基金预算收支平衡。</w:t>
      </w:r>
    </w:p>
    <w:p>
      <w:pPr>
        <w:spacing w:after="0" w:line="331" w:lineRule="auto"/>
        <w:sectPr>
          <w:pgSz w:w="11910" w:h="16840"/>
          <w:pgMar w:header="0" w:footer="1917" w:top="1580" w:bottom="2100" w:left="1040" w:right="920"/>
        </w:sectPr>
      </w:pPr>
    </w:p>
    <w:p>
      <w:pPr>
        <w:pStyle w:val="BodyText"/>
        <w:spacing w:before="2"/>
        <w:rPr>
          <w:sz w:val="27"/>
        </w:rPr>
      </w:pPr>
    </w:p>
    <w:p>
      <w:pPr>
        <w:pStyle w:val="Heading4"/>
        <w:numPr>
          <w:ilvl w:val="0"/>
          <w:numId w:val="3"/>
        </w:numPr>
        <w:tabs>
          <w:tab w:pos="1514" w:val="left" w:leader="none"/>
        </w:tabs>
        <w:spacing w:line="240" w:lineRule="auto" w:before="55" w:after="0"/>
        <w:ind w:left="1514" w:right="0" w:hanging="322"/>
        <w:jc w:val="left"/>
        <w:rPr>
          <w:rFonts w:ascii="仿宋_GB2312" w:eastAsia="仿宋_GB2312" w:hint="eastAsia"/>
        </w:rPr>
      </w:pPr>
      <w:r>
        <w:rPr>
          <w:rFonts w:ascii="仿宋_GB2312" w:eastAsia="仿宋_GB2312" w:hint="eastAsia"/>
        </w:rPr>
        <w:t>国有资本经营预算安排</w:t>
      </w:r>
    </w:p>
    <w:p>
      <w:pPr>
        <w:pStyle w:val="BodyText"/>
        <w:spacing w:before="149"/>
        <w:ind w:left="1190"/>
      </w:pPr>
      <w:r>
        <w:rPr/>
        <w:t>收入总计 12 万元。其构成：上级补助收入 6 万元，上年结</w:t>
      </w:r>
    </w:p>
    <w:p>
      <w:pPr>
        <w:pStyle w:val="BodyText"/>
        <w:spacing w:before="149"/>
        <w:ind w:left="549"/>
      </w:pPr>
      <w:r>
        <w:rPr/>
        <w:t>转收入 6 万元。</w:t>
      </w:r>
    </w:p>
    <w:p>
      <w:pPr>
        <w:pStyle w:val="BodyText"/>
        <w:spacing w:line="326" w:lineRule="auto" w:before="152"/>
        <w:ind w:left="549" w:right="547" w:firstLine="640"/>
      </w:pPr>
      <w:r>
        <w:rPr>
          <w:spacing w:val="-17"/>
        </w:rPr>
        <w:t>支出总计 </w:t>
      </w:r>
      <w:r>
        <w:rPr/>
        <w:t>12</w:t>
      </w:r>
      <w:r>
        <w:rPr>
          <w:spacing w:val="-16"/>
        </w:rPr>
        <w:t> 万元。其构成：县级国有资本经营预算支出 </w:t>
      </w:r>
      <w:r>
        <w:rPr>
          <w:spacing w:val="-6"/>
        </w:rPr>
        <w:t>12 </w:t>
      </w:r>
      <w:r>
        <w:rPr/>
        <w:t>万元。</w:t>
      </w:r>
    </w:p>
    <w:p>
      <w:pPr>
        <w:spacing w:line="328" w:lineRule="auto" w:before="3"/>
        <w:ind w:left="1192" w:right="2996" w:hanging="3"/>
        <w:jc w:val="left"/>
        <w:rPr>
          <w:b/>
          <w:sz w:val="32"/>
        </w:rPr>
      </w:pPr>
      <w:r>
        <w:rPr>
          <w:sz w:val="32"/>
        </w:rPr>
        <w:t>收支相抵，国有资本经营预算收支平衡。</w:t>
      </w:r>
      <w:r>
        <w:rPr>
          <w:b/>
          <w:sz w:val="32"/>
        </w:rPr>
        <w:t>4.社会保险基金预算安排</w:t>
      </w:r>
    </w:p>
    <w:p>
      <w:pPr>
        <w:pStyle w:val="BodyText"/>
        <w:spacing w:line="408" w:lineRule="exact"/>
        <w:ind w:left="1190"/>
      </w:pPr>
      <w:r>
        <w:rPr/>
        <w:t>收入预算 32551 万元，其构成：机关事业单位养老保险基金</w:t>
      </w:r>
    </w:p>
    <w:p>
      <w:pPr>
        <w:pStyle w:val="BodyText"/>
        <w:spacing w:before="149"/>
        <w:ind w:left="549"/>
      </w:pPr>
      <w:r>
        <w:rPr/>
        <w:t>收入 19373 万元，城乡居民基本养老保险基金收入 13178 万元。</w:t>
      </w:r>
    </w:p>
    <w:p>
      <w:pPr>
        <w:pStyle w:val="BodyText"/>
        <w:spacing w:before="152"/>
        <w:ind w:right="553"/>
        <w:jc w:val="right"/>
      </w:pPr>
      <w:r>
        <w:rPr>
          <w:spacing w:val="-18"/>
        </w:rPr>
        <w:t>支出预算 </w:t>
      </w:r>
      <w:r>
        <w:rPr/>
        <w:t>28919</w:t>
      </w:r>
      <w:r>
        <w:rPr>
          <w:spacing w:val="-15"/>
        </w:rPr>
        <w:t> 万元，其构成：机关事业单位养老保险基金</w:t>
      </w:r>
    </w:p>
    <w:p>
      <w:pPr>
        <w:pStyle w:val="BodyText"/>
        <w:spacing w:before="149"/>
        <w:ind w:right="549"/>
        <w:jc w:val="right"/>
      </w:pPr>
      <w:r>
        <w:rPr>
          <w:spacing w:val="-25"/>
        </w:rPr>
        <w:t>支出 </w:t>
      </w:r>
      <w:r>
        <w:rPr/>
        <w:t>19373</w:t>
      </w:r>
      <w:r>
        <w:rPr>
          <w:spacing w:val="-13"/>
        </w:rPr>
        <w:t> 万元，城乡居民基本养老保险基金支出 </w:t>
      </w:r>
      <w:r>
        <w:rPr/>
        <w:t>9546</w:t>
      </w:r>
      <w:r>
        <w:rPr>
          <w:spacing w:val="-19"/>
        </w:rPr>
        <w:t> 万元。</w:t>
      </w:r>
    </w:p>
    <w:p>
      <w:pPr>
        <w:pStyle w:val="BodyText"/>
        <w:spacing w:before="149"/>
        <w:ind w:left="549"/>
      </w:pPr>
      <w:r>
        <w:rPr/>
        <w:t>收支相抵，当期结余 3632 万元。</w:t>
      </w:r>
    </w:p>
    <w:p>
      <w:pPr>
        <w:pStyle w:val="BodyText"/>
        <w:spacing w:before="152"/>
        <w:ind w:left="1190"/>
        <w:rPr>
          <w:rFonts w:ascii="黑体" w:eastAsia="黑体" w:hint="eastAsia"/>
        </w:rPr>
      </w:pPr>
      <w:r>
        <w:rPr>
          <w:rFonts w:ascii="黑体" w:eastAsia="黑体" w:hint="eastAsia"/>
        </w:rPr>
        <w:t>三、确保完成 2023 年预算任务的措施</w:t>
      </w:r>
    </w:p>
    <w:p>
      <w:pPr>
        <w:pStyle w:val="BodyText"/>
        <w:spacing w:line="328" w:lineRule="auto" w:before="149"/>
        <w:ind w:left="549" w:right="552" w:firstLine="640"/>
        <w:jc w:val="both"/>
      </w:pPr>
      <w:r>
        <w:rPr/>
        <w:t>2023 年，我们将在县委的正确领导下，认真执行县人代会</w:t>
      </w:r>
      <w:r>
        <w:rPr>
          <w:spacing w:val="-10"/>
        </w:rPr>
        <w:t>及县人大常委会的决议，围绕“十四五”时期全县主要目标和重</w:t>
      </w:r>
      <w:r>
        <w:rPr>
          <w:spacing w:val="-11"/>
        </w:rPr>
        <w:t>点任务，严格落实县委工作部署，坚定不移贯彻新发展理念，坚</w:t>
      </w:r>
      <w:r>
        <w:rPr>
          <w:spacing w:val="-10"/>
        </w:rPr>
        <w:t>持以建设高质量财政、助推高质量发展为主题，努力完成全年预</w:t>
      </w:r>
      <w:r>
        <w:rPr/>
        <w:t>算目标。</w:t>
      </w:r>
    </w:p>
    <w:p>
      <w:pPr>
        <w:pStyle w:val="Heading4"/>
        <w:spacing w:line="403" w:lineRule="exact"/>
      </w:pPr>
      <w:r>
        <w:rPr/>
        <w:t>（一）多措并举，狠抓财政收入</w:t>
      </w:r>
    </w:p>
    <w:p>
      <w:pPr>
        <w:pStyle w:val="BodyText"/>
        <w:spacing w:line="328" w:lineRule="auto" w:before="149"/>
        <w:ind w:left="549" w:right="552" w:firstLine="640"/>
        <w:jc w:val="both"/>
      </w:pPr>
      <w:r>
        <w:rPr>
          <w:spacing w:val="-11"/>
        </w:rPr>
        <w:t>坚持依法治税管费，深入推进综合治税，强化财税部门协调</w:t>
      </w:r>
      <w:r>
        <w:rPr>
          <w:spacing w:val="-12"/>
        </w:rPr>
        <w:t>联动，掌握税收最新政策，落实旬分析、月报告制度，预判税收</w:t>
      </w:r>
      <w:r>
        <w:rPr>
          <w:spacing w:val="-13"/>
        </w:rPr>
        <w:t>节奏，规范组织收入，应减尽减、应收尽收。紧盯国家省委政策</w:t>
      </w:r>
    </w:p>
    <w:p>
      <w:pPr>
        <w:spacing w:after="0" w:line="328" w:lineRule="auto"/>
        <w:jc w:val="both"/>
        <w:sectPr>
          <w:pgSz w:w="11910" w:h="16840"/>
          <w:pgMar w:header="0" w:footer="1917" w:top="1580" w:bottom="2100" w:left="1040" w:right="920"/>
        </w:sectPr>
      </w:pPr>
    </w:p>
    <w:p>
      <w:pPr>
        <w:pStyle w:val="BodyText"/>
        <w:spacing w:before="2"/>
        <w:rPr>
          <w:sz w:val="27"/>
        </w:rPr>
      </w:pPr>
    </w:p>
    <w:p>
      <w:pPr>
        <w:pStyle w:val="BodyText"/>
        <w:spacing w:line="328" w:lineRule="auto" w:before="55"/>
        <w:ind w:left="549" w:right="388"/>
      </w:pPr>
      <w:r>
        <w:rPr>
          <w:spacing w:val="-19"/>
          <w:w w:val="95"/>
        </w:rPr>
        <w:t>动向、资金投向、试点安排，积极“跑办”，赴财政厅对接汇报， </w:t>
      </w:r>
      <w:r>
        <w:rPr>
          <w:spacing w:val="-19"/>
        </w:rPr>
        <w:t>充分反映高阳特殊因素、工作成效和现实困难，争取上级支持实</w:t>
      </w:r>
      <w:r>
        <w:rPr>
          <w:spacing w:val="-15"/>
        </w:rPr>
        <w:t>现新突破。健全土地收储协调联动机制，统筹考虑用地规模，增</w:t>
      </w:r>
      <w:r>
        <w:rPr>
          <w:spacing w:val="-18"/>
        </w:rPr>
        <w:t>强政府对土地资源的调控能力，掌握土地市场动向，研判土地价</w:t>
      </w:r>
      <w:r>
        <w:rPr>
          <w:spacing w:val="-12"/>
        </w:rPr>
        <w:t>值，科学精准储地、卖地，实现土地资源收益最大化。加强财政</w:t>
      </w:r>
      <w:r>
        <w:rPr>
          <w:spacing w:val="-14"/>
        </w:rPr>
        <w:t>资源统筹，用好债券资金，支持产业结构调整和创新驱动战略实</w:t>
      </w:r>
      <w:r>
        <w:rPr>
          <w:spacing w:val="-12"/>
        </w:rPr>
        <w:t>施，培育税收增长点。有效盘活财政存量资金，对长期沉淀闲置</w:t>
      </w:r>
      <w:r>
        <w:rPr>
          <w:spacing w:val="-20"/>
        </w:rPr>
        <w:t>资金和各类结转结余资金应收尽收，加强监测，防止</w:t>
      </w:r>
      <w:r>
        <w:rPr>
          <w:rFonts w:ascii="Times New Roman" w:hAnsi="Times New Roman" w:eastAsia="Times New Roman"/>
        </w:rPr>
        <w:t>“</w:t>
      </w:r>
      <w:r>
        <w:rPr/>
        <w:t>二次沉淀</w:t>
      </w:r>
      <w:r>
        <w:rPr>
          <w:rFonts w:ascii="Times New Roman" w:hAnsi="Times New Roman" w:eastAsia="Times New Roman"/>
          <w:spacing w:val="-7"/>
        </w:rPr>
        <w:t>”</w:t>
      </w:r>
      <w:r>
        <w:rPr>
          <w:spacing w:val="-7"/>
        </w:rPr>
        <w:t>， </w:t>
      </w:r>
      <w:r>
        <w:rPr/>
        <w:t>缓解支出压力。</w:t>
      </w:r>
    </w:p>
    <w:p>
      <w:pPr>
        <w:pStyle w:val="Heading4"/>
        <w:spacing w:line="395" w:lineRule="exact"/>
      </w:pPr>
      <w:r>
        <w:rPr/>
        <w:t>（二）厉行节约，优化财政支出</w:t>
      </w:r>
    </w:p>
    <w:p>
      <w:pPr>
        <w:pStyle w:val="BodyText"/>
        <w:spacing w:line="328" w:lineRule="auto" w:before="149"/>
        <w:ind w:left="549" w:right="550" w:firstLine="640"/>
        <w:jc w:val="both"/>
      </w:pPr>
      <w:r>
        <w:rPr>
          <w:spacing w:val="-12"/>
        </w:rPr>
        <w:t>严格落实过“紧日子”要求，着力优化支出结构，硬化预算</w:t>
      </w:r>
      <w:r>
        <w:rPr>
          <w:spacing w:val="-25"/>
        </w:rPr>
        <w:t>约束，盯紧刚性支出，集中财力办大事、保重点。党政机关过“紧</w:t>
      </w:r>
      <w:r>
        <w:rPr>
          <w:spacing w:val="-12"/>
        </w:rPr>
        <w:t>日子”常态化，执守简朴、精打细算，继续强化“三公”经费管</w:t>
      </w:r>
      <w:r>
        <w:rPr>
          <w:spacing w:val="-11"/>
        </w:rPr>
        <w:t>理，下调行政事业单位基本支出定额标准，日常经费开支同比减</w:t>
      </w:r>
      <w:r>
        <w:rPr>
          <w:spacing w:val="12"/>
        </w:rPr>
        <w:t>少 </w:t>
      </w:r>
      <w:r>
        <w:rPr/>
        <w:t>5%，稳定支出节奏，优先保证“三保”支出，确保基层平稳</w:t>
      </w:r>
      <w:r>
        <w:rPr>
          <w:spacing w:val="-11"/>
        </w:rPr>
        <w:t>运行；加快直达资金分配，确保快使用、快见效；预判重点工作进度，科学调配保障支出，切实把有限财政资金用在刀刃上，履</w:t>
      </w:r>
      <w:r>
        <w:rPr/>
        <w:t>行好财政资金保基本、兜底线、打基础、撬投资的职责作用。</w:t>
      </w:r>
    </w:p>
    <w:p>
      <w:pPr>
        <w:pStyle w:val="Heading4"/>
        <w:spacing w:line="398" w:lineRule="exact"/>
      </w:pPr>
      <w:r>
        <w:rPr/>
        <w:t>（三）提升效能，强化绩效管理</w:t>
      </w:r>
    </w:p>
    <w:p>
      <w:pPr>
        <w:pStyle w:val="BodyText"/>
        <w:spacing w:line="328" w:lineRule="auto" w:before="149"/>
        <w:ind w:left="549" w:right="552" w:firstLine="640"/>
        <w:jc w:val="both"/>
      </w:pPr>
      <w:r>
        <w:rPr>
          <w:spacing w:val="-9"/>
        </w:rPr>
        <w:t>推进预算和绩效管理一体化，将行政事业单位资产管理、地</w:t>
      </w:r>
      <w:r>
        <w:rPr>
          <w:spacing w:val="-12"/>
        </w:rPr>
        <w:t>方政府债务、部门决算管理等系统全部纳入一体化，提高财政资源配置效率，增强财政发展可持续性。夯实预算绩效管理制度办</w:t>
      </w:r>
    </w:p>
    <w:p>
      <w:pPr>
        <w:spacing w:after="0" w:line="328" w:lineRule="auto"/>
        <w:jc w:val="both"/>
        <w:sectPr>
          <w:pgSz w:w="11910" w:h="16840"/>
          <w:pgMar w:header="0" w:footer="1917" w:top="1580" w:bottom="2100" w:left="1040" w:right="920"/>
        </w:sectPr>
      </w:pPr>
    </w:p>
    <w:p>
      <w:pPr>
        <w:pStyle w:val="BodyText"/>
        <w:spacing w:before="2"/>
        <w:rPr>
          <w:sz w:val="27"/>
        </w:rPr>
      </w:pPr>
    </w:p>
    <w:p>
      <w:pPr>
        <w:pStyle w:val="BodyText"/>
        <w:spacing w:line="326" w:lineRule="auto" w:before="55"/>
        <w:ind w:left="549" w:right="394"/>
      </w:pPr>
      <w:r>
        <w:rPr>
          <w:spacing w:val="-19"/>
        </w:rPr>
        <w:t>法和业务流程，健全绩效评价工作机制，加强绩效评价结果应用， </w:t>
      </w:r>
      <w:r>
        <w:rPr>
          <w:spacing w:val="-9"/>
        </w:rPr>
        <w:t>将评价结果与完善政策、调整预算安排有机衔接，削减或取消低效无效资金，不断提升财政资金使用效益。</w:t>
      </w:r>
    </w:p>
    <w:p>
      <w:pPr>
        <w:pStyle w:val="Heading4"/>
        <w:spacing w:before="7"/>
      </w:pPr>
      <w:r>
        <w:rPr/>
        <w:t>（四）树牢底线，防控财政风险</w:t>
      </w:r>
    </w:p>
    <w:p>
      <w:pPr>
        <w:pStyle w:val="BodyText"/>
        <w:spacing w:line="328" w:lineRule="auto" w:before="149"/>
        <w:ind w:left="549" w:right="394" w:firstLine="640"/>
      </w:pPr>
      <w:r>
        <w:rPr>
          <w:spacing w:val="-12"/>
        </w:rPr>
        <w:t>严防债务风险，用好再融资政策，加强政府债券还本付息全</w:t>
      </w:r>
      <w:r>
        <w:rPr>
          <w:spacing w:val="-14"/>
        </w:rPr>
        <w:t>流程管理，确保债券到期本息全部按时偿还。对隐性债务风险化</w:t>
      </w:r>
      <w:r>
        <w:rPr>
          <w:spacing w:val="-15"/>
        </w:rPr>
        <w:t>解进行全面核查，坚决遏制隐性债务。坚决维护财经纪律，深入</w:t>
      </w:r>
      <w:r>
        <w:rPr>
          <w:spacing w:val="-23"/>
        </w:rPr>
        <w:t>开展地方财经秩序专项整治行动，健全机制，加强日常监督管理， </w:t>
      </w:r>
      <w:r>
        <w:rPr/>
        <w:t>坚决守住不发生财政系统性、区域性风险的底线。</w:t>
      </w:r>
    </w:p>
    <w:p>
      <w:pPr>
        <w:pStyle w:val="BodyText"/>
        <w:spacing w:line="328" w:lineRule="auto"/>
        <w:ind w:left="549" w:right="547" w:firstLine="640"/>
        <w:jc w:val="both"/>
      </w:pPr>
      <w:r>
        <w:rPr>
          <w:spacing w:val="-10"/>
        </w:rPr>
        <w:t>各位代表！做好今年的财政工作，任务艰巨，责任重大。我</w:t>
      </w:r>
      <w:r>
        <w:rPr>
          <w:spacing w:val="-15"/>
        </w:rPr>
        <w:t>们将在县委的正确领导下，严格按照县十八届人大三次会议的决议和要求，牢记使命，主动担当，抢抓机遇，深化改革，不断提</w:t>
      </w:r>
      <w:r>
        <w:rPr>
          <w:spacing w:val="-9"/>
        </w:rPr>
        <w:t>高财政管理水平，努力完成各项目标任务，奋力开创“雄安卫星城、美丽新高阳”建设新局面。</w:t>
      </w:r>
    </w:p>
    <w:p>
      <w:pPr>
        <w:spacing w:after="0" w:line="328" w:lineRule="auto"/>
        <w:jc w:val="both"/>
        <w:sectPr>
          <w:pgSz w:w="11910" w:h="16840"/>
          <w:pgMar w:header="0" w:footer="1917" w:top="1580" w:bottom="2100" w:left="1040" w:right="920"/>
        </w:sectPr>
      </w:pPr>
    </w:p>
    <w:p>
      <w:pPr>
        <w:spacing w:before="11"/>
        <w:ind w:left="868" w:right="0" w:firstLine="0"/>
        <w:jc w:val="left"/>
        <w:rPr>
          <w:rFonts w:ascii="微软雅黑" w:eastAsia="微软雅黑" w:hint="eastAsia"/>
          <w:sz w:val="24"/>
        </w:rPr>
      </w:pPr>
      <w:r>
        <w:rPr>
          <w:rFonts w:ascii="微软雅黑" w:eastAsia="微软雅黑" w:hint="eastAsia"/>
          <w:spacing w:val="-4"/>
          <w:sz w:val="24"/>
        </w:rPr>
        <w:t>附表 </w:t>
      </w:r>
      <w:r>
        <w:rPr>
          <w:rFonts w:ascii="微软雅黑" w:eastAsia="微软雅黑" w:hint="eastAsia"/>
          <w:spacing w:val="-19"/>
          <w:sz w:val="24"/>
        </w:rPr>
        <w:t>1</w:t>
      </w:r>
    </w:p>
    <w:p>
      <w:pPr>
        <w:pStyle w:val="BodyText"/>
        <w:spacing w:before="8"/>
        <w:rPr>
          <w:rFonts w:ascii="微软雅黑"/>
          <w:sz w:val="28"/>
        </w:rPr>
      </w:pPr>
      <w:r>
        <w:rPr/>
        <w:br w:type="column"/>
      </w:r>
      <w:r>
        <w:rPr>
          <w:rFonts w:ascii="微软雅黑"/>
          <w:sz w:val="28"/>
        </w:rPr>
      </w:r>
    </w:p>
    <w:p>
      <w:pPr>
        <w:pStyle w:val="Heading3"/>
        <w:spacing w:before="0"/>
        <w:ind w:left="131"/>
      </w:pPr>
      <w:r>
        <w:rPr/>
        <w:t>2022 年高阳县一般公共预算平衡情况表</w:t>
      </w:r>
    </w:p>
    <w:p>
      <w:pPr>
        <w:spacing w:before="92"/>
        <w:ind w:left="0" w:right="1214" w:firstLine="0"/>
        <w:jc w:val="right"/>
        <w:rPr>
          <w:rFonts w:ascii="宋体" w:eastAsia="宋体" w:hint="eastAsia"/>
          <w:sz w:val="18"/>
        </w:rPr>
      </w:pPr>
      <w:r>
        <w:rPr>
          <w:rFonts w:ascii="宋体" w:eastAsia="宋体" w:hint="eastAsia"/>
          <w:sz w:val="18"/>
        </w:rPr>
        <w:t>单位：万元</w:t>
      </w:r>
    </w:p>
    <w:p>
      <w:pPr>
        <w:spacing w:after="0"/>
        <w:jc w:val="right"/>
        <w:rPr>
          <w:rFonts w:ascii="宋体" w:eastAsia="宋体" w:hint="eastAsia"/>
          <w:sz w:val="18"/>
        </w:rPr>
        <w:sectPr>
          <w:footerReference w:type="default" r:id="rId6"/>
          <w:pgSz w:w="11910" w:h="16840"/>
          <w:pgMar w:footer="1235" w:header="0" w:top="1500" w:bottom="1420" w:left="1040" w:right="920"/>
          <w:pgNumType w:start="20"/>
          <w:cols w:num="2" w:equalWidth="0">
            <w:col w:w="1550" w:space="40"/>
            <w:col w:w="8360"/>
          </w:cols>
        </w:sectPr>
      </w:pPr>
    </w:p>
    <w:p>
      <w:pPr>
        <w:pStyle w:val="BodyText"/>
        <w:spacing w:before="5"/>
        <w:rPr>
          <w:rFonts w:ascii="宋体"/>
          <w:sz w:val="3"/>
        </w:rPr>
      </w:pPr>
    </w:p>
    <w:tbl>
      <w:tblPr>
        <w:tblW w:w="0" w:type="auto"/>
        <w:jc w:val="left"/>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6"/>
        <w:gridCol w:w="1297"/>
        <w:gridCol w:w="1296"/>
        <w:gridCol w:w="1536"/>
        <w:gridCol w:w="1296"/>
        <w:gridCol w:w="1295"/>
      </w:tblGrid>
      <w:tr>
        <w:trPr>
          <w:trHeight w:val="551" w:hRule="atLeast"/>
        </w:trPr>
        <w:tc>
          <w:tcPr>
            <w:tcW w:w="4129" w:type="dxa"/>
            <w:gridSpan w:val="3"/>
          </w:tcPr>
          <w:p>
            <w:pPr>
              <w:pStyle w:val="TableParagraph"/>
              <w:tabs>
                <w:tab w:pos="1065" w:val="left" w:leader="none"/>
              </w:tabs>
              <w:spacing w:before="142"/>
              <w:ind w:left="9"/>
              <w:jc w:val="center"/>
              <w:rPr>
                <w:b/>
                <w:sz w:val="21"/>
              </w:rPr>
            </w:pPr>
            <w:r>
              <w:rPr>
                <w:b/>
                <w:sz w:val="21"/>
              </w:rPr>
              <w:t>收</w:t>
              <w:tab/>
              <w:t>入</w:t>
            </w:r>
          </w:p>
        </w:tc>
        <w:tc>
          <w:tcPr>
            <w:tcW w:w="4127" w:type="dxa"/>
            <w:gridSpan w:val="3"/>
          </w:tcPr>
          <w:p>
            <w:pPr>
              <w:pStyle w:val="TableParagraph"/>
              <w:tabs>
                <w:tab w:pos="1066" w:val="left" w:leader="none"/>
              </w:tabs>
              <w:spacing w:before="142"/>
              <w:ind w:left="10"/>
              <w:jc w:val="center"/>
              <w:rPr>
                <w:b/>
                <w:sz w:val="21"/>
              </w:rPr>
            </w:pPr>
            <w:r>
              <w:rPr>
                <w:b/>
                <w:sz w:val="21"/>
              </w:rPr>
              <w:t>支</w:t>
              <w:tab/>
              <w:t>出</w:t>
            </w:r>
          </w:p>
        </w:tc>
      </w:tr>
      <w:tr>
        <w:trPr>
          <w:trHeight w:val="957" w:hRule="atLeast"/>
        </w:trPr>
        <w:tc>
          <w:tcPr>
            <w:tcW w:w="1536" w:type="dxa"/>
          </w:tcPr>
          <w:p>
            <w:pPr>
              <w:pStyle w:val="TableParagraph"/>
              <w:spacing w:before="3"/>
              <w:jc w:val="left"/>
              <w:rPr>
                <w:sz w:val="27"/>
              </w:rPr>
            </w:pPr>
          </w:p>
          <w:p>
            <w:pPr>
              <w:pStyle w:val="TableParagraph"/>
              <w:tabs>
                <w:tab w:pos="868" w:val="left" w:leader="none"/>
              </w:tabs>
              <w:ind w:left="465"/>
              <w:jc w:val="left"/>
              <w:rPr>
                <w:b/>
                <w:sz w:val="20"/>
              </w:rPr>
            </w:pPr>
            <w:r>
              <w:rPr>
                <w:b/>
                <w:sz w:val="20"/>
              </w:rPr>
              <w:t>项</w:t>
              <w:tab/>
              <w:t>目</w:t>
            </w:r>
          </w:p>
        </w:tc>
        <w:tc>
          <w:tcPr>
            <w:tcW w:w="1297" w:type="dxa"/>
          </w:tcPr>
          <w:p>
            <w:pPr>
              <w:pStyle w:val="TableParagraph"/>
              <w:spacing w:before="128"/>
              <w:ind w:left="125" w:right="118"/>
              <w:jc w:val="center"/>
              <w:rPr>
                <w:b/>
                <w:sz w:val="20"/>
              </w:rPr>
            </w:pPr>
            <w:r>
              <w:rPr>
                <w:rFonts w:ascii="Times New Roman" w:eastAsia="Times New Roman"/>
                <w:b/>
                <w:sz w:val="20"/>
              </w:rPr>
              <w:t>2022 </w:t>
            </w:r>
            <w:r>
              <w:rPr>
                <w:b/>
                <w:sz w:val="20"/>
              </w:rPr>
              <w:t>年</w:t>
            </w:r>
          </w:p>
          <w:p>
            <w:pPr>
              <w:pStyle w:val="TableParagraph"/>
              <w:spacing w:before="8"/>
              <w:jc w:val="left"/>
              <w:rPr>
                <w:sz w:val="17"/>
              </w:rPr>
            </w:pPr>
          </w:p>
          <w:p>
            <w:pPr>
              <w:pStyle w:val="TableParagraph"/>
              <w:spacing w:before="1"/>
              <w:ind w:left="125" w:right="118"/>
              <w:jc w:val="center"/>
              <w:rPr>
                <w:b/>
                <w:sz w:val="20"/>
              </w:rPr>
            </w:pPr>
            <w:r>
              <w:rPr>
                <w:b/>
                <w:sz w:val="20"/>
              </w:rPr>
              <w:t>调整预算数</w:t>
            </w:r>
          </w:p>
        </w:tc>
        <w:tc>
          <w:tcPr>
            <w:tcW w:w="1296" w:type="dxa"/>
          </w:tcPr>
          <w:p>
            <w:pPr>
              <w:pStyle w:val="TableParagraph"/>
              <w:spacing w:before="128"/>
              <w:ind w:left="320"/>
              <w:jc w:val="left"/>
              <w:rPr>
                <w:b/>
                <w:sz w:val="20"/>
              </w:rPr>
            </w:pPr>
            <w:r>
              <w:rPr>
                <w:rFonts w:ascii="Times New Roman" w:eastAsia="Times New Roman"/>
                <w:b/>
                <w:sz w:val="20"/>
              </w:rPr>
              <w:t>2022</w:t>
            </w:r>
            <w:r>
              <w:rPr>
                <w:rFonts w:ascii="Times New Roman" w:eastAsia="Times New Roman"/>
                <w:b/>
                <w:spacing w:val="-2"/>
                <w:sz w:val="20"/>
              </w:rPr>
              <w:t> </w:t>
            </w:r>
            <w:r>
              <w:rPr>
                <w:b/>
                <w:sz w:val="20"/>
              </w:rPr>
              <w:t>年</w:t>
            </w:r>
          </w:p>
          <w:p>
            <w:pPr>
              <w:pStyle w:val="TableParagraph"/>
              <w:spacing w:before="8"/>
              <w:jc w:val="left"/>
              <w:rPr>
                <w:sz w:val="17"/>
              </w:rPr>
            </w:pPr>
          </w:p>
          <w:p>
            <w:pPr>
              <w:pStyle w:val="TableParagraph"/>
              <w:spacing w:before="1"/>
              <w:ind w:left="344"/>
              <w:jc w:val="left"/>
              <w:rPr>
                <w:b/>
                <w:sz w:val="20"/>
              </w:rPr>
            </w:pPr>
            <w:r>
              <w:rPr>
                <w:b/>
                <w:sz w:val="20"/>
              </w:rPr>
              <w:t>执行数</w:t>
            </w:r>
          </w:p>
        </w:tc>
        <w:tc>
          <w:tcPr>
            <w:tcW w:w="1536" w:type="dxa"/>
          </w:tcPr>
          <w:p>
            <w:pPr>
              <w:pStyle w:val="TableParagraph"/>
              <w:spacing w:before="3"/>
              <w:jc w:val="left"/>
              <w:rPr>
                <w:sz w:val="27"/>
              </w:rPr>
            </w:pPr>
          </w:p>
          <w:p>
            <w:pPr>
              <w:pStyle w:val="TableParagraph"/>
              <w:tabs>
                <w:tab w:pos="868" w:val="left" w:leader="none"/>
              </w:tabs>
              <w:ind w:left="465"/>
              <w:jc w:val="left"/>
              <w:rPr>
                <w:b/>
                <w:sz w:val="20"/>
              </w:rPr>
            </w:pPr>
            <w:r>
              <w:rPr>
                <w:b/>
                <w:sz w:val="20"/>
              </w:rPr>
              <w:t>项</w:t>
              <w:tab/>
              <w:t>目</w:t>
            </w:r>
          </w:p>
        </w:tc>
        <w:tc>
          <w:tcPr>
            <w:tcW w:w="1296" w:type="dxa"/>
          </w:tcPr>
          <w:p>
            <w:pPr>
              <w:pStyle w:val="TableParagraph"/>
              <w:spacing w:before="128"/>
              <w:ind w:left="124" w:right="117"/>
              <w:jc w:val="center"/>
              <w:rPr>
                <w:b/>
                <w:sz w:val="20"/>
              </w:rPr>
            </w:pPr>
            <w:r>
              <w:rPr>
                <w:rFonts w:ascii="Times New Roman" w:eastAsia="Times New Roman"/>
                <w:b/>
                <w:sz w:val="20"/>
              </w:rPr>
              <w:t>2022 </w:t>
            </w:r>
            <w:r>
              <w:rPr>
                <w:b/>
                <w:sz w:val="20"/>
              </w:rPr>
              <w:t>年</w:t>
            </w:r>
          </w:p>
          <w:p>
            <w:pPr>
              <w:pStyle w:val="TableParagraph"/>
              <w:spacing w:before="8"/>
              <w:jc w:val="left"/>
              <w:rPr>
                <w:sz w:val="17"/>
              </w:rPr>
            </w:pPr>
          </w:p>
          <w:p>
            <w:pPr>
              <w:pStyle w:val="TableParagraph"/>
              <w:spacing w:before="1"/>
              <w:ind w:left="125" w:right="117"/>
              <w:jc w:val="center"/>
              <w:rPr>
                <w:b/>
                <w:sz w:val="20"/>
              </w:rPr>
            </w:pPr>
            <w:r>
              <w:rPr>
                <w:b/>
                <w:sz w:val="20"/>
              </w:rPr>
              <w:t>调整预算数</w:t>
            </w:r>
          </w:p>
        </w:tc>
        <w:tc>
          <w:tcPr>
            <w:tcW w:w="1295" w:type="dxa"/>
          </w:tcPr>
          <w:p>
            <w:pPr>
              <w:pStyle w:val="TableParagraph"/>
              <w:spacing w:before="128"/>
              <w:ind w:left="321"/>
              <w:jc w:val="left"/>
              <w:rPr>
                <w:b/>
                <w:sz w:val="20"/>
              </w:rPr>
            </w:pPr>
            <w:r>
              <w:rPr>
                <w:rFonts w:ascii="Times New Roman" w:eastAsia="Times New Roman"/>
                <w:b/>
                <w:sz w:val="20"/>
              </w:rPr>
              <w:t>2022</w:t>
            </w:r>
            <w:r>
              <w:rPr>
                <w:rFonts w:ascii="Times New Roman" w:eastAsia="Times New Roman"/>
                <w:b/>
                <w:spacing w:val="-2"/>
                <w:sz w:val="20"/>
              </w:rPr>
              <w:t> </w:t>
            </w:r>
            <w:r>
              <w:rPr>
                <w:b/>
                <w:sz w:val="20"/>
              </w:rPr>
              <w:t>年</w:t>
            </w:r>
          </w:p>
          <w:p>
            <w:pPr>
              <w:pStyle w:val="TableParagraph"/>
              <w:spacing w:before="8"/>
              <w:jc w:val="left"/>
              <w:rPr>
                <w:sz w:val="17"/>
              </w:rPr>
            </w:pPr>
          </w:p>
          <w:p>
            <w:pPr>
              <w:pStyle w:val="TableParagraph"/>
              <w:spacing w:before="1"/>
              <w:ind w:left="345"/>
              <w:jc w:val="left"/>
              <w:rPr>
                <w:b/>
                <w:sz w:val="20"/>
              </w:rPr>
            </w:pPr>
            <w:r>
              <w:rPr>
                <w:b/>
                <w:sz w:val="20"/>
              </w:rPr>
              <w:t>执行数</w:t>
            </w:r>
          </w:p>
        </w:tc>
      </w:tr>
      <w:tr>
        <w:trPr>
          <w:trHeight w:val="626" w:hRule="atLeast"/>
        </w:trPr>
        <w:tc>
          <w:tcPr>
            <w:tcW w:w="1536" w:type="dxa"/>
          </w:tcPr>
          <w:p>
            <w:pPr>
              <w:pStyle w:val="TableParagraph"/>
              <w:spacing w:before="28"/>
              <w:ind w:left="107"/>
              <w:jc w:val="left"/>
              <w:rPr>
                <w:sz w:val="20"/>
              </w:rPr>
            </w:pPr>
            <w:r>
              <w:rPr>
                <w:sz w:val="20"/>
              </w:rPr>
              <w:t>一、一般公共预</w:t>
            </w:r>
          </w:p>
          <w:p>
            <w:pPr>
              <w:pStyle w:val="TableParagraph"/>
              <w:spacing w:before="55"/>
              <w:ind w:left="107"/>
              <w:jc w:val="left"/>
              <w:rPr>
                <w:sz w:val="20"/>
              </w:rPr>
            </w:pPr>
            <w:r>
              <w:rPr>
                <w:sz w:val="20"/>
              </w:rPr>
              <w:t>算收入</w:t>
            </w:r>
          </w:p>
        </w:tc>
        <w:tc>
          <w:tcPr>
            <w:tcW w:w="1297" w:type="dxa"/>
          </w:tcPr>
          <w:p>
            <w:pPr>
              <w:pStyle w:val="TableParagraph"/>
              <w:spacing w:before="4"/>
              <w:jc w:val="left"/>
              <w:rPr>
                <w:sz w:val="14"/>
              </w:rPr>
            </w:pPr>
          </w:p>
          <w:p>
            <w:pPr>
              <w:pStyle w:val="TableParagraph"/>
              <w:ind w:right="96"/>
              <w:rPr>
                <w:sz w:val="20"/>
              </w:rPr>
            </w:pPr>
            <w:r>
              <w:rPr>
                <w:w w:val="95"/>
                <w:sz w:val="20"/>
              </w:rPr>
              <w:t>94326</w:t>
            </w:r>
          </w:p>
        </w:tc>
        <w:tc>
          <w:tcPr>
            <w:tcW w:w="1296" w:type="dxa"/>
          </w:tcPr>
          <w:p>
            <w:pPr>
              <w:pStyle w:val="TableParagraph"/>
              <w:spacing w:before="4"/>
              <w:jc w:val="left"/>
              <w:rPr>
                <w:sz w:val="14"/>
              </w:rPr>
            </w:pPr>
          </w:p>
          <w:p>
            <w:pPr>
              <w:pStyle w:val="TableParagraph"/>
              <w:ind w:right="96"/>
              <w:rPr>
                <w:sz w:val="20"/>
              </w:rPr>
            </w:pPr>
            <w:r>
              <w:rPr>
                <w:w w:val="95"/>
                <w:sz w:val="20"/>
              </w:rPr>
              <w:t>94353</w:t>
            </w:r>
          </w:p>
        </w:tc>
        <w:tc>
          <w:tcPr>
            <w:tcW w:w="1536" w:type="dxa"/>
          </w:tcPr>
          <w:p>
            <w:pPr>
              <w:pStyle w:val="TableParagraph"/>
              <w:spacing w:before="28"/>
              <w:ind w:left="107"/>
              <w:jc w:val="left"/>
              <w:rPr>
                <w:sz w:val="20"/>
              </w:rPr>
            </w:pPr>
            <w:r>
              <w:rPr>
                <w:sz w:val="20"/>
              </w:rPr>
              <w:t>一、一般公共预</w:t>
            </w:r>
          </w:p>
          <w:p>
            <w:pPr>
              <w:pStyle w:val="TableParagraph"/>
              <w:spacing w:before="55"/>
              <w:ind w:left="107"/>
              <w:jc w:val="left"/>
              <w:rPr>
                <w:sz w:val="20"/>
              </w:rPr>
            </w:pPr>
            <w:r>
              <w:rPr>
                <w:sz w:val="20"/>
              </w:rPr>
              <w:t>算支出</w:t>
            </w:r>
          </w:p>
        </w:tc>
        <w:tc>
          <w:tcPr>
            <w:tcW w:w="1296" w:type="dxa"/>
          </w:tcPr>
          <w:p>
            <w:pPr>
              <w:pStyle w:val="TableParagraph"/>
              <w:spacing w:before="4"/>
              <w:jc w:val="left"/>
              <w:rPr>
                <w:sz w:val="14"/>
              </w:rPr>
            </w:pPr>
          </w:p>
          <w:p>
            <w:pPr>
              <w:pStyle w:val="TableParagraph"/>
              <w:ind w:right="95"/>
              <w:rPr>
                <w:sz w:val="20"/>
              </w:rPr>
            </w:pPr>
            <w:r>
              <w:rPr>
                <w:w w:val="95"/>
                <w:sz w:val="20"/>
              </w:rPr>
              <w:t>285811</w:t>
            </w:r>
          </w:p>
        </w:tc>
        <w:tc>
          <w:tcPr>
            <w:tcW w:w="1295" w:type="dxa"/>
          </w:tcPr>
          <w:p>
            <w:pPr>
              <w:pStyle w:val="TableParagraph"/>
              <w:spacing w:before="4"/>
              <w:jc w:val="left"/>
              <w:rPr>
                <w:sz w:val="14"/>
              </w:rPr>
            </w:pPr>
          </w:p>
          <w:p>
            <w:pPr>
              <w:pStyle w:val="TableParagraph"/>
              <w:ind w:right="94"/>
              <w:rPr>
                <w:sz w:val="20"/>
              </w:rPr>
            </w:pPr>
            <w:r>
              <w:rPr>
                <w:w w:val="95"/>
                <w:sz w:val="20"/>
              </w:rPr>
              <w:t>283880</w:t>
            </w:r>
          </w:p>
        </w:tc>
      </w:tr>
      <w:tr>
        <w:trPr>
          <w:trHeight w:val="623" w:hRule="atLeast"/>
        </w:trPr>
        <w:tc>
          <w:tcPr>
            <w:tcW w:w="1536" w:type="dxa"/>
          </w:tcPr>
          <w:p>
            <w:pPr>
              <w:pStyle w:val="TableParagraph"/>
              <w:spacing w:before="2"/>
              <w:jc w:val="left"/>
              <w:rPr>
                <w:sz w:val="14"/>
              </w:rPr>
            </w:pPr>
          </w:p>
          <w:p>
            <w:pPr>
              <w:pStyle w:val="TableParagraph"/>
              <w:ind w:right="216"/>
              <w:rPr>
                <w:sz w:val="20"/>
              </w:rPr>
            </w:pPr>
            <w:r>
              <w:rPr>
                <w:w w:val="95"/>
                <w:sz w:val="20"/>
              </w:rPr>
              <w:t>税收收入</w:t>
            </w:r>
          </w:p>
        </w:tc>
        <w:tc>
          <w:tcPr>
            <w:tcW w:w="1297" w:type="dxa"/>
          </w:tcPr>
          <w:p>
            <w:pPr>
              <w:pStyle w:val="TableParagraph"/>
              <w:spacing w:before="2"/>
              <w:jc w:val="left"/>
              <w:rPr>
                <w:sz w:val="14"/>
              </w:rPr>
            </w:pPr>
          </w:p>
          <w:p>
            <w:pPr>
              <w:pStyle w:val="TableParagraph"/>
              <w:ind w:right="96"/>
              <w:rPr>
                <w:sz w:val="20"/>
              </w:rPr>
            </w:pPr>
            <w:r>
              <w:rPr>
                <w:w w:val="95"/>
                <w:sz w:val="20"/>
              </w:rPr>
              <w:t>36827</w:t>
            </w:r>
          </w:p>
        </w:tc>
        <w:tc>
          <w:tcPr>
            <w:tcW w:w="1296" w:type="dxa"/>
          </w:tcPr>
          <w:p>
            <w:pPr>
              <w:pStyle w:val="TableParagraph"/>
              <w:spacing w:before="2"/>
              <w:jc w:val="left"/>
              <w:rPr>
                <w:sz w:val="14"/>
              </w:rPr>
            </w:pPr>
          </w:p>
          <w:p>
            <w:pPr>
              <w:pStyle w:val="TableParagraph"/>
              <w:ind w:right="96"/>
              <w:rPr>
                <w:sz w:val="20"/>
              </w:rPr>
            </w:pPr>
            <w:r>
              <w:rPr>
                <w:w w:val="95"/>
                <w:sz w:val="20"/>
              </w:rPr>
              <w:t>36854</w:t>
            </w:r>
          </w:p>
        </w:tc>
        <w:tc>
          <w:tcPr>
            <w:tcW w:w="1536" w:type="dxa"/>
          </w:tcPr>
          <w:p>
            <w:pPr>
              <w:pStyle w:val="TableParagraph"/>
              <w:spacing w:before="25"/>
              <w:ind w:left="107"/>
              <w:jc w:val="left"/>
              <w:rPr>
                <w:sz w:val="20"/>
              </w:rPr>
            </w:pPr>
            <w:r>
              <w:rPr>
                <w:sz w:val="20"/>
              </w:rPr>
              <w:t>二、一般债券还</w:t>
            </w:r>
          </w:p>
          <w:p>
            <w:pPr>
              <w:pStyle w:val="TableParagraph"/>
              <w:spacing w:before="56"/>
              <w:ind w:left="107"/>
              <w:jc w:val="left"/>
              <w:rPr>
                <w:sz w:val="20"/>
              </w:rPr>
            </w:pPr>
            <w:r>
              <w:rPr>
                <w:sz w:val="20"/>
              </w:rPr>
              <w:t>本支出</w:t>
            </w:r>
          </w:p>
        </w:tc>
        <w:tc>
          <w:tcPr>
            <w:tcW w:w="1296" w:type="dxa"/>
          </w:tcPr>
          <w:p>
            <w:pPr>
              <w:pStyle w:val="TableParagraph"/>
              <w:spacing w:before="2"/>
              <w:jc w:val="left"/>
              <w:rPr>
                <w:sz w:val="14"/>
              </w:rPr>
            </w:pPr>
          </w:p>
          <w:p>
            <w:pPr>
              <w:pStyle w:val="TableParagraph"/>
              <w:ind w:right="93"/>
              <w:rPr>
                <w:sz w:val="20"/>
              </w:rPr>
            </w:pPr>
            <w:r>
              <w:rPr>
                <w:sz w:val="20"/>
              </w:rPr>
              <w:t>1100</w:t>
            </w:r>
          </w:p>
        </w:tc>
        <w:tc>
          <w:tcPr>
            <w:tcW w:w="1295" w:type="dxa"/>
          </w:tcPr>
          <w:p>
            <w:pPr>
              <w:pStyle w:val="TableParagraph"/>
              <w:spacing w:before="2"/>
              <w:jc w:val="left"/>
              <w:rPr>
                <w:sz w:val="14"/>
              </w:rPr>
            </w:pPr>
          </w:p>
          <w:p>
            <w:pPr>
              <w:pStyle w:val="TableParagraph"/>
              <w:ind w:right="92"/>
              <w:rPr>
                <w:sz w:val="20"/>
              </w:rPr>
            </w:pPr>
            <w:r>
              <w:rPr>
                <w:sz w:val="20"/>
              </w:rPr>
              <w:t>1100</w:t>
            </w:r>
          </w:p>
        </w:tc>
      </w:tr>
      <w:tr>
        <w:trPr>
          <w:trHeight w:val="575" w:hRule="atLeast"/>
        </w:trPr>
        <w:tc>
          <w:tcPr>
            <w:tcW w:w="1536" w:type="dxa"/>
          </w:tcPr>
          <w:p>
            <w:pPr>
              <w:pStyle w:val="TableParagraph"/>
              <w:spacing w:before="157"/>
              <w:ind w:right="216"/>
              <w:rPr>
                <w:sz w:val="20"/>
              </w:rPr>
            </w:pPr>
            <w:r>
              <w:rPr>
                <w:w w:val="95"/>
                <w:sz w:val="20"/>
              </w:rPr>
              <w:t>非税收入</w:t>
            </w:r>
          </w:p>
        </w:tc>
        <w:tc>
          <w:tcPr>
            <w:tcW w:w="1297" w:type="dxa"/>
          </w:tcPr>
          <w:p>
            <w:pPr>
              <w:pStyle w:val="TableParagraph"/>
              <w:spacing w:before="157"/>
              <w:ind w:right="96"/>
              <w:rPr>
                <w:sz w:val="20"/>
              </w:rPr>
            </w:pPr>
            <w:r>
              <w:rPr>
                <w:w w:val="95"/>
                <w:sz w:val="20"/>
              </w:rPr>
              <w:t>57499</w:t>
            </w:r>
          </w:p>
        </w:tc>
        <w:tc>
          <w:tcPr>
            <w:tcW w:w="1296" w:type="dxa"/>
          </w:tcPr>
          <w:p>
            <w:pPr>
              <w:pStyle w:val="TableParagraph"/>
              <w:spacing w:before="157"/>
              <w:ind w:right="96"/>
              <w:rPr>
                <w:sz w:val="20"/>
              </w:rPr>
            </w:pPr>
            <w:r>
              <w:rPr>
                <w:w w:val="95"/>
                <w:sz w:val="20"/>
              </w:rPr>
              <w:t>57499</w:t>
            </w:r>
          </w:p>
        </w:tc>
        <w:tc>
          <w:tcPr>
            <w:tcW w:w="1536" w:type="dxa"/>
          </w:tcPr>
          <w:p>
            <w:pPr>
              <w:pStyle w:val="TableParagraph"/>
              <w:spacing w:before="157"/>
              <w:ind w:left="107"/>
              <w:jc w:val="left"/>
              <w:rPr>
                <w:sz w:val="20"/>
              </w:rPr>
            </w:pPr>
            <w:r>
              <w:rPr>
                <w:sz w:val="20"/>
              </w:rPr>
              <w:t>三、上解支出</w:t>
            </w:r>
          </w:p>
        </w:tc>
        <w:tc>
          <w:tcPr>
            <w:tcW w:w="1296" w:type="dxa"/>
          </w:tcPr>
          <w:p>
            <w:pPr>
              <w:pStyle w:val="TableParagraph"/>
              <w:spacing w:before="157"/>
              <w:ind w:right="93"/>
              <w:rPr>
                <w:sz w:val="20"/>
              </w:rPr>
            </w:pPr>
            <w:r>
              <w:rPr>
                <w:sz w:val="20"/>
              </w:rPr>
              <w:t>2674</w:t>
            </w:r>
          </w:p>
        </w:tc>
        <w:tc>
          <w:tcPr>
            <w:tcW w:w="1295" w:type="dxa"/>
          </w:tcPr>
          <w:p>
            <w:pPr>
              <w:pStyle w:val="TableParagraph"/>
              <w:spacing w:before="157"/>
              <w:ind w:right="92"/>
              <w:rPr>
                <w:sz w:val="20"/>
              </w:rPr>
            </w:pPr>
            <w:r>
              <w:rPr>
                <w:sz w:val="20"/>
              </w:rPr>
              <w:t>2674</w:t>
            </w:r>
          </w:p>
        </w:tc>
      </w:tr>
      <w:tr>
        <w:trPr>
          <w:trHeight w:val="623" w:hRule="atLeast"/>
        </w:trPr>
        <w:tc>
          <w:tcPr>
            <w:tcW w:w="1536" w:type="dxa"/>
          </w:tcPr>
          <w:p>
            <w:pPr>
              <w:pStyle w:val="TableParagraph"/>
              <w:spacing w:before="25"/>
              <w:ind w:left="107"/>
              <w:jc w:val="left"/>
              <w:rPr>
                <w:sz w:val="20"/>
              </w:rPr>
            </w:pPr>
            <w:r>
              <w:rPr>
                <w:sz w:val="20"/>
              </w:rPr>
              <w:t>二、上级补助收</w:t>
            </w:r>
          </w:p>
          <w:p>
            <w:pPr>
              <w:pStyle w:val="TableParagraph"/>
              <w:spacing w:before="56"/>
              <w:ind w:left="107"/>
              <w:jc w:val="left"/>
              <w:rPr>
                <w:sz w:val="20"/>
              </w:rPr>
            </w:pPr>
            <w:r>
              <w:rPr>
                <w:w w:val="99"/>
                <w:sz w:val="20"/>
              </w:rPr>
              <w:t>入</w:t>
            </w:r>
          </w:p>
        </w:tc>
        <w:tc>
          <w:tcPr>
            <w:tcW w:w="1297" w:type="dxa"/>
          </w:tcPr>
          <w:p>
            <w:pPr>
              <w:pStyle w:val="TableParagraph"/>
              <w:spacing w:before="2"/>
              <w:jc w:val="left"/>
              <w:rPr>
                <w:sz w:val="14"/>
              </w:rPr>
            </w:pPr>
          </w:p>
          <w:p>
            <w:pPr>
              <w:pStyle w:val="TableParagraph"/>
              <w:ind w:right="96"/>
              <w:rPr>
                <w:sz w:val="20"/>
              </w:rPr>
            </w:pPr>
            <w:r>
              <w:rPr>
                <w:w w:val="95"/>
                <w:sz w:val="20"/>
              </w:rPr>
              <w:t>120402</w:t>
            </w:r>
          </w:p>
        </w:tc>
        <w:tc>
          <w:tcPr>
            <w:tcW w:w="1296" w:type="dxa"/>
          </w:tcPr>
          <w:p>
            <w:pPr>
              <w:pStyle w:val="TableParagraph"/>
              <w:spacing w:before="2"/>
              <w:jc w:val="left"/>
              <w:rPr>
                <w:sz w:val="14"/>
              </w:rPr>
            </w:pPr>
          </w:p>
          <w:p>
            <w:pPr>
              <w:pStyle w:val="TableParagraph"/>
              <w:ind w:right="96"/>
              <w:rPr>
                <w:sz w:val="20"/>
              </w:rPr>
            </w:pPr>
            <w:r>
              <w:rPr>
                <w:w w:val="95"/>
                <w:sz w:val="20"/>
              </w:rPr>
              <w:t>133905</w:t>
            </w:r>
          </w:p>
        </w:tc>
        <w:tc>
          <w:tcPr>
            <w:tcW w:w="1536" w:type="dxa"/>
          </w:tcPr>
          <w:p>
            <w:pPr>
              <w:pStyle w:val="TableParagraph"/>
              <w:spacing w:before="25"/>
              <w:ind w:left="107"/>
              <w:jc w:val="left"/>
              <w:rPr>
                <w:sz w:val="20"/>
              </w:rPr>
            </w:pPr>
            <w:r>
              <w:rPr>
                <w:sz w:val="20"/>
              </w:rPr>
              <w:t>四、安排预算稳</w:t>
            </w:r>
          </w:p>
          <w:p>
            <w:pPr>
              <w:pStyle w:val="TableParagraph"/>
              <w:spacing w:before="56"/>
              <w:ind w:left="107"/>
              <w:jc w:val="left"/>
              <w:rPr>
                <w:sz w:val="20"/>
              </w:rPr>
            </w:pPr>
            <w:r>
              <w:rPr>
                <w:sz w:val="20"/>
              </w:rPr>
              <w:t>定调节基金</w:t>
            </w:r>
          </w:p>
        </w:tc>
        <w:tc>
          <w:tcPr>
            <w:tcW w:w="1296" w:type="dxa"/>
          </w:tcPr>
          <w:p>
            <w:pPr>
              <w:pStyle w:val="TableParagraph"/>
              <w:jc w:val="left"/>
              <w:rPr>
                <w:rFonts w:ascii="Times New Roman"/>
                <w:sz w:val="20"/>
              </w:rPr>
            </w:pPr>
          </w:p>
        </w:tc>
        <w:tc>
          <w:tcPr>
            <w:tcW w:w="1295" w:type="dxa"/>
          </w:tcPr>
          <w:p>
            <w:pPr>
              <w:pStyle w:val="TableParagraph"/>
              <w:spacing w:before="2"/>
              <w:jc w:val="left"/>
              <w:rPr>
                <w:sz w:val="14"/>
              </w:rPr>
            </w:pPr>
          </w:p>
          <w:p>
            <w:pPr>
              <w:pStyle w:val="TableParagraph"/>
              <w:ind w:right="94"/>
              <w:rPr>
                <w:sz w:val="20"/>
              </w:rPr>
            </w:pPr>
            <w:r>
              <w:rPr>
                <w:w w:val="95"/>
                <w:sz w:val="20"/>
              </w:rPr>
              <w:t>25527</w:t>
            </w:r>
          </w:p>
        </w:tc>
      </w:tr>
      <w:tr>
        <w:trPr>
          <w:trHeight w:val="623" w:hRule="atLeast"/>
        </w:trPr>
        <w:tc>
          <w:tcPr>
            <w:tcW w:w="1536" w:type="dxa"/>
          </w:tcPr>
          <w:p>
            <w:pPr>
              <w:pStyle w:val="TableParagraph"/>
              <w:spacing w:before="25"/>
              <w:ind w:left="107"/>
              <w:jc w:val="left"/>
              <w:rPr>
                <w:sz w:val="20"/>
              </w:rPr>
            </w:pPr>
            <w:r>
              <w:rPr>
                <w:sz w:val="20"/>
              </w:rPr>
              <w:t>三、一般债务转</w:t>
            </w:r>
          </w:p>
          <w:p>
            <w:pPr>
              <w:pStyle w:val="TableParagraph"/>
              <w:spacing w:before="56"/>
              <w:ind w:left="107"/>
              <w:jc w:val="left"/>
              <w:rPr>
                <w:sz w:val="20"/>
              </w:rPr>
            </w:pPr>
            <w:r>
              <w:rPr>
                <w:sz w:val="20"/>
              </w:rPr>
              <w:t>贷收入</w:t>
            </w:r>
          </w:p>
        </w:tc>
        <w:tc>
          <w:tcPr>
            <w:tcW w:w="1297" w:type="dxa"/>
          </w:tcPr>
          <w:p>
            <w:pPr>
              <w:pStyle w:val="TableParagraph"/>
              <w:spacing w:before="2"/>
              <w:jc w:val="left"/>
              <w:rPr>
                <w:sz w:val="14"/>
              </w:rPr>
            </w:pPr>
          </w:p>
          <w:p>
            <w:pPr>
              <w:pStyle w:val="TableParagraph"/>
              <w:ind w:right="96"/>
              <w:rPr>
                <w:sz w:val="20"/>
              </w:rPr>
            </w:pPr>
            <w:r>
              <w:rPr>
                <w:w w:val="95"/>
                <w:sz w:val="20"/>
              </w:rPr>
              <w:t>12200</w:t>
            </w:r>
          </w:p>
        </w:tc>
        <w:tc>
          <w:tcPr>
            <w:tcW w:w="1296" w:type="dxa"/>
          </w:tcPr>
          <w:p>
            <w:pPr>
              <w:pStyle w:val="TableParagraph"/>
              <w:spacing w:before="2"/>
              <w:jc w:val="left"/>
              <w:rPr>
                <w:sz w:val="14"/>
              </w:rPr>
            </w:pPr>
          </w:p>
          <w:p>
            <w:pPr>
              <w:pStyle w:val="TableParagraph"/>
              <w:ind w:right="96"/>
              <w:rPr>
                <w:sz w:val="20"/>
              </w:rPr>
            </w:pPr>
            <w:r>
              <w:rPr>
                <w:w w:val="95"/>
                <w:sz w:val="20"/>
              </w:rPr>
              <w:t>12200</w:t>
            </w:r>
          </w:p>
        </w:tc>
        <w:tc>
          <w:tcPr>
            <w:tcW w:w="1536" w:type="dxa"/>
          </w:tcPr>
          <w:p>
            <w:pPr>
              <w:pStyle w:val="TableParagraph"/>
              <w:spacing w:before="2"/>
              <w:jc w:val="left"/>
              <w:rPr>
                <w:sz w:val="14"/>
              </w:rPr>
            </w:pPr>
          </w:p>
          <w:p>
            <w:pPr>
              <w:pStyle w:val="TableParagraph"/>
              <w:ind w:left="107"/>
              <w:jc w:val="left"/>
              <w:rPr>
                <w:sz w:val="20"/>
              </w:rPr>
            </w:pPr>
            <w:r>
              <w:rPr>
                <w:sz w:val="20"/>
              </w:rPr>
              <w:t>五、结转下年</w:t>
            </w:r>
          </w:p>
        </w:tc>
        <w:tc>
          <w:tcPr>
            <w:tcW w:w="1296" w:type="dxa"/>
          </w:tcPr>
          <w:p>
            <w:pPr>
              <w:pStyle w:val="TableParagraph"/>
              <w:jc w:val="left"/>
              <w:rPr>
                <w:rFonts w:ascii="Times New Roman"/>
                <w:sz w:val="20"/>
              </w:rPr>
            </w:pPr>
          </w:p>
        </w:tc>
        <w:tc>
          <w:tcPr>
            <w:tcW w:w="1295" w:type="dxa"/>
          </w:tcPr>
          <w:p>
            <w:pPr>
              <w:pStyle w:val="TableParagraph"/>
              <w:spacing w:before="2"/>
              <w:jc w:val="left"/>
              <w:rPr>
                <w:sz w:val="14"/>
              </w:rPr>
            </w:pPr>
          </w:p>
          <w:p>
            <w:pPr>
              <w:pStyle w:val="TableParagraph"/>
              <w:ind w:right="92"/>
              <w:rPr>
                <w:sz w:val="20"/>
              </w:rPr>
            </w:pPr>
            <w:r>
              <w:rPr>
                <w:sz w:val="20"/>
              </w:rPr>
              <w:t>1919</w:t>
            </w:r>
          </w:p>
        </w:tc>
      </w:tr>
      <w:tr>
        <w:trPr>
          <w:trHeight w:val="623" w:hRule="atLeast"/>
        </w:trPr>
        <w:tc>
          <w:tcPr>
            <w:tcW w:w="1536" w:type="dxa"/>
          </w:tcPr>
          <w:p>
            <w:pPr>
              <w:pStyle w:val="TableParagraph"/>
              <w:spacing w:before="25"/>
              <w:ind w:left="107"/>
              <w:jc w:val="left"/>
              <w:rPr>
                <w:sz w:val="20"/>
              </w:rPr>
            </w:pPr>
            <w:r>
              <w:rPr>
                <w:sz w:val="20"/>
              </w:rPr>
              <w:t>四、置换一般债</w:t>
            </w:r>
          </w:p>
          <w:p>
            <w:pPr>
              <w:pStyle w:val="TableParagraph"/>
              <w:spacing w:before="56"/>
              <w:ind w:left="107"/>
              <w:jc w:val="left"/>
              <w:rPr>
                <w:sz w:val="20"/>
              </w:rPr>
            </w:pPr>
            <w:r>
              <w:rPr>
                <w:sz w:val="20"/>
              </w:rPr>
              <w:t>券收入</w:t>
            </w:r>
          </w:p>
        </w:tc>
        <w:tc>
          <w:tcPr>
            <w:tcW w:w="1297" w:type="dxa"/>
          </w:tcPr>
          <w:p>
            <w:pPr>
              <w:pStyle w:val="TableParagraph"/>
              <w:spacing w:before="2"/>
              <w:jc w:val="left"/>
              <w:rPr>
                <w:sz w:val="14"/>
              </w:rPr>
            </w:pPr>
          </w:p>
          <w:p>
            <w:pPr>
              <w:pStyle w:val="TableParagraph"/>
              <w:ind w:right="94"/>
              <w:rPr>
                <w:sz w:val="20"/>
              </w:rPr>
            </w:pPr>
            <w:r>
              <w:rPr>
                <w:sz w:val="20"/>
              </w:rPr>
              <w:t>900</w:t>
            </w:r>
          </w:p>
        </w:tc>
        <w:tc>
          <w:tcPr>
            <w:tcW w:w="1296" w:type="dxa"/>
          </w:tcPr>
          <w:p>
            <w:pPr>
              <w:pStyle w:val="TableParagraph"/>
              <w:spacing w:before="2"/>
              <w:jc w:val="left"/>
              <w:rPr>
                <w:sz w:val="14"/>
              </w:rPr>
            </w:pPr>
          </w:p>
          <w:p>
            <w:pPr>
              <w:pStyle w:val="TableParagraph"/>
              <w:ind w:right="94"/>
              <w:rPr>
                <w:sz w:val="20"/>
              </w:rPr>
            </w:pPr>
            <w:r>
              <w:rPr>
                <w:sz w:val="20"/>
              </w:rPr>
              <w:t>900</w:t>
            </w:r>
          </w:p>
        </w:tc>
        <w:tc>
          <w:tcPr>
            <w:tcW w:w="1536" w:type="dxa"/>
          </w:tcPr>
          <w:p>
            <w:pPr>
              <w:pStyle w:val="TableParagraph"/>
              <w:spacing w:before="2"/>
              <w:jc w:val="left"/>
              <w:rPr>
                <w:sz w:val="14"/>
              </w:rPr>
            </w:pPr>
          </w:p>
          <w:p>
            <w:pPr>
              <w:pStyle w:val="TableParagraph"/>
              <w:ind w:left="107"/>
              <w:jc w:val="left"/>
              <w:rPr>
                <w:sz w:val="20"/>
              </w:rPr>
            </w:pPr>
            <w:r>
              <w:rPr>
                <w:sz w:val="20"/>
              </w:rPr>
              <w:t>六、调出资金</w:t>
            </w:r>
          </w:p>
        </w:tc>
        <w:tc>
          <w:tcPr>
            <w:tcW w:w="1296" w:type="dxa"/>
          </w:tcPr>
          <w:p>
            <w:pPr>
              <w:pStyle w:val="TableParagraph"/>
              <w:jc w:val="left"/>
              <w:rPr>
                <w:rFonts w:ascii="Times New Roman"/>
                <w:sz w:val="20"/>
              </w:rPr>
            </w:pPr>
          </w:p>
        </w:tc>
        <w:tc>
          <w:tcPr>
            <w:tcW w:w="1295" w:type="dxa"/>
          </w:tcPr>
          <w:p>
            <w:pPr>
              <w:pStyle w:val="TableParagraph"/>
              <w:spacing w:before="2"/>
              <w:jc w:val="left"/>
              <w:rPr>
                <w:sz w:val="14"/>
              </w:rPr>
            </w:pPr>
          </w:p>
          <w:p>
            <w:pPr>
              <w:pStyle w:val="TableParagraph"/>
              <w:ind w:right="92"/>
              <w:rPr>
                <w:sz w:val="20"/>
              </w:rPr>
            </w:pPr>
            <w:r>
              <w:rPr>
                <w:sz w:val="20"/>
              </w:rPr>
              <w:t>4902</w:t>
            </w:r>
          </w:p>
        </w:tc>
      </w:tr>
      <w:tr>
        <w:trPr>
          <w:trHeight w:val="578" w:hRule="atLeast"/>
        </w:trPr>
        <w:tc>
          <w:tcPr>
            <w:tcW w:w="1536" w:type="dxa"/>
          </w:tcPr>
          <w:p>
            <w:pPr>
              <w:pStyle w:val="TableParagraph"/>
              <w:spacing w:before="160"/>
              <w:ind w:right="218"/>
              <w:rPr>
                <w:sz w:val="20"/>
              </w:rPr>
            </w:pPr>
            <w:r>
              <w:rPr>
                <w:w w:val="95"/>
                <w:sz w:val="20"/>
              </w:rPr>
              <w:t>五、调入资金</w:t>
            </w:r>
          </w:p>
        </w:tc>
        <w:tc>
          <w:tcPr>
            <w:tcW w:w="1297" w:type="dxa"/>
          </w:tcPr>
          <w:p>
            <w:pPr>
              <w:pStyle w:val="TableParagraph"/>
              <w:spacing w:before="160"/>
              <w:ind w:right="96"/>
              <w:rPr>
                <w:sz w:val="20"/>
              </w:rPr>
            </w:pPr>
            <w:r>
              <w:rPr>
                <w:w w:val="95"/>
                <w:sz w:val="20"/>
              </w:rPr>
              <w:t>44000</w:t>
            </w:r>
          </w:p>
        </w:tc>
        <w:tc>
          <w:tcPr>
            <w:tcW w:w="1296" w:type="dxa"/>
          </w:tcPr>
          <w:p>
            <w:pPr>
              <w:pStyle w:val="TableParagraph"/>
              <w:spacing w:before="160"/>
              <w:ind w:right="96"/>
              <w:rPr>
                <w:sz w:val="20"/>
              </w:rPr>
            </w:pPr>
            <w:r>
              <w:rPr>
                <w:w w:val="95"/>
                <w:sz w:val="20"/>
              </w:rPr>
              <w:t>60,887</w:t>
            </w:r>
          </w:p>
        </w:tc>
        <w:tc>
          <w:tcPr>
            <w:tcW w:w="1536" w:type="dxa"/>
          </w:tcPr>
          <w:p>
            <w:pPr>
              <w:pStyle w:val="TableParagraph"/>
              <w:jc w:val="left"/>
              <w:rPr>
                <w:rFonts w:ascii="Times New Roman"/>
                <w:sz w:val="20"/>
              </w:rPr>
            </w:pPr>
          </w:p>
        </w:tc>
        <w:tc>
          <w:tcPr>
            <w:tcW w:w="1296" w:type="dxa"/>
          </w:tcPr>
          <w:p>
            <w:pPr>
              <w:pStyle w:val="TableParagraph"/>
              <w:jc w:val="left"/>
              <w:rPr>
                <w:rFonts w:ascii="Times New Roman"/>
                <w:sz w:val="20"/>
              </w:rPr>
            </w:pPr>
          </w:p>
        </w:tc>
        <w:tc>
          <w:tcPr>
            <w:tcW w:w="1295" w:type="dxa"/>
          </w:tcPr>
          <w:p>
            <w:pPr>
              <w:pStyle w:val="TableParagraph"/>
              <w:jc w:val="left"/>
              <w:rPr>
                <w:rFonts w:ascii="Times New Roman"/>
                <w:sz w:val="20"/>
              </w:rPr>
            </w:pPr>
          </w:p>
        </w:tc>
      </w:tr>
      <w:tr>
        <w:trPr>
          <w:trHeight w:val="623" w:hRule="atLeast"/>
        </w:trPr>
        <w:tc>
          <w:tcPr>
            <w:tcW w:w="1536" w:type="dxa"/>
          </w:tcPr>
          <w:p>
            <w:pPr>
              <w:pStyle w:val="TableParagraph"/>
              <w:spacing w:before="25"/>
              <w:ind w:left="510"/>
              <w:jc w:val="left"/>
              <w:rPr>
                <w:sz w:val="20"/>
              </w:rPr>
            </w:pPr>
            <w:r>
              <w:rPr>
                <w:sz w:val="20"/>
              </w:rPr>
              <w:t>政府性基 </w:t>
            </w:r>
          </w:p>
          <w:p>
            <w:pPr>
              <w:pStyle w:val="TableParagraph"/>
              <w:spacing w:before="56"/>
              <w:ind w:left="107"/>
              <w:jc w:val="left"/>
              <w:rPr>
                <w:sz w:val="20"/>
              </w:rPr>
            </w:pPr>
            <w:r>
              <w:rPr>
                <w:sz w:val="20"/>
              </w:rPr>
              <w:t>金调入</w:t>
            </w:r>
          </w:p>
        </w:tc>
        <w:tc>
          <w:tcPr>
            <w:tcW w:w="1297" w:type="dxa"/>
          </w:tcPr>
          <w:p>
            <w:pPr>
              <w:pStyle w:val="TableParagraph"/>
              <w:spacing w:before="2"/>
              <w:jc w:val="left"/>
              <w:rPr>
                <w:sz w:val="14"/>
              </w:rPr>
            </w:pPr>
          </w:p>
          <w:p>
            <w:pPr>
              <w:pStyle w:val="TableParagraph"/>
              <w:ind w:right="96"/>
              <w:rPr>
                <w:sz w:val="20"/>
              </w:rPr>
            </w:pPr>
            <w:r>
              <w:rPr>
                <w:w w:val="95"/>
                <w:sz w:val="20"/>
              </w:rPr>
              <w:t>44000</w:t>
            </w:r>
          </w:p>
        </w:tc>
        <w:tc>
          <w:tcPr>
            <w:tcW w:w="1296" w:type="dxa"/>
          </w:tcPr>
          <w:p>
            <w:pPr>
              <w:pStyle w:val="TableParagraph"/>
              <w:spacing w:before="2"/>
              <w:jc w:val="left"/>
              <w:rPr>
                <w:sz w:val="14"/>
              </w:rPr>
            </w:pPr>
          </w:p>
          <w:p>
            <w:pPr>
              <w:pStyle w:val="TableParagraph"/>
              <w:ind w:right="96"/>
              <w:rPr>
                <w:sz w:val="20"/>
              </w:rPr>
            </w:pPr>
            <w:r>
              <w:rPr>
                <w:w w:val="95"/>
                <w:sz w:val="20"/>
              </w:rPr>
              <w:t>60,884</w:t>
            </w:r>
          </w:p>
        </w:tc>
        <w:tc>
          <w:tcPr>
            <w:tcW w:w="1536" w:type="dxa"/>
          </w:tcPr>
          <w:p>
            <w:pPr>
              <w:pStyle w:val="TableParagraph"/>
              <w:jc w:val="left"/>
              <w:rPr>
                <w:rFonts w:ascii="Times New Roman"/>
                <w:sz w:val="20"/>
              </w:rPr>
            </w:pPr>
          </w:p>
        </w:tc>
        <w:tc>
          <w:tcPr>
            <w:tcW w:w="1296" w:type="dxa"/>
          </w:tcPr>
          <w:p>
            <w:pPr>
              <w:pStyle w:val="TableParagraph"/>
              <w:jc w:val="left"/>
              <w:rPr>
                <w:rFonts w:ascii="Times New Roman"/>
                <w:sz w:val="20"/>
              </w:rPr>
            </w:pPr>
          </w:p>
        </w:tc>
        <w:tc>
          <w:tcPr>
            <w:tcW w:w="1295" w:type="dxa"/>
          </w:tcPr>
          <w:p>
            <w:pPr>
              <w:pStyle w:val="TableParagraph"/>
              <w:jc w:val="left"/>
              <w:rPr>
                <w:rFonts w:ascii="Times New Roman"/>
                <w:sz w:val="20"/>
              </w:rPr>
            </w:pPr>
          </w:p>
        </w:tc>
      </w:tr>
      <w:tr>
        <w:trPr>
          <w:trHeight w:val="623" w:hRule="atLeast"/>
        </w:trPr>
        <w:tc>
          <w:tcPr>
            <w:tcW w:w="1536" w:type="dxa"/>
          </w:tcPr>
          <w:p>
            <w:pPr>
              <w:pStyle w:val="TableParagraph"/>
              <w:spacing w:before="25"/>
              <w:ind w:left="510"/>
              <w:jc w:val="left"/>
              <w:rPr>
                <w:sz w:val="20"/>
              </w:rPr>
            </w:pPr>
            <w:r>
              <w:rPr>
                <w:sz w:val="20"/>
              </w:rPr>
              <w:t>国有资本 </w:t>
            </w:r>
          </w:p>
          <w:p>
            <w:pPr>
              <w:pStyle w:val="TableParagraph"/>
              <w:spacing w:before="56"/>
              <w:ind w:left="107"/>
              <w:jc w:val="left"/>
              <w:rPr>
                <w:sz w:val="20"/>
              </w:rPr>
            </w:pPr>
            <w:r>
              <w:rPr>
                <w:sz w:val="20"/>
              </w:rPr>
              <w:t>经营预算调入</w:t>
            </w:r>
          </w:p>
        </w:tc>
        <w:tc>
          <w:tcPr>
            <w:tcW w:w="1297" w:type="dxa"/>
          </w:tcPr>
          <w:p>
            <w:pPr>
              <w:pStyle w:val="TableParagraph"/>
              <w:jc w:val="left"/>
              <w:rPr>
                <w:rFonts w:ascii="Times New Roman"/>
                <w:sz w:val="20"/>
              </w:rPr>
            </w:pPr>
          </w:p>
        </w:tc>
        <w:tc>
          <w:tcPr>
            <w:tcW w:w="1296" w:type="dxa"/>
          </w:tcPr>
          <w:p>
            <w:pPr>
              <w:pStyle w:val="TableParagraph"/>
              <w:spacing w:before="2"/>
              <w:jc w:val="left"/>
              <w:rPr>
                <w:sz w:val="14"/>
              </w:rPr>
            </w:pPr>
          </w:p>
          <w:p>
            <w:pPr>
              <w:pStyle w:val="TableParagraph"/>
              <w:ind w:right="97"/>
              <w:rPr>
                <w:sz w:val="20"/>
              </w:rPr>
            </w:pPr>
            <w:r>
              <w:rPr>
                <w:w w:val="99"/>
                <w:sz w:val="20"/>
              </w:rPr>
              <w:t>3</w:t>
            </w:r>
          </w:p>
        </w:tc>
        <w:tc>
          <w:tcPr>
            <w:tcW w:w="1536" w:type="dxa"/>
          </w:tcPr>
          <w:p>
            <w:pPr>
              <w:pStyle w:val="TableParagraph"/>
              <w:jc w:val="left"/>
              <w:rPr>
                <w:rFonts w:ascii="Times New Roman"/>
                <w:sz w:val="20"/>
              </w:rPr>
            </w:pPr>
          </w:p>
        </w:tc>
        <w:tc>
          <w:tcPr>
            <w:tcW w:w="1296" w:type="dxa"/>
          </w:tcPr>
          <w:p>
            <w:pPr>
              <w:pStyle w:val="TableParagraph"/>
              <w:jc w:val="left"/>
              <w:rPr>
                <w:rFonts w:ascii="Times New Roman"/>
                <w:sz w:val="20"/>
              </w:rPr>
            </w:pPr>
          </w:p>
        </w:tc>
        <w:tc>
          <w:tcPr>
            <w:tcW w:w="1295" w:type="dxa"/>
          </w:tcPr>
          <w:p>
            <w:pPr>
              <w:pStyle w:val="TableParagraph"/>
              <w:jc w:val="left"/>
              <w:rPr>
                <w:rFonts w:ascii="Times New Roman"/>
                <w:sz w:val="20"/>
              </w:rPr>
            </w:pPr>
          </w:p>
        </w:tc>
      </w:tr>
      <w:tr>
        <w:trPr>
          <w:trHeight w:val="575" w:hRule="atLeast"/>
        </w:trPr>
        <w:tc>
          <w:tcPr>
            <w:tcW w:w="1536" w:type="dxa"/>
          </w:tcPr>
          <w:p>
            <w:pPr>
              <w:pStyle w:val="TableParagraph"/>
              <w:spacing w:before="157"/>
              <w:ind w:right="216"/>
              <w:rPr>
                <w:sz w:val="20"/>
              </w:rPr>
            </w:pPr>
            <w:r>
              <w:rPr>
                <w:w w:val="95"/>
                <w:sz w:val="20"/>
              </w:rPr>
              <w:t>其他调入</w:t>
            </w:r>
          </w:p>
        </w:tc>
        <w:tc>
          <w:tcPr>
            <w:tcW w:w="1297" w:type="dxa"/>
          </w:tcPr>
          <w:p>
            <w:pPr>
              <w:pStyle w:val="TableParagraph"/>
              <w:jc w:val="left"/>
              <w:rPr>
                <w:rFonts w:ascii="Times New Roman"/>
                <w:sz w:val="20"/>
              </w:rPr>
            </w:pPr>
          </w:p>
        </w:tc>
        <w:tc>
          <w:tcPr>
            <w:tcW w:w="1296" w:type="dxa"/>
          </w:tcPr>
          <w:p>
            <w:pPr>
              <w:pStyle w:val="TableParagraph"/>
              <w:jc w:val="left"/>
              <w:rPr>
                <w:rFonts w:ascii="Times New Roman"/>
                <w:sz w:val="20"/>
              </w:rPr>
            </w:pPr>
          </w:p>
        </w:tc>
        <w:tc>
          <w:tcPr>
            <w:tcW w:w="1536" w:type="dxa"/>
          </w:tcPr>
          <w:p>
            <w:pPr>
              <w:pStyle w:val="TableParagraph"/>
              <w:jc w:val="left"/>
              <w:rPr>
                <w:rFonts w:ascii="Times New Roman"/>
                <w:sz w:val="20"/>
              </w:rPr>
            </w:pPr>
          </w:p>
        </w:tc>
        <w:tc>
          <w:tcPr>
            <w:tcW w:w="1296" w:type="dxa"/>
          </w:tcPr>
          <w:p>
            <w:pPr>
              <w:pStyle w:val="TableParagraph"/>
              <w:jc w:val="left"/>
              <w:rPr>
                <w:rFonts w:ascii="Times New Roman"/>
                <w:sz w:val="20"/>
              </w:rPr>
            </w:pPr>
          </w:p>
        </w:tc>
        <w:tc>
          <w:tcPr>
            <w:tcW w:w="1295" w:type="dxa"/>
          </w:tcPr>
          <w:p>
            <w:pPr>
              <w:pStyle w:val="TableParagraph"/>
              <w:jc w:val="left"/>
              <w:rPr>
                <w:rFonts w:ascii="Times New Roman"/>
                <w:sz w:val="20"/>
              </w:rPr>
            </w:pPr>
          </w:p>
        </w:tc>
      </w:tr>
      <w:tr>
        <w:trPr>
          <w:trHeight w:val="623" w:hRule="atLeast"/>
        </w:trPr>
        <w:tc>
          <w:tcPr>
            <w:tcW w:w="1536" w:type="dxa"/>
          </w:tcPr>
          <w:p>
            <w:pPr>
              <w:pStyle w:val="TableParagraph"/>
              <w:spacing w:before="25"/>
              <w:ind w:left="107"/>
              <w:jc w:val="left"/>
              <w:rPr>
                <w:sz w:val="20"/>
              </w:rPr>
            </w:pPr>
            <w:r>
              <w:rPr>
                <w:sz w:val="20"/>
              </w:rPr>
              <w:t>六、动用预算稳</w:t>
            </w:r>
          </w:p>
          <w:p>
            <w:pPr>
              <w:pStyle w:val="TableParagraph"/>
              <w:spacing w:before="56"/>
              <w:ind w:left="107"/>
              <w:jc w:val="left"/>
              <w:rPr>
                <w:sz w:val="20"/>
              </w:rPr>
            </w:pPr>
            <w:r>
              <w:rPr>
                <w:sz w:val="20"/>
              </w:rPr>
              <w:t>定调节基金</w:t>
            </w:r>
          </w:p>
        </w:tc>
        <w:tc>
          <w:tcPr>
            <w:tcW w:w="1297" w:type="dxa"/>
          </w:tcPr>
          <w:p>
            <w:pPr>
              <w:pStyle w:val="TableParagraph"/>
              <w:spacing w:before="2"/>
              <w:jc w:val="left"/>
              <w:rPr>
                <w:sz w:val="14"/>
              </w:rPr>
            </w:pPr>
          </w:p>
          <w:p>
            <w:pPr>
              <w:pStyle w:val="TableParagraph"/>
              <w:ind w:right="95"/>
              <w:rPr>
                <w:sz w:val="20"/>
              </w:rPr>
            </w:pPr>
            <w:r>
              <w:rPr>
                <w:w w:val="95"/>
                <w:sz w:val="20"/>
              </w:rPr>
              <w:t>15022</w:t>
            </w:r>
          </w:p>
        </w:tc>
        <w:tc>
          <w:tcPr>
            <w:tcW w:w="1296" w:type="dxa"/>
          </w:tcPr>
          <w:p>
            <w:pPr>
              <w:pStyle w:val="TableParagraph"/>
              <w:spacing w:before="2"/>
              <w:jc w:val="left"/>
              <w:rPr>
                <w:sz w:val="14"/>
              </w:rPr>
            </w:pPr>
          </w:p>
          <w:p>
            <w:pPr>
              <w:pStyle w:val="TableParagraph"/>
              <w:ind w:right="96"/>
              <w:rPr>
                <w:sz w:val="20"/>
              </w:rPr>
            </w:pPr>
            <w:r>
              <w:rPr>
                <w:w w:val="95"/>
                <w:sz w:val="20"/>
              </w:rPr>
              <w:t>15022</w:t>
            </w:r>
          </w:p>
        </w:tc>
        <w:tc>
          <w:tcPr>
            <w:tcW w:w="1536" w:type="dxa"/>
          </w:tcPr>
          <w:p>
            <w:pPr>
              <w:pStyle w:val="TableParagraph"/>
              <w:jc w:val="left"/>
              <w:rPr>
                <w:rFonts w:ascii="Times New Roman"/>
                <w:sz w:val="20"/>
              </w:rPr>
            </w:pPr>
          </w:p>
        </w:tc>
        <w:tc>
          <w:tcPr>
            <w:tcW w:w="1296" w:type="dxa"/>
          </w:tcPr>
          <w:p>
            <w:pPr>
              <w:pStyle w:val="TableParagraph"/>
              <w:jc w:val="left"/>
              <w:rPr>
                <w:rFonts w:ascii="Times New Roman"/>
                <w:sz w:val="20"/>
              </w:rPr>
            </w:pPr>
          </w:p>
        </w:tc>
        <w:tc>
          <w:tcPr>
            <w:tcW w:w="1295" w:type="dxa"/>
          </w:tcPr>
          <w:p>
            <w:pPr>
              <w:pStyle w:val="TableParagraph"/>
              <w:jc w:val="left"/>
              <w:rPr>
                <w:rFonts w:ascii="Times New Roman"/>
                <w:sz w:val="20"/>
              </w:rPr>
            </w:pPr>
          </w:p>
        </w:tc>
      </w:tr>
      <w:tr>
        <w:trPr>
          <w:trHeight w:val="575" w:hRule="atLeast"/>
        </w:trPr>
        <w:tc>
          <w:tcPr>
            <w:tcW w:w="1536" w:type="dxa"/>
          </w:tcPr>
          <w:p>
            <w:pPr>
              <w:pStyle w:val="TableParagraph"/>
              <w:spacing w:before="157"/>
              <w:ind w:right="218"/>
              <w:rPr>
                <w:sz w:val="20"/>
              </w:rPr>
            </w:pPr>
            <w:r>
              <w:rPr>
                <w:w w:val="95"/>
                <w:sz w:val="20"/>
              </w:rPr>
              <w:t>七、上年结转</w:t>
            </w:r>
          </w:p>
        </w:tc>
        <w:tc>
          <w:tcPr>
            <w:tcW w:w="1297" w:type="dxa"/>
          </w:tcPr>
          <w:p>
            <w:pPr>
              <w:pStyle w:val="TableParagraph"/>
              <w:spacing w:before="157"/>
              <w:ind w:right="94"/>
              <w:rPr>
                <w:sz w:val="20"/>
              </w:rPr>
            </w:pPr>
            <w:r>
              <w:rPr>
                <w:sz w:val="20"/>
              </w:rPr>
              <w:t>2735</w:t>
            </w:r>
          </w:p>
        </w:tc>
        <w:tc>
          <w:tcPr>
            <w:tcW w:w="1296" w:type="dxa"/>
          </w:tcPr>
          <w:p>
            <w:pPr>
              <w:pStyle w:val="TableParagraph"/>
              <w:spacing w:before="157"/>
              <w:ind w:right="94"/>
              <w:rPr>
                <w:sz w:val="20"/>
              </w:rPr>
            </w:pPr>
            <w:r>
              <w:rPr>
                <w:sz w:val="20"/>
              </w:rPr>
              <w:t>2735</w:t>
            </w:r>
          </w:p>
        </w:tc>
        <w:tc>
          <w:tcPr>
            <w:tcW w:w="1536" w:type="dxa"/>
          </w:tcPr>
          <w:p>
            <w:pPr>
              <w:pStyle w:val="TableParagraph"/>
              <w:jc w:val="left"/>
              <w:rPr>
                <w:rFonts w:ascii="Times New Roman"/>
                <w:sz w:val="20"/>
              </w:rPr>
            </w:pPr>
          </w:p>
        </w:tc>
        <w:tc>
          <w:tcPr>
            <w:tcW w:w="1296" w:type="dxa"/>
          </w:tcPr>
          <w:p>
            <w:pPr>
              <w:pStyle w:val="TableParagraph"/>
              <w:jc w:val="left"/>
              <w:rPr>
                <w:rFonts w:ascii="Times New Roman"/>
                <w:sz w:val="20"/>
              </w:rPr>
            </w:pPr>
          </w:p>
        </w:tc>
        <w:tc>
          <w:tcPr>
            <w:tcW w:w="1295" w:type="dxa"/>
          </w:tcPr>
          <w:p>
            <w:pPr>
              <w:pStyle w:val="TableParagraph"/>
              <w:jc w:val="left"/>
              <w:rPr>
                <w:rFonts w:ascii="Times New Roman"/>
                <w:sz w:val="20"/>
              </w:rPr>
            </w:pPr>
          </w:p>
        </w:tc>
      </w:tr>
      <w:tr>
        <w:trPr>
          <w:trHeight w:val="578" w:hRule="atLeast"/>
        </w:trPr>
        <w:tc>
          <w:tcPr>
            <w:tcW w:w="1536" w:type="dxa"/>
          </w:tcPr>
          <w:p>
            <w:pPr>
              <w:pStyle w:val="TableParagraph"/>
              <w:tabs>
                <w:tab w:pos="868" w:val="left" w:leader="none"/>
              </w:tabs>
              <w:spacing w:before="160"/>
              <w:ind w:left="465"/>
              <w:jc w:val="left"/>
              <w:rPr>
                <w:b/>
                <w:sz w:val="20"/>
              </w:rPr>
            </w:pPr>
            <w:r>
              <w:rPr>
                <w:b/>
                <w:sz w:val="20"/>
              </w:rPr>
              <w:t>合</w:t>
              <w:tab/>
              <w:t>计</w:t>
            </w:r>
          </w:p>
        </w:tc>
        <w:tc>
          <w:tcPr>
            <w:tcW w:w="1297" w:type="dxa"/>
          </w:tcPr>
          <w:p>
            <w:pPr>
              <w:pStyle w:val="TableParagraph"/>
              <w:spacing w:before="160"/>
              <w:ind w:right="96"/>
              <w:rPr>
                <w:b/>
                <w:sz w:val="20"/>
              </w:rPr>
            </w:pPr>
            <w:r>
              <w:rPr>
                <w:b/>
                <w:w w:val="95"/>
                <w:sz w:val="20"/>
              </w:rPr>
              <w:t>289585</w:t>
            </w:r>
          </w:p>
        </w:tc>
        <w:tc>
          <w:tcPr>
            <w:tcW w:w="1296" w:type="dxa"/>
          </w:tcPr>
          <w:p>
            <w:pPr>
              <w:pStyle w:val="TableParagraph"/>
              <w:spacing w:before="160"/>
              <w:ind w:right="96"/>
              <w:rPr>
                <w:b/>
                <w:sz w:val="20"/>
              </w:rPr>
            </w:pPr>
            <w:r>
              <w:rPr>
                <w:b/>
                <w:w w:val="95"/>
                <w:sz w:val="20"/>
              </w:rPr>
              <w:t>320002</w:t>
            </w:r>
          </w:p>
        </w:tc>
        <w:tc>
          <w:tcPr>
            <w:tcW w:w="1536" w:type="dxa"/>
          </w:tcPr>
          <w:p>
            <w:pPr>
              <w:pStyle w:val="TableParagraph"/>
              <w:tabs>
                <w:tab w:pos="868" w:val="left" w:leader="none"/>
              </w:tabs>
              <w:spacing w:before="160"/>
              <w:ind w:left="465"/>
              <w:jc w:val="left"/>
              <w:rPr>
                <w:b/>
                <w:sz w:val="20"/>
              </w:rPr>
            </w:pPr>
            <w:r>
              <w:rPr>
                <w:b/>
                <w:sz w:val="20"/>
              </w:rPr>
              <w:t>合</w:t>
              <w:tab/>
              <w:t>计</w:t>
            </w:r>
          </w:p>
        </w:tc>
        <w:tc>
          <w:tcPr>
            <w:tcW w:w="1296" w:type="dxa"/>
          </w:tcPr>
          <w:p>
            <w:pPr>
              <w:pStyle w:val="TableParagraph"/>
              <w:spacing w:before="160"/>
              <w:ind w:right="96"/>
              <w:rPr>
                <w:b/>
                <w:sz w:val="20"/>
              </w:rPr>
            </w:pPr>
            <w:r>
              <w:rPr>
                <w:b/>
                <w:w w:val="95"/>
                <w:sz w:val="20"/>
              </w:rPr>
              <w:t>289585</w:t>
            </w:r>
          </w:p>
        </w:tc>
        <w:tc>
          <w:tcPr>
            <w:tcW w:w="1295" w:type="dxa"/>
          </w:tcPr>
          <w:p>
            <w:pPr>
              <w:pStyle w:val="TableParagraph"/>
              <w:spacing w:before="160"/>
              <w:ind w:right="94"/>
              <w:rPr>
                <w:b/>
                <w:sz w:val="20"/>
              </w:rPr>
            </w:pPr>
            <w:r>
              <w:rPr>
                <w:b/>
                <w:w w:val="95"/>
                <w:sz w:val="20"/>
              </w:rPr>
              <w:t>320002</w:t>
            </w:r>
          </w:p>
        </w:tc>
      </w:tr>
    </w:tbl>
    <w:p>
      <w:pPr>
        <w:spacing w:after="0"/>
        <w:rPr>
          <w:sz w:val="20"/>
        </w:rPr>
        <w:sectPr>
          <w:type w:val="continuous"/>
          <w:pgSz w:w="11910" w:h="16840"/>
          <w:pgMar w:top="1580" w:bottom="2100" w:left="1040" w:right="920"/>
        </w:sectPr>
      </w:pPr>
    </w:p>
    <w:p>
      <w:pPr>
        <w:spacing w:before="11"/>
        <w:ind w:left="1036" w:right="0" w:firstLine="0"/>
        <w:jc w:val="left"/>
        <w:rPr>
          <w:rFonts w:ascii="微软雅黑" w:eastAsia="微软雅黑" w:hint="eastAsia"/>
          <w:sz w:val="24"/>
        </w:rPr>
      </w:pPr>
      <w:r>
        <w:rPr>
          <w:rFonts w:ascii="微软雅黑" w:eastAsia="微软雅黑" w:hint="eastAsia"/>
          <w:sz w:val="24"/>
        </w:rPr>
        <w:t>附表 2</w:t>
      </w:r>
    </w:p>
    <w:p>
      <w:pPr>
        <w:pStyle w:val="Heading3"/>
        <w:spacing w:before="71"/>
        <w:ind w:left="320" w:right="437"/>
        <w:jc w:val="center"/>
      </w:pPr>
      <w:r>
        <w:rPr/>
        <w:t>2022 年高阳县一般公共收入预算执行情况</w:t>
      </w:r>
    </w:p>
    <w:p>
      <w:pPr>
        <w:spacing w:before="92" w:after="43"/>
        <w:ind w:left="0" w:right="1363" w:firstLine="0"/>
        <w:jc w:val="right"/>
        <w:rPr>
          <w:rFonts w:ascii="宋体" w:eastAsia="宋体" w:hint="eastAsia"/>
          <w:sz w:val="18"/>
        </w:rPr>
      </w:pPr>
      <w:r>
        <w:rPr>
          <w:rFonts w:ascii="宋体" w:eastAsia="宋体" w:hint="eastAsia"/>
          <w:sz w:val="18"/>
        </w:rPr>
        <w:t>单位：万元</w:t>
      </w:r>
    </w:p>
    <w:tbl>
      <w:tblPr>
        <w:tblW w:w="0" w:type="auto"/>
        <w:jc w:val="left"/>
        <w:tblInd w:w="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63"/>
        <w:gridCol w:w="1536"/>
        <w:gridCol w:w="1536"/>
        <w:gridCol w:w="1537"/>
      </w:tblGrid>
      <w:tr>
        <w:trPr>
          <w:trHeight w:val="623" w:hRule="atLeast"/>
        </w:trPr>
        <w:tc>
          <w:tcPr>
            <w:tcW w:w="3363" w:type="dxa"/>
          </w:tcPr>
          <w:p>
            <w:pPr>
              <w:pStyle w:val="TableParagraph"/>
              <w:tabs>
                <w:tab w:pos="492" w:val="left" w:leader="none"/>
              </w:tabs>
              <w:spacing w:before="155"/>
              <w:ind w:left="9"/>
              <w:jc w:val="center"/>
              <w:rPr>
                <w:b/>
                <w:sz w:val="24"/>
              </w:rPr>
            </w:pPr>
            <w:r>
              <w:rPr>
                <w:b/>
                <w:sz w:val="24"/>
              </w:rPr>
              <w:t>项</w:t>
              <w:tab/>
              <w:t>目</w:t>
            </w:r>
          </w:p>
        </w:tc>
        <w:tc>
          <w:tcPr>
            <w:tcW w:w="1536" w:type="dxa"/>
          </w:tcPr>
          <w:p>
            <w:pPr>
              <w:pStyle w:val="TableParagraph"/>
              <w:spacing w:before="155"/>
              <w:ind w:right="154"/>
              <w:rPr>
                <w:b/>
                <w:sz w:val="24"/>
              </w:rPr>
            </w:pPr>
            <w:r>
              <w:rPr>
                <w:b/>
                <w:w w:val="95"/>
                <w:sz w:val="24"/>
              </w:rPr>
              <w:t>调整预算数</w:t>
            </w:r>
          </w:p>
        </w:tc>
        <w:tc>
          <w:tcPr>
            <w:tcW w:w="1536" w:type="dxa"/>
          </w:tcPr>
          <w:p>
            <w:pPr>
              <w:pStyle w:val="TableParagraph"/>
              <w:spacing w:before="155"/>
              <w:ind w:left="405"/>
              <w:jc w:val="left"/>
              <w:rPr>
                <w:b/>
                <w:sz w:val="24"/>
              </w:rPr>
            </w:pPr>
            <w:r>
              <w:rPr>
                <w:b/>
                <w:sz w:val="24"/>
              </w:rPr>
              <w:t>执行数</w:t>
            </w:r>
          </w:p>
        </w:tc>
        <w:tc>
          <w:tcPr>
            <w:tcW w:w="1537" w:type="dxa"/>
          </w:tcPr>
          <w:p>
            <w:pPr>
              <w:pStyle w:val="TableParagraph"/>
              <w:spacing w:line="307" w:lineRule="exact"/>
              <w:ind w:left="266" w:right="257"/>
              <w:jc w:val="center"/>
              <w:rPr>
                <w:b/>
                <w:sz w:val="24"/>
              </w:rPr>
            </w:pPr>
            <w:r>
              <w:rPr>
                <w:b/>
                <w:sz w:val="24"/>
              </w:rPr>
              <w:t>占调整预</w:t>
            </w:r>
          </w:p>
          <w:p>
            <w:pPr>
              <w:pStyle w:val="TableParagraph"/>
              <w:spacing w:line="292" w:lineRule="exact" w:before="4"/>
              <w:ind w:left="265" w:right="257"/>
              <w:jc w:val="center"/>
              <w:rPr>
                <w:b/>
                <w:sz w:val="24"/>
              </w:rPr>
            </w:pPr>
            <w:r>
              <w:rPr>
                <w:b/>
                <w:sz w:val="24"/>
              </w:rPr>
              <w:t>算%</w:t>
            </w:r>
          </w:p>
        </w:tc>
      </w:tr>
      <w:tr>
        <w:trPr>
          <w:trHeight w:val="515" w:hRule="atLeast"/>
        </w:trPr>
        <w:tc>
          <w:tcPr>
            <w:tcW w:w="3363" w:type="dxa"/>
          </w:tcPr>
          <w:p>
            <w:pPr>
              <w:pStyle w:val="TableParagraph"/>
              <w:spacing w:before="103"/>
              <w:ind w:left="11"/>
              <w:jc w:val="center"/>
              <w:rPr>
                <w:b/>
                <w:sz w:val="24"/>
              </w:rPr>
            </w:pPr>
            <w:r>
              <w:rPr>
                <w:b/>
                <w:sz w:val="24"/>
              </w:rPr>
              <w:t>合计</w:t>
            </w:r>
          </w:p>
        </w:tc>
        <w:tc>
          <w:tcPr>
            <w:tcW w:w="1536" w:type="dxa"/>
          </w:tcPr>
          <w:p>
            <w:pPr>
              <w:pStyle w:val="TableParagraph"/>
              <w:spacing w:before="118"/>
              <w:ind w:right="96"/>
              <w:rPr>
                <w:b/>
                <w:sz w:val="22"/>
              </w:rPr>
            </w:pPr>
            <w:r>
              <w:rPr>
                <w:b/>
                <w:w w:val="95"/>
                <w:sz w:val="22"/>
              </w:rPr>
              <w:t>94326</w:t>
            </w:r>
          </w:p>
        </w:tc>
        <w:tc>
          <w:tcPr>
            <w:tcW w:w="1536" w:type="dxa"/>
          </w:tcPr>
          <w:p>
            <w:pPr>
              <w:pStyle w:val="TableParagraph"/>
              <w:spacing w:before="118"/>
              <w:ind w:right="96"/>
              <w:rPr>
                <w:b/>
                <w:sz w:val="22"/>
              </w:rPr>
            </w:pPr>
            <w:r>
              <w:rPr>
                <w:b/>
                <w:w w:val="95"/>
                <w:sz w:val="22"/>
              </w:rPr>
              <w:t>94353</w:t>
            </w:r>
          </w:p>
        </w:tc>
        <w:tc>
          <w:tcPr>
            <w:tcW w:w="1537" w:type="dxa"/>
          </w:tcPr>
          <w:p>
            <w:pPr>
              <w:pStyle w:val="TableParagraph"/>
              <w:spacing w:before="118"/>
              <w:ind w:right="96"/>
              <w:rPr>
                <w:b/>
                <w:sz w:val="22"/>
              </w:rPr>
            </w:pPr>
            <w:r>
              <w:rPr>
                <w:b/>
                <w:w w:val="95"/>
                <w:sz w:val="22"/>
              </w:rPr>
              <w:t>100.0</w:t>
            </w:r>
          </w:p>
        </w:tc>
      </w:tr>
      <w:tr>
        <w:trPr>
          <w:trHeight w:val="431" w:hRule="atLeast"/>
        </w:trPr>
        <w:tc>
          <w:tcPr>
            <w:tcW w:w="3363" w:type="dxa"/>
          </w:tcPr>
          <w:p>
            <w:pPr>
              <w:pStyle w:val="TableParagraph"/>
              <w:spacing w:before="60"/>
              <w:ind w:left="350"/>
              <w:jc w:val="left"/>
              <w:rPr>
                <w:b/>
                <w:sz w:val="24"/>
              </w:rPr>
            </w:pPr>
            <w:r>
              <w:rPr>
                <w:b/>
                <w:sz w:val="24"/>
              </w:rPr>
              <w:t>税收收入</w:t>
            </w:r>
          </w:p>
        </w:tc>
        <w:tc>
          <w:tcPr>
            <w:tcW w:w="1536" w:type="dxa"/>
          </w:tcPr>
          <w:p>
            <w:pPr>
              <w:pStyle w:val="TableParagraph"/>
              <w:spacing w:before="75"/>
              <w:ind w:right="96"/>
              <w:rPr>
                <w:b/>
                <w:sz w:val="22"/>
              </w:rPr>
            </w:pPr>
            <w:r>
              <w:rPr>
                <w:b/>
                <w:w w:val="95"/>
                <w:sz w:val="22"/>
              </w:rPr>
              <w:t>36827</w:t>
            </w:r>
          </w:p>
        </w:tc>
        <w:tc>
          <w:tcPr>
            <w:tcW w:w="1536" w:type="dxa"/>
          </w:tcPr>
          <w:p>
            <w:pPr>
              <w:pStyle w:val="TableParagraph"/>
              <w:spacing w:before="75"/>
              <w:ind w:right="96"/>
              <w:rPr>
                <w:b/>
                <w:sz w:val="22"/>
              </w:rPr>
            </w:pPr>
            <w:r>
              <w:rPr>
                <w:b/>
                <w:w w:val="95"/>
                <w:sz w:val="22"/>
              </w:rPr>
              <w:t>36854</w:t>
            </w:r>
          </w:p>
        </w:tc>
        <w:tc>
          <w:tcPr>
            <w:tcW w:w="1537" w:type="dxa"/>
          </w:tcPr>
          <w:p>
            <w:pPr>
              <w:pStyle w:val="TableParagraph"/>
              <w:spacing w:before="75"/>
              <w:ind w:right="96"/>
              <w:rPr>
                <w:b/>
                <w:sz w:val="22"/>
              </w:rPr>
            </w:pPr>
            <w:r>
              <w:rPr>
                <w:b/>
                <w:w w:val="95"/>
                <w:sz w:val="22"/>
              </w:rPr>
              <w:t>100.1</w:t>
            </w:r>
          </w:p>
        </w:tc>
      </w:tr>
      <w:tr>
        <w:trPr>
          <w:trHeight w:val="455" w:hRule="atLeast"/>
        </w:trPr>
        <w:tc>
          <w:tcPr>
            <w:tcW w:w="3363" w:type="dxa"/>
          </w:tcPr>
          <w:p>
            <w:pPr>
              <w:pStyle w:val="TableParagraph"/>
              <w:spacing w:before="97"/>
              <w:ind w:left="510"/>
              <w:jc w:val="left"/>
              <w:rPr>
                <w:sz w:val="20"/>
              </w:rPr>
            </w:pPr>
            <w:r>
              <w:rPr>
                <w:sz w:val="20"/>
              </w:rPr>
              <w:t>增值税</w:t>
            </w:r>
          </w:p>
        </w:tc>
        <w:tc>
          <w:tcPr>
            <w:tcW w:w="1536" w:type="dxa"/>
          </w:tcPr>
          <w:p>
            <w:pPr>
              <w:pStyle w:val="TableParagraph"/>
              <w:spacing w:before="87"/>
              <w:ind w:right="93"/>
              <w:rPr>
                <w:sz w:val="22"/>
              </w:rPr>
            </w:pPr>
            <w:r>
              <w:rPr>
                <w:sz w:val="22"/>
              </w:rPr>
              <w:t>10470</w:t>
            </w:r>
          </w:p>
        </w:tc>
        <w:tc>
          <w:tcPr>
            <w:tcW w:w="1536" w:type="dxa"/>
          </w:tcPr>
          <w:p>
            <w:pPr>
              <w:pStyle w:val="TableParagraph"/>
              <w:spacing w:before="87"/>
              <w:ind w:right="93"/>
              <w:rPr>
                <w:sz w:val="22"/>
              </w:rPr>
            </w:pPr>
            <w:r>
              <w:rPr>
                <w:sz w:val="22"/>
              </w:rPr>
              <w:t>10497</w:t>
            </w:r>
          </w:p>
        </w:tc>
        <w:tc>
          <w:tcPr>
            <w:tcW w:w="1537" w:type="dxa"/>
          </w:tcPr>
          <w:p>
            <w:pPr>
              <w:pStyle w:val="TableParagraph"/>
              <w:spacing w:before="87"/>
              <w:ind w:right="96"/>
              <w:rPr>
                <w:sz w:val="22"/>
              </w:rPr>
            </w:pPr>
            <w:r>
              <w:rPr>
                <w:sz w:val="22"/>
              </w:rPr>
              <w:t>100.3</w:t>
            </w:r>
          </w:p>
        </w:tc>
      </w:tr>
      <w:tr>
        <w:trPr>
          <w:trHeight w:val="453" w:hRule="atLeast"/>
        </w:trPr>
        <w:tc>
          <w:tcPr>
            <w:tcW w:w="3363" w:type="dxa"/>
          </w:tcPr>
          <w:p>
            <w:pPr>
              <w:pStyle w:val="TableParagraph"/>
              <w:spacing w:before="98"/>
              <w:ind w:left="510"/>
              <w:jc w:val="left"/>
              <w:rPr>
                <w:sz w:val="20"/>
              </w:rPr>
            </w:pPr>
            <w:r>
              <w:rPr>
                <w:sz w:val="20"/>
              </w:rPr>
              <w:t>企业所得税</w:t>
            </w:r>
          </w:p>
        </w:tc>
        <w:tc>
          <w:tcPr>
            <w:tcW w:w="1536" w:type="dxa"/>
          </w:tcPr>
          <w:p>
            <w:pPr>
              <w:pStyle w:val="TableParagraph"/>
              <w:spacing w:before="87"/>
              <w:ind w:right="93"/>
              <w:rPr>
                <w:sz w:val="22"/>
              </w:rPr>
            </w:pPr>
            <w:r>
              <w:rPr>
                <w:sz w:val="22"/>
              </w:rPr>
              <w:t>2317</w:t>
            </w:r>
          </w:p>
        </w:tc>
        <w:tc>
          <w:tcPr>
            <w:tcW w:w="1536" w:type="dxa"/>
          </w:tcPr>
          <w:p>
            <w:pPr>
              <w:pStyle w:val="TableParagraph"/>
              <w:spacing w:before="87"/>
              <w:ind w:right="93"/>
              <w:rPr>
                <w:sz w:val="22"/>
              </w:rPr>
            </w:pPr>
            <w:r>
              <w:rPr>
                <w:sz w:val="22"/>
              </w:rPr>
              <w:t>2317</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97"/>
              <w:ind w:left="510"/>
              <w:jc w:val="left"/>
              <w:rPr>
                <w:sz w:val="20"/>
              </w:rPr>
            </w:pPr>
            <w:r>
              <w:rPr>
                <w:sz w:val="20"/>
              </w:rPr>
              <w:t>个人所得税</w:t>
            </w:r>
          </w:p>
        </w:tc>
        <w:tc>
          <w:tcPr>
            <w:tcW w:w="1536" w:type="dxa"/>
          </w:tcPr>
          <w:p>
            <w:pPr>
              <w:pStyle w:val="TableParagraph"/>
              <w:spacing w:before="87"/>
              <w:ind w:right="95"/>
              <w:rPr>
                <w:sz w:val="22"/>
              </w:rPr>
            </w:pPr>
            <w:r>
              <w:rPr>
                <w:sz w:val="22"/>
              </w:rPr>
              <w:t>711</w:t>
            </w:r>
          </w:p>
        </w:tc>
        <w:tc>
          <w:tcPr>
            <w:tcW w:w="1536" w:type="dxa"/>
          </w:tcPr>
          <w:p>
            <w:pPr>
              <w:pStyle w:val="TableParagraph"/>
              <w:spacing w:before="87"/>
              <w:ind w:right="95"/>
              <w:rPr>
                <w:sz w:val="22"/>
              </w:rPr>
            </w:pPr>
            <w:r>
              <w:rPr>
                <w:sz w:val="22"/>
              </w:rPr>
              <w:t>711</w:t>
            </w:r>
          </w:p>
        </w:tc>
        <w:tc>
          <w:tcPr>
            <w:tcW w:w="1537" w:type="dxa"/>
          </w:tcPr>
          <w:p>
            <w:pPr>
              <w:pStyle w:val="TableParagraph"/>
              <w:spacing w:before="87"/>
              <w:ind w:right="96"/>
              <w:rPr>
                <w:sz w:val="22"/>
              </w:rPr>
            </w:pPr>
            <w:r>
              <w:rPr>
                <w:sz w:val="22"/>
              </w:rPr>
              <w:t>100.0</w:t>
            </w:r>
          </w:p>
        </w:tc>
      </w:tr>
      <w:tr>
        <w:trPr>
          <w:trHeight w:val="455" w:hRule="atLeast"/>
        </w:trPr>
        <w:tc>
          <w:tcPr>
            <w:tcW w:w="3363" w:type="dxa"/>
          </w:tcPr>
          <w:p>
            <w:pPr>
              <w:pStyle w:val="TableParagraph"/>
              <w:spacing w:before="97"/>
              <w:ind w:left="510"/>
              <w:jc w:val="left"/>
              <w:rPr>
                <w:sz w:val="20"/>
              </w:rPr>
            </w:pPr>
            <w:r>
              <w:rPr>
                <w:sz w:val="20"/>
              </w:rPr>
              <w:t>资源税</w:t>
            </w:r>
          </w:p>
        </w:tc>
        <w:tc>
          <w:tcPr>
            <w:tcW w:w="1536" w:type="dxa"/>
          </w:tcPr>
          <w:p>
            <w:pPr>
              <w:pStyle w:val="TableParagraph"/>
              <w:spacing w:before="87"/>
              <w:ind w:right="95"/>
              <w:rPr>
                <w:sz w:val="22"/>
              </w:rPr>
            </w:pPr>
            <w:r>
              <w:rPr>
                <w:sz w:val="22"/>
              </w:rPr>
              <w:t>821</w:t>
            </w:r>
          </w:p>
        </w:tc>
        <w:tc>
          <w:tcPr>
            <w:tcW w:w="1536" w:type="dxa"/>
          </w:tcPr>
          <w:p>
            <w:pPr>
              <w:pStyle w:val="TableParagraph"/>
              <w:spacing w:before="87"/>
              <w:ind w:right="95"/>
              <w:rPr>
                <w:sz w:val="22"/>
              </w:rPr>
            </w:pPr>
            <w:r>
              <w:rPr>
                <w:sz w:val="22"/>
              </w:rPr>
              <w:t>821</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97"/>
              <w:ind w:left="510"/>
              <w:jc w:val="left"/>
              <w:rPr>
                <w:sz w:val="20"/>
              </w:rPr>
            </w:pPr>
            <w:r>
              <w:rPr>
                <w:sz w:val="20"/>
              </w:rPr>
              <w:t>城市维护建设税</w:t>
            </w:r>
          </w:p>
        </w:tc>
        <w:tc>
          <w:tcPr>
            <w:tcW w:w="1536" w:type="dxa"/>
          </w:tcPr>
          <w:p>
            <w:pPr>
              <w:pStyle w:val="TableParagraph"/>
              <w:spacing w:before="87"/>
              <w:ind w:right="93"/>
              <w:rPr>
                <w:sz w:val="22"/>
              </w:rPr>
            </w:pPr>
            <w:r>
              <w:rPr>
                <w:sz w:val="22"/>
              </w:rPr>
              <w:t>1471</w:t>
            </w:r>
          </w:p>
        </w:tc>
        <w:tc>
          <w:tcPr>
            <w:tcW w:w="1536" w:type="dxa"/>
          </w:tcPr>
          <w:p>
            <w:pPr>
              <w:pStyle w:val="TableParagraph"/>
              <w:spacing w:before="87"/>
              <w:ind w:right="93"/>
              <w:rPr>
                <w:sz w:val="22"/>
              </w:rPr>
            </w:pPr>
            <w:r>
              <w:rPr>
                <w:sz w:val="22"/>
              </w:rPr>
              <w:t>1471</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97"/>
              <w:ind w:left="510"/>
              <w:jc w:val="left"/>
              <w:rPr>
                <w:sz w:val="20"/>
              </w:rPr>
            </w:pPr>
            <w:r>
              <w:rPr>
                <w:sz w:val="20"/>
              </w:rPr>
              <w:t>房产税</w:t>
            </w:r>
          </w:p>
        </w:tc>
        <w:tc>
          <w:tcPr>
            <w:tcW w:w="1536" w:type="dxa"/>
          </w:tcPr>
          <w:p>
            <w:pPr>
              <w:pStyle w:val="TableParagraph"/>
              <w:spacing w:before="87"/>
              <w:ind w:right="93"/>
              <w:rPr>
                <w:sz w:val="22"/>
              </w:rPr>
            </w:pPr>
            <w:r>
              <w:rPr>
                <w:sz w:val="22"/>
              </w:rPr>
              <w:t>1128</w:t>
            </w:r>
          </w:p>
        </w:tc>
        <w:tc>
          <w:tcPr>
            <w:tcW w:w="1536" w:type="dxa"/>
          </w:tcPr>
          <w:p>
            <w:pPr>
              <w:pStyle w:val="TableParagraph"/>
              <w:spacing w:before="87"/>
              <w:ind w:right="93"/>
              <w:rPr>
                <w:sz w:val="22"/>
              </w:rPr>
            </w:pPr>
            <w:r>
              <w:rPr>
                <w:sz w:val="22"/>
              </w:rPr>
              <w:t>1128</w:t>
            </w:r>
          </w:p>
        </w:tc>
        <w:tc>
          <w:tcPr>
            <w:tcW w:w="1537" w:type="dxa"/>
          </w:tcPr>
          <w:p>
            <w:pPr>
              <w:pStyle w:val="TableParagraph"/>
              <w:spacing w:before="87"/>
              <w:ind w:right="96"/>
              <w:rPr>
                <w:sz w:val="22"/>
              </w:rPr>
            </w:pPr>
            <w:r>
              <w:rPr>
                <w:sz w:val="22"/>
              </w:rPr>
              <w:t>100.0</w:t>
            </w:r>
          </w:p>
        </w:tc>
      </w:tr>
      <w:tr>
        <w:trPr>
          <w:trHeight w:val="455" w:hRule="atLeast"/>
        </w:trPr>
        <w:tc>
          <w:tcPr>
            <w:tcW w:w="3363" w:type="dxa"/>
          </w:tcPr>
          <w:p>
            <w:pPr>
              <w:pStyle w:val="TableParagraph"/>
              <w:spacing w:before="97"/>
              <w:ind w:left="510"/>
              <w:jc w:val="left"/>
              <w:rPr>
                <w:sz w:val="20"/>
              </w:rPr>
            </w:pPr>
            <w:r>
              <w:rPr>
                <w:sz w:val="20"/>
              </w:rPr>
              <w:t>印花税</w:t>
            </w:r>
          </w:p>
        </w:tc>
        <w:tc>
          <w:tcPr>
            <w:tcW w:w="1536" w:type="dxa"/>
          </w:tcPr>
          <w:p>
            <w:pPr>
              <w:pStyle w:val="TableParagraph"/>
              <w:spacing w:before="87"/>
              <w:ind w:right="95"/>
              <w:rPr>
                <w:sz w:val="22"/>
              </w:rPr>
            </w:pPr>
            <w:r>
              <w:rPr>
                <w:sz w:val="22"/>
              </w:rPr>
              <w:t>755</w:t>
            </w:r>
          </w:p>
        </w:tc>
        <w:tc>
          <w:tcPr>
            <w:tcW w:w="1536" w:type="dxa"/>
          </w:tcPr>
          <w:p>
            <w:pPr>
              <w:pStyle w:val="TableParagraph"/>
              <w:spacing w:before="87"/>
              <w:ind w:right="95"/>
              <w:rPr>
                <w:sz w:val="22"/>
              </w:rPr>
            </w:pPr>
            <w:r>
              <w:rPr>
                <w:sz w:val="22"/>
              </w:rPr>
              <w:t>755</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97"/>
              <w:ind w:left="510"/>
              <w:jc w:val="left"/>
              <w:rPr>
                <w:sz w:val="20"/>
              </w:rPr>
            </w:pPr>
            <w:r>
              <w:rPr>
                <w:sz w:val="20"/>
              </w:rPr>
              <w:t>城镇土地使用税</w:t>
            </w:r>
          </w:p>
        </w:tc>
        <w:tc>
          <w:tcPr>
            <w:tcW w:w="1536" w:type="dxa"/>
          </w:tcPr>
          <w:p>
            <w:pPr>
              <w:pStyle w:val="TableParagraph"/>
              <w:spacing w:before="87"/>
              <w:ind w:right="93"/>
              <w:rPr>
                <w:sz w:val="22"/>
              </w:rPr>
            </w:pPr>
            <w:r>
              <w:rPr>
                <w:sz w:val="22"/>
              </w:rPr>
              <w:t>2843</w:t>
            </w:r>
          </w:p>
        </w:tc>
        <w:tc>
          <w:tcPr>
            <w:tcW w:w="1536" w:type="dxa"/>
          </w:tcPr>
          <w:p>
            <w:pPr>
              <w:pStyle w:val="TableParagraph"/>
              <w:spacing w:before="87"/>
              <w:ind w:right="93"/>
              <w:rPr>
                <w:sz w:val="22"/>
              </w:rPr>
            </w:pPr>
            <w:r>
              <w:rPr>
                <w:sz w:val="22"/>
              </w:rPr>
              <w:t>2843</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98"/>
              <w:ind w:left="510"/>
              <w:jc w:val="left"/>
              <w:rPr>
                <w:sz w:val="20"/>
              </w:rPr>
            </w:pPr>
            <w:r>
              <w:rPr>
                <w:sz w:val="20"/>
              </w:rPr>
              <w:t>土地增值税</w:t>
            </w:r>
          </w:p>
        </w:tc>
        <w:tc>
          <w:tcPr>
            <w:tcW w:w="1536" w:type="dxa"/>
          </w:tcPr>
          <w:p>
            <w:pPr>
              <w:pStyle w:val="TableParagraph"/>
              <w:spacing w:before="87"/>
              <w:ind w:right="93"/>
              <w:rPr>
                <w:sz w:val="22"/>
              </w:rPr>
            </w:pPr>
            <w:r>
              <w:rPr>
                <w:sz w:val="22"/>
              </w:rPr>
              <w:t>2120</w:t>
            </w:r>
          </w:p>
        </w:tc>
        <w:tc>
          <w:tcPr>
            <w:tcW w:w="1536" w:type="dxa"/>
          </w:tcPr>
          <w:p>
            <w:pPr>
              <w:pStyle w:val="TableParagraph"/>
              <w:spacing w:before="87"/>
              <w:ind w:right="93"/>
              <w:rPr>
                <w:sz w:val="22"/>
              </w:rPr>
            </w:pPr>
            <w:r>
              <w:rPr>
                <w:sz w:val="22"/>
              </w:rPr>
              <w:t>2120</w:t>
            </w:r>
          </w:p>
        </w:tc>
        <w:tc>
          <w:tcPr>
            <w:tcW w:w="1537" w:type="dxa"/>
          </w:tcPr>
          <w:p>
            <w:pPr>
              <w:pStyle w:val="TableParagraph"/>
              <w:spacing w:before="87"/>
              <w:ind w:right="96"/>
              <w:rPr>
                <w:sz w:val="22"/>
              </w:rPr>
            </w:pPr>
            <w:r>
              <w:rPr>
                <w:sz w:val="22"/>
              </w:rPr>
              <w:t>100.0</w:t>
            </w:r>
          </w:p>
        </w:tc>
      </w:tr>
      <w:tr>
        <w:trPr>
          <w:trHeight w:val="455" w:hRule="atLeast"/>
        </w:trPr>
        <w:tc>
          <w:tcPr>
            <w:tcW w:w="3363" w:type="dxa"/>
          </w:tcPr>
          <w:p>
            <w:pPr>
              <w:pStyle w:val="TableParagraph"/>
              <w:spacing w:before="97"/>
              <w:ind w:left="510"/>
              <w:jc w:val="left"/>
              <w:rPr>
                <w:sz w:val="20"/>
              </w:rPr>
            </w:pPr>
            <w:r>
              <w:rPr>
                <w:sz w:val="20"/>
              </w:rPr>
              <w:t>车船税</w:t>
            </w:r>
          </w:p>
        </w:tc>
        <w:tc>
          <w:tcPr>
            <w:tcW w:w="1536" w:type="dxa"/>
          </w:tcPr>
          <w:p>
            <w:pPr>
              <w:pStyle w:val="TableParagraph"/>
              <w:spacing w:before="87"/>
              <w:ind w:right="93"/>
              <w:rPr>
                <w:sz w:val="22"/>
              </w:rPr>
            </w:pPr>
            <w:r>
              <w:rPr>
                <w:sz w:val="22"/>
              </w:rPr>
              <w:t>2687</w:t>
            </w:r>
          </w:p>
        </w:tc>
        <w:tc>
          <w:tcPr>
            <w:tcW w:w="1536" w:type="dxa"/>
          </w:tcPr>
          <w:p>
            <w:pPr>
              <w:pStyle w:val="TableParagraph"/>
              <w:spacing w:before="87"/>
              <w:ind w:right="93"/>
              <w:rPr>
                <w:sz w:val="22"/>
              </w:rPr>
            </w:pPr>
            <w:r>
              <w:rPr>
                <w:sz w:val="22"/>
              </w:rPr>
              <w:t>2687</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97"/>
              <w:ind w:left="510"/>
              <w:jc w:val="left"/>
              <w:rPr>
                <w:sz w:val="20"/>
              </w:rPr>
            </w:pPr>
            <w:r>
              <w:rPr>
                <w:sz w:val="20"/>
              </w:rPr>
              <w:t>耕地占用税</w:t>
            </w:r>
          </w:p>
        </w:tc>
        <w:tc>
          <w:tcPr>
            <w:tcW w:w="1536" w:type="dxa"/>
          </w:tcPr>
          <w:p>
            <w:pPr>
              <w:pStyle w:val="TableParagraph"/>
              <w:spacing w:before="87"/>
              <w:ind w:right="93"/>
              <w:rPr>
                <w:sz w:val="22"/>
              </w:rPr>
            </w:pPr>
            <w:r>
              <w:rPr>
                <w:sz w:val="22"/>
              </w:rPr>
              <w:t>5462</w:t>
            </w:r>
          </w:p>
        </w:tc>
        <w:tc>
          <w:tcPr>
            <w:tcW w:w="1536" w:type="dxa"/>
          </w:tcPr>
          <w:p>
            <w:pPr>
              <w:pStyle w:val="TableParagraph"/>
              <w:spacing w:before="87"/>
              <w:ind w:right="93"/>
              <w:rPr>
                <w:sz w:val="22"/>
              </w:rPr>
            </w:pPr>
            <w:r>
              <w:rPr>
                <w:sz w:val="22"/>
              </w:rPr>
              <w:t>5462</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97"/>
              <w:ind w:left="510"/>
              <w:jc w:val="left"/>
              <w:rPr>
                <w:sz w:val="20"/>
              </w:rPr>
            </w:pPr>
            <w:r>
              <w:rPr>
                <w:sz w:val="20"/>
              </w:rPr>
              <w:t>契税</w:t>
            </w:r>
          </w:p>
        </w:tc>
        <w:tc>
          <w:tcPr>
            <w:tcW w:w="1536" w:type="dxa"/>
          </w:tcPr>
          <w:p>
            <w:pPr>
              <w:pStyle w:val="TableParagraph"/>
              <w:spacing w:before="87"/>
              <w:ind w:right="93"/>
              <w:rPr>
                <w:sz w:val="22"/>
              </w:rPr>
            </w:pPr>
            <w:r>
              <w:rPr>
                <w:sz w:val="22"/>
              </w:rPr>
              <w:t>5763</w:t>
            </w:r>
          </w:p>
        </w:tc>
        <w:tc>
          <w:tcPr>
            <w:tcW w:w="1536" w:type="dxa"/>
          </w:tcPr>
          <w:p>
            <w:pPr>
              <w:pStyle w:val="TableParagraph"/>
              <w:spacing w:before="87"/>
              <w:ind w:right="93"/>
              <w:rPr>
                <w:sz w:val="22"/>
              </w:rPr>
            </w:pPr>
            <w:r>
              <w:rPr>
                <w:sz w:val="22"/>
              </w:rPr>
              <w:t>5763</w:t>
            </w:r>
          </w:p>
        </w:tc>
        <w:tc>
          <w:tcPr>
            <w:tcW w:w="1537" w:type="dxa"/>
          </w:tcPr>
          <w:p>
            <w:pPr>
              <w:pStyle w:val="TableParagraph"/>
              <w:spacing w:before="87"/>
              <w:ind w:right="96"/>
              <w:rPr>
                <w:sz w:val="22"/>
              </w:rPr>
            </w:pPr>
            <w:r>
              <w:rPr>
                <w:sz w:val="22"/>
              </w:rPr>
              <w:t>100.0</w:t>
            </w:r>
          </w:p>
        </w:tc>
      </w:tr>
      <w:tr>
        <w:trPr>
          <w:trHeight w:val="455" w:hRule="atLeast"/>
        </w:trPr>
        <w:tc>
          <w:tcPr>
            <w:tcW w:w="3363" w:type="dxa"/>
          </w:tcPr>
          <w:p>
            <w:pPr>
              <w:pStyle w:val="TableParagraph"/>
              <w:spacing w:before="97"/>
              <w:ind w:left="510"/>
              <w:jc w:val="left"/>
              <w:rPr>
                <w:sz w:val="20"/>
              </w:rPr>
            </w:pPr>
            <w:r>
              <w:rPr>
                <w:sz w:val="20"/>
              </w:rPr>
              <w:t>环境保护税</w:t>
            </w:r>
          </w:p>
        </w:tc>
        <w:tc>
          <w:tcPr>
            <w:tcW w:w="1536" w:type="dxa"/>
          </w:tcPr>
          <w:p>
            <w:pPr>
              <w:pStyle w:val="TableParagraph"/>
              <w:spacing w:before="87"/>
              <w:ind w:right="95"/>
              <w:rPr>
                <w:sz w:val="22"/>
              </w:rPr>
            </w:pPr>
            <w:r>
              <w:rPr>
                <w:sz w:val="22"/>
              </w:rPr>
              <w:t>279</w:t>
            </w:r>
          </w:p>
        </w:tc>
        <w:tc>
          <w:tcPr>
            <w:tcW w:w="1536" w:type="dxa"/>
          </w:tcPr>
          <w:p>
            <w:pPr>
              <w:pStyle w:val="TableParagraph"/>
              <w:spacing w:before="87"/>
              <w:ind w:right="95"/>
              <w:rPr>
                <w:sz w:val="22"/>
              </w:rPr>
            </w:pPr>
            <w:r>
              <w:rPr>
                <w:sz w:val="22"/>
              </w:rPr>
              <w:t>279</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71"/>
              <w:ind w:left="350"/>
              <w:jc w:val="left"/>
              <w:rPr>
                <w:b/>
                <w:sz w:val="24"/>
              </w:rPr>
            </w:pPr>
            <w:r>
              <w:rPr>
                <w:b/>
                <w:sz w:val="24"/>
              </w:rPr>
              <w:t>非税收入</w:t>
            </w:r>
          </w:p>
        </w:tc>
        <w:tc>
          <w:tcPr>
            <w:tcW w:w="1536" w:type="dxa"/>
          </w:tcPr>
          <w:p>
            <w:pPr>
              <w:pStyle w:val="TableParagraph"/>
              <w:spacing w:before="87"/>
              <w:ind w:right="96"/>
              <w:rPr>
                <w:b/>
                <w:sz w:val="22"/>
              </w:rPr>
            </w:pPr>
            <w:r>
              <w:rPr>
                <w:b/>
                <w:w w:val="95"/>
                <w:sz w:val="22"/>
              </w:rPr>
              <w:t>57499</w:t>
            </w:r>
          </w:p>
        </w:tc>
        <w:tc>
          <w:tcPr>
            <w:tcW w:w="1536" w:type="dxa"/>
          </w:tcPr>
          <w:p>
            <w:pPr>
              <w:pStyle w:val="TableParagraph"/>
              <w:spacing w:before="87"/>
              <w:ind w:right="96"/>
              <w:rPr>
                <w:b/>
                <w:sz w:val="22"/>
              </w:rPr>
            </w:pPr>
            <w:r>
              <w:rPr>
                <w:b/>
                <w:w w:val="95"/>
                <w:sz w:val="22"/>
              </w:rPr>
              <w:t>57499</w:t>
            </w:r>
          </w:p>
        </w:tc>
        <w:tc>
          <w:tcPr>
            <w:tcW w:w="1537" w:type="dxa"/>
          </w:tcPr>
          <w:p>
            <w:pPr>
              <w:pStyle w:val="TableParagraph"/>
              <w:spacing w:before="87"/>
              <w:ind w:right="96"/>
              <w:rPr>
                <w:b/>
                <w:sz w:val="22"/>
              </w:rPr>
            </w:pPr>
            <w:r>
              <w:rPr>
                <w:b/>
                <w:w w:val="95"/>
                <w:sz w:val="22"/>
              </w:rPr>
              <w:t>100.0</w:t>
            </w:r>
          </w:p>
        </w:tc>
      </w:tr>
      <w:tr>
        <w:trPr>
          <w:trHeight w:val="453" w:hRule="atLeast"/>
        </w:trPr>
        <w:tc>
          <w:tcPr>
            <w:tcW w:w="3363" w:type="dxa"/>
          </w:tcPr>
          <w:p>
            <w:pPr>
              <w:pStyle w:val="TableParagraph"/>
              <w:spacing w:before="97"/>
              <w:ind w:left="510"/>
              <w:jc w:val="left"/>
              <w:rPr>
                <w:sz w:val="20"/>
              </w:rPr>
            </w:pPr>
            <w:r>
              <w:rPr>
                <w:sz w:val="20"/>
              </w:rPr>
              <w:t>专项收入</w:t>
            </w:r>
          </w:p>
        </w:tc>
        <w:tc>
          <w:tcPr>
            <w:tcW w:w="1536" w:type="dxa"/>
          </w:tcPr>
          <w:p>
            <w:pPr>
              <w:pStyle w:val="TableParagraph"/>
              <w:spacing w:before="87"/>
              <w:ind w:right="93"/>
              <w:rPr>
                <w:sz w:val="22"/>
              </w:rPr>
            </w:pPr>
            <w:r>
              <w:rPr>
                <w:sz w:val="22"/>
              </w:rPr>
              <w:t>16809</w:t>
            </w:r>
          </w:p>
        </w:tc>
        <w:tc>
          <w:tcPr>
            <w:tcW w:w="1536" w:type="dxa"/>
          </w:tcPr>
          <w:p>
            <w:pPr>
              <w:pStyle w:val="TableParagraph"/>
              <w:spacing w:before="87"/>
              <w:ind w:right="93"/>
              <w:rPr>
                <w:sz w:val="22"/>
              </w:rPr>
            </w:pPr>
            <w:r>
              <w:rPr>
                <w:sz w:val="22"/>
              </w:rPr>
              <w:t>16809</w:t>
            </w:r>
          </w:p>
        </w:tc>
        <w:tc>
          <w:tcPr>
            <w:tcW w:w="1537" w:type="dxa"/>
          </w:tcPr>
          <w:p>
            <w:pPr>
              <w:pStyle w:val="TableParagraph"/>
              <w:spacing w:before="87"/>
              <w:ind w:right="96"/>
              <w:rPr>
                <w:sz w:val="22"/>
              </w:rPr>
            </w:pPr>
            <w:r>
              <w:rPr>
                <w:sz w:val="22"/>
              </w:rPr>
              <w:t>100.0</w:t>
            </w:r>
          </w:p>
        </w:tc>
      </w:tr>
      <w:tr>
        <w:trPr>
          <w:trHeight w:val="456" w:hRule="atLeast"/>
        </w:trPr>
        <w:tc>
          <w:tcPr>
            <w:tcW w:w="3363" w:type="dxa"/>
          </w:tcPr>
          <w:p>
            <w:pPr>
              <w:pStyle w:val="TableParagraph"/>
              <w:spacing w:before="97"/>
              <w:ind w:left="510"/>
              <w:jc w:val="left"/>
              <w:rPr>
                <w:sz w:val="20"/>
              </w:rPr>
            </w:pPr>
            <w:r>
              <w:rPr>
                <w:sz w:val="20"/>
              </w:rPr>
              <w:t>行政事业性收费收入</w:t>
            </w:r>
          </w:p>
        </w:tc>
        <w:tc>
          <w:tcPr>
            <w:tcW w:w="1536" w:type="dxa"/>
          </w:tcPr>
          <w:p>
            <w:pPr>
              <w:pStyle w:val="TableParagraph"/>
              <w:spacing w:before="87"/>
              <w:ind w:right="93"/>
              <w:rPr>
                <w:sz w:val="22"/>
              </w:rPr>
            </w:pPr>
            <w:r>
              <w:rPr>
                <w:sz w:val="22"/>
              </w:rPr>
              <w:t>4798</w:t>
            </w:r>
          </w:p>
        </w:tc>
        <w:tc>
          <w:tcPr>
            <w:tcW w:w="1536" w:type="dxa"/>
          </w:tcPr>
          <w:p>
            <w:pPr>
              <w:pStyle w:val="TableParagraph"/>
              <w:spacing w:before="87"/>
              <w:ind w:right="93"/>
              <w:rPr>
                <w:sz w:val="22"/>
              </w:rPr>
            </w:pPr>
            <w:r>
              <w:rPr>
                <w:sz w:val="22"/>
              </w:rPr>
              <w:t>4798</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97"/>
              <w:ind w:left="510"/>
              <w:jc w:val="left"/>
              <w:rPr>
                <w:sz w:val="20"/>
              </w:rPr>
            </w:pPr>
            <w:r>
              <w:rPr>
                <w:sz w:val="20"/>
              </w:rPr>
              <w:t>罚没收入</w:t>
            </w:r>
          </w:p>
        </w:tc>
        <w:tc>
          <w:tcPr>
            <w:tcW w:w="1536" w:type="dxa"/>
          </w:tcPr>
          <w:p>
            <w:pPr>
              <w:pStyle w:val="TableParagraph"/>
              <w:spacing w:before="87"/>
              <w:ind w:right="93"/>
              <w:rPr>
                <w:sz w:val="22"/>
              </w:rPr>
            </w:pPr>
            <w:r>
              <w:rPr>
                <w:sz w:val="22"/>
              </w:rPr>
              <w:t>5277</w:t>
            </w:r>
          </w:p>
        </w:tc>
        <w:tc>
          <w:tcPr>
            <w:tcW w:w="1536" w:type="dxa"/>
          </w:tcPr>
          <w:p>
            <w:pPr>
              <w:pStyle w:val="TableParagraph"/>
              <w:spacing w:before="87"/>
              <w:ind w:right="93"/>
              <w:rPr>
                <w:sz w:val="22"/>
              </w:rPr>
            </w:pPr>
            <w:r>
              <w:rPr>
                <w:sz w:val="22"/>
              </w:rPr>
              <w:t>5277</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97"/>
              <w:ind w:left="510"/>
              <w:jc w:val="left"/>
              <w:rPr>
                <w:sz w:val="20"/>
              </w:rPr>
            </w:pPr>
            <w:r>
              <w:rPr>
                <w:sz w:val="20"/>
              </w:rPr>
              <w:t>国有资本经营收入</w:t>
            </w:r>
          </w:p>
        </w:tc>
        <w:tc>
          <w:tcPr>
            <w:tcW w:w="1536" w:type="dxa"/>
          </w:tcPr>
          <w:p>
            <w:pPr>
              <w:pStyle w:val="TableParagraph"/>
              <w:spacing w:before="87"/>
              <w:ind w:right="93"/>
              <w:rPr>
                <w:sz w:val="22"/>
              </w:rPr>
            </w:pPr>
            <w:r>
              <w:rPr>
                <w:sz w:val="22"/>
              </w:rPr>
              <w:t>4651</w:t>
            </w:r>
          </w:p>
        </w:tc>
        <w:tc>
          <w:tcPr>
            <w:tcW w:w="1536" w:type="dxa"/>
          </w:tcPr>
          <w:p>
            <w:pPr>
              <w:pStyle w:val="TableParagraph"/>
              <w:spacing w:before="87"/>
              <w:ind w:right="93"/>
              <w:rPr>
                <w:sz w:val="22"/>
              </w:rPr>
            </w:pPr>
            <w:r>
              <w:rPr>
                <w:sz w:val="22"/>
              </w:rPr>
              <w:t>4651</w:t>
            </w:r>
          </w:p>
        </w:tc>
        <w:tc>
          <w:tcPr>
            <w:tcW w:w="1537" w:type="dxa"/>
          </w:tcPr>
          <w:p>
            <w:pPr>
              <w:pStyle w:val="TableParagraph"/>
              <w:spacing w:before="87"/>
              <w:ind w:right="96"/>
              <w:rPr>
                <w:sz w:val="22"/>
              </w:rPr>
            </w:pPr>
            <w:r>
              <w:rPr>
                <w:sz w:val="22"/>
              </w:rPr>
              <w:t>100.0</w:t>
            </w:r>
          </w:p>
        </w:tc>
      </w:tr>
      <w:tr>
        <w:trPr>
          <w:trHeight w:val="455" w:hRule="atLeast"/>
        </w:trPr>
        <w:tc>
          <w:tcPr>
            <w:tcW w:w="3363" w:type="dxa"/>
          </w:tcPr>
          <w:p>
            <w:pPr>
              <w:pStyle w:val="TableParagraph"/>
              <w:spacing w:before="97"/>
              <w:ind w:left="510"/>
              <w:jc w:val="left"/>
              <w:rPr>
                <w:sz w:val="20"/>
              </w:rPr>
            </w:pPr>
            <w:r>
              <w:rPr>
                <w:sz w:val="20"/>
              </w:rPr>
              <w:t>国有资源(资产)有偿使用收入</w:t>
            </w:r>
          </w:p>
        </w:tc>
        <w:tc>
          <w:tcPr>
            <w:tcW w:w="1536" w:type="dxa"/>
          </w:tcPr>
          <w:p>
            <w:pPr>
              <w:pStyle w:val="TableParagraph"/>
              <w:spacing w:before="87"/>
              <w:ind w:right="93"/>
              <w:rPr>
                <w:sz w:val="22"/>
              </w:rPr>
            </w:pPr>
            <w:r>
              <w:rPr>
                <w:sz w:val="22"/>
              </w:rPr>
              <w:t>25653</w:t>
            </w:r>
          </w:p>
        </w:tc>
        <w:tc>
          <w:tcPr>
            <w:tcW w:w="1536" w:type="dxa"/>
          </w:tcPr>
          <w:p>
            <w:pPr>
              <w:pStyle w:val="TableParagraph"/>
              <w:spacing w:before="87"/>
              <w:ind w:right="93"/>
              <w:rPr>
                <w:sz w:val="22"/>
              </w:rPr>
            </w:pPr>
            <w:r>
              <w:rPr>
                <w:sz w:val="22"/>
              </w:rPr>
              <w:t>25653</w:t>
            </w:r>
          </w:p>
        </w:tc>
        <w:tc>
          <w:tcPr>
            <w:tcW w:w="1537" w:type="dxa"/>
          </w:tcPr>
          <w:p>
            <w:pPr>
              <w:pStyle w:val="TableParagraph"/>
              <w:spacing w:before="87"/>
              <w:ind w:right="96"/>
              <w:rPr>
                <w:sz w:val="22"/>
              </w:rPr>
            </w:pPr>
            <w:r>
              <w:rPr>
                <w:sz w:val="22"/>
              </w:rPr>
              <w:t>100.0</w:t>
            </w:r>
          </w:p>
        </w:tc>
      </w:tr>
      <w:tr>
        <w:trPr>
          <w:trHeight w:val="453" w:hRule="atLeast"/>
        </w:trPr>
        <w:tc>
          <w:tcPr>
            <w:tcW w:w="3363" w:type="dxa"/>
          </w:tcPr>
          <w:p>
            <w:pPr>
              <w:pStyle w:val="TableParagraph"/>
              <w:spacing w:before="97"/>
              <w:ind w:left="510"/>
              <w:jc w:val="left"/>
              <w:rPr>
                <w:sz w:val="20"/>
              </w:rPr>
            </w:pPr>
            <w:r>
              <w:rPr>
                <w:sz w:val="20"/>
              </w:rPr>
              <w:t>政府住房基金收入</w:t>
            </w:r>
          </w:p>
        </w:tc>
        <w:tc>
          <w:tcPr>
            <w:tcW w:w="1536" w:type="dxa"/>
          </w:tcPr>
          <w:p>
            <w:pPr>
              <w:pStyle w:val="TableParagraph"/>
              <w:spacing w:before="87"/>
              <w:ind w:right="95"/>
              <w:rPr>
                <w:sz w:val="22"/>
              </w:rPr>
            </w:pPr>
            <w:r>
              <w:rPr>
                <w:sz w:val="22"/>
              </w:rPr>
              <w:t>146</w:t>
            </w:r>
          </w:p>
        </w:tc>
        <w:tc>
          <w:tcPr>
            <w:tcW w:w="1536" w:type="dxa"/>
          </w:tcPr>
          <w:p>
            <w:pPr>
              <w:pStyle w:val="TableParagraph"/>
              <w:spacing w:before="87"/>
              <w:ind w:right="95"/>
              <w:rPr>
                <w:sz w:val="22"/>
              </w:rPr>
            </w:pPr>
            <w:r>
              <w:rPr>
                <w:sz w:val="22"/>
              </w:rPr>
              <w:t>146</w:t>
            </w:r>
          </w:p>
        </w:tc>
        <w:tc>
          <w:tcPr>
            <w:tcW w:w="1537" w:type="dxa"/>
          </w:tcPr>
          <w:p>
            <w:pPr>
              <w:pStyle w:val="TableParagraph"/>
              <w:spacing w:before="87"/>
              <w:ind w:right="96"/>
              <w:rPr>
                <w:sz w:val="22"/>
              </w:rPr>
            </w:pPr>
            <w:r>
              <w:rPr>
                <w:sz w:val="22"/>
              </w:rPr>
              <w:t>100.0</w:t>
            </w:r>
          </w:p>
        </w:tc>
      </w:tr>
      <w:tr>
        <w:trPr>
          <w:trHeight w:val="455" w:hRule="atLeast"/>
        </w:trPr>
        <w:tc>
          <w:tcPr>
            <w:tcW w:w="3363" w:type="dxa"/>
          </w:tcPr>
          <w:p>
            <w:pPr>
              <w:pStyle w:val="TableParagraph"/>
              <w:spacing w:before="97"/>
              <w:ind w:left="510"/>
              <w:jc w:val="left"/>
              <w:rPr>
                <w:sz w:val="20"/>
              </w:rPr>
            </w:pPr>
            <w:r>
              <w:rPr>
                <w:sz w:val="20"/>
              </w:rPr>
              <w:t>其他收入</w:t>
            </w:r>
          </w:p>
        </w:tc>
        <w:tc>
          <w:tcPr>
            <w:tcW w:w="1536" w:type="dxa"/>
          </w:tcPr>
          <w:p>
            <w:pPr>
              <w:pStyle w:val="TableParagraph"/>
              <w:spacing w:before="87"/>
              <w:ind w:right="95"/>
              <w:rPr>
                <w:sz w:val="22"/>
              </w:rPr>
            </w:pPr>
            <w:r>
              <w:rPr>
                <w:sz w:val="22"/>
              </w:rPr>
              <w:t>165</w:t>
            </w:r>
          </w:p>
        </w:tc>
        <w:tc>
          <w:tcPr>
            <w:tcW w:w="1536" w:type="dxa"/>
          </w:tcPr>
          <w:p>
            <w:pPr>
              <w:pStyle w:val="TableParagraph"/>
              <w:spacing w:before="87"/>
              <w:ind w:right="95"/>
              <w:rPr>
                <w:sz w:val="22"/>
              </w:rPr>
            </w:pPr>
            <w:r>
              <w:rPr>
                <w:sz w:val="22"/>
              </w:rPr>
              <w:t>165</w:t>
            </w:r>
          </w:p>
        </w:tc>
        <w:tc>
          <w:tcPr>
            <w:tcW w:w="1537" w:type="dxa"/>
          </w:tcPr>
          <w:p>
            <w:pPr>
              <w:pStyle w:val="TableParagraph"/>
              <w:spacing w:before="87"/>
              <w:ind w:right="96"/>
              <w:rPr>
                <w:sz w:val="22"/>
              </w:rPr>
            </w:pPr>
            <w:r>
              <w:rPr>
                <w:sz w:val="22"/>
              </w:rPr>
              <w:t>100.0</w:t>
            </w:r>
          </w:p>
        </w:tc>
      </w:tr>
    </w:tbl>
    <w:p>
      <w:pPr>
        <w:spacing w:after="0"/>
        <w:rPr>
          <w:sz w:val="22"/>
        </w:rPr>
        <w:sectPr>
          <w:pgSz w:w="11910" w:h="16840"/>
          <w:pgMar w:header="0" w:footer="1235" w:top="1500" w:bottom="1420" w:left="1040" w:right="920"/>
        </w:sectPr>
      </w:pPr>
    </w:p>
    <w:p>
      <w:pPr>
        <w:spacing w:before="11"/>
        <w:ind w:left="834" w:right="0" w:firstLine="0"/>
        <w:jc w:val="left"/>
        <w:rPr>
          <w:rFonts w:ascii="微软雅黑" w:eastAsia="微软雅黑" w:hint="eastAsia"/>
          <w:sz w:val="24"/>
        </w:rPr>
      </w:pPr>
      <w:r>
        <w:rPr>
          <w:rFonts w:ascii="微软雅黑" w:eastAsia="微软雅黑" w:hint="eastAsia"/>
          <w:spacing w:val="-4"/>
          <w:sz w:val="24"/>
        </w:rPr>
        <w:t>附表 </w:t>
      </w:r>
      <w:r>
        <w:rPr>
          <w:rFonts w:ascii="微软雅黑" w:eastAsia="微软雅黑" w:hint="eastAsia"/>
          <w:spacing w:val="-19"/>
          <w:sz w:val="24"/>
        </w:rPr>
        <w:t>3</w:t>
      </w:r>
    </w:p>
    <w:p>
      <w:pPr>
        <w:pStyle w:val="BodyText"/>
        <w:spacing w:before="8"/>
        <w:rPr>
          <w:rFonts w:ascii="微软雅黑"/>
          <w:sz w:val="28"/>
        </w:rPr>
      </w:pPr>
      <w:r>
        <w:rPr/>
        <w:br w:type="column"/>
      </w:r>
      <w:r>
        <w:rPr>
          <w:rFonts w:ascii="微软雅黑"/>
          <w:sz w:val="28"/>
        </w:rPr>
      </w:r>
    </w:p>
    <w:p>
      <w:pPr>
        <w:pStyle w:val="Heading3"/>
        <w:spacing w:before="0"/>
        <w:ind w:left="11"/>
      </w:pPr>
      <w:r>
        <w:rPr/>
        <w:t>2022 年高阳县一般公共支出预算执行情况</w:t>
      </w:r>
    </w:p>
    <w:p>
      <w:pPr>
        <w:spacing w:before="92"/>
        <w:ind w:left="0" w:right="1195" w:firstLine="0"/>
        <w:jc w:val="right"/>
        <w:rPr>
          <w:rFonts w:ascii="宋体" w:eastAsia="宋体" w:hint="eastAsia"/>
          <w:sz w:val="18"/>
        </w:rPr>
      </w:pPr>
      <w:r>
        <w:rPr>
          <w:rFonts w:ascii="宋体" w:eastAsia="宋体" w:hint="eastAsia"/>
          <w:sz w:val="18"/>
        </w:rPr>
        <w:t>单位：万元</w:t>
      </w:r>
    </w:p>
    <w:p>
      <w:pPr>
        <w:spacing w:after="0"/>
        <w:jc w:val="right"/>
        <w:rPr>
          <w:rFonts w:ascii="宋体" w:eastAsia="宋体" w:hint="eastAsia"/>
          <w:sz w:val="18"/>
        </w:rPr>
        <w:sectPr>
          <w:pgSz w:w="11910" w:h="16840"/>
          <w:pgMar w:header="0" w:footer="1235" w:top="1500" w:bottom="1420" w:left="1040" w:right="920"/>
          <w:cols w:num="2" w:equalWidth="0">
            <w:col w:w="1516" w:space="40"/>
            <w:col w:w="8394"/>
          </w:cols>
        </w:sectPr>
      </w:pPr>
    </w:p>
    <w:p>
      <w:pPr>
        <w:pStyle w:val="BodyText"/>
        <w:spacing w:before="5"/>
        <w:rPr>
          <w:rFonts w:ascii="宋体"/>
          <w:sz w:val="3"/>
        </w:rPr>
      </w:pPr>
    </w:p>
    <w:tbl>
      <w:tblPr>
        <w:tblW w:w="0" w:type="auto"/>
        <w:jc w:val="left"/>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79"/>
        <w:gridCol w:w="1479"/>
        <w:gridCol w:w="1714"/>
        <w:gridCol w:w="1603"/>
      </w:tblGrid>
      <w:tr>
        <w:trPr>
          <w:trHeight w:val="551" w:hRule="atLeast"/>
        </w:trPr>
        <w:tc>
          <w:tcPr>
            <w:tcW w:w="3579" w:type="dxa"/>
          </w:tcPr>
          <w:p>
            <w:pPr>
              <w:pStyle w:val="TableParagraph"/>
              <w:tabs>
                <w:tab w:pos="492" w:val="left" w:leader="none"/>
              </w:tabs>
              <w:spacing w:before="119"/>
              <w:ind w:left="9"/>
              <w:jc w:val="center"/>
              <w:rPr>
                <w:b/>
                <w:sz w:val="24"/>
              </w:rPr>
            </w:pPr>
            <w:r>
              <w:rPr>
                <w:b/>
                <w:sz w:val="24"/>
              </w:rPr>
              <w:t>项</w:t>
              <w:tab/>
              <w:t>目</w:t>
            </w:r>
          </w:p>
        </w:tc>
        <w:tc>
          <w:tcPr>
            <w:tcW w:w="1479" w:type="dxa"/>
          </w:tcPr>
          <w:p>
            <w:pPr>
              <w:pStyle w:val="TableParagraph"/>
              <w:spacing w:before="119"/>
              <w:ind w:right="126"/>
              <w:rPr>
                <w:b/>
                <w:sz w:val="24"/>
              </w:rPr>
            </w:pPr>
            <w:r>
              <w:rPr>
                <w:b/>
                <w:w w:val="95"/>
                <w:sz w:val="24"/>
              </w:rPr>
              <w:t>调整预算数</w:t>
            </w:r>
          </w:p>
        </w:tc>
        <w:tc>
          <w:tcPr>
            <w:tcW w:w="1714" w:type="dxa"/>
          </w:tcPr>
          <w:p>
            <w:pPr>
              <w:pStyle w:val="TableParagraph"/>
              <w:spacing w:before="119"/>
              <w:ind w:left="493"/>
              <w:jc w:val="left"/>
              <w:rPr>
                <w:b/>
                <w:sz w:val="24"/>
              </w:rPr>
            </w:pPr>
            <w:r>
              <w:rPr>
                <w:b/>
                <w:sz w:val="24"/>
              </w:rPr>
              <w:t>执行数</w:t>
            </w:r>
          </w:p>
        </w:tc>
        <w:tc>
          <w:tcPr>
            <w:tcW w:w="1603" w:type="dxa"/>
          </w:tcPr>
          <w:p>
            <w:pPr>
              <w:pStyle w:val="TableParagraph"/>
              <w:spacing w:before="119"/>
              <w:ind w:right="127"/>
              <w:rPr>
                <w:b/>
                <w:sz w:val="24"/>
              </w:rPr>
            </w:pPr>
            <w:r>
              <w:rPr>
                <w:b/>
                <w:w w:val="95"/>
                <w:sz w:val="24"/>
              </w:rPr>
              <w:t>占调整预算%</w:t>
            </w:r>
          </w:p>
        </w:tc>
      </w:tr>
      <w:tr>
        <w:trPr>
          <w:trHeight w:val="515" w:hRule="atLeast"/>
        </w:trPr>
        <w:tc>
          <w:tcPr>
            <w:tcW w:w="3579" w:type="dxa"/>
          </w:tcPr>
          <w:p>
            <w:pPr>
              <w:pStyle w:val="TableParagraph"/>
              <w:spacing w:before="128"/>
              <w:ind w:left="11"/>
              <w:jc w:val="center"/>
              <w:rPr>
                <w:b/>
                <w:sz w:val="20"/>
              </w:rPr>
            </w:pPr>
            <w:r>
              <w:rPr>
                <w:b/>
                <w:sz w:val="20"/>
              </w:rPr>
              <w:t>合计</w:t>
            </w:r>
          </w:p>
        </w:tc>
        <w:tc>
          <w:tcPr>
            <w:tcW w:w="1479" w:type="dxa"/>
          </w:tcPr>
          <w:p>
            <w:pPr>
              <w:pStyle w:val="TableParagraph"/>
              <w:spacing w:before="118"/>
              <w:ind w:right="94"/>
              <w:rPr>
                <w:b/>
                <w:sz w:val="22"/>
              </w:rPr>
            </w:pPr>
            <w:r>
              <w:rPr>
                <w:b/>
                <w:w w:val="95"/>
                <w:sz w:val="22"/>
              </w:rPr>
              <w:t>285811</w:t>
            </w:r>
          </w:p>
        </w:tc>
        <w:tc>
          <w:tcPr>
            <w:tcW w:w="1714" w:type="dxa"/>
          </w:tcPr>
          <w:p>
            <w:pPr>
              <w:pStyle w:val="TableParagraph"/>
              <w:spacing w:before="118"/>
              <w:ind w:right="97"/>
              <w:rPr>
                <w:b/>
                <w:sz w:val="22"/>
              </w:rPr>
            </w:pPr>
            <w:r>
              <w:rPr>
                <w:b/>
                <w:w w:val="95"/>
                <w:sz w:val="22"/>
              </w:rPr>
              <w:t>283880</w:t>
            </w:r>
          </w:p>
        </w:tc>
        <w:tc>
          <w:tcPr>
            <w:tcW w:w="1603" w:type="dxa"/>
          </w:tcPr>
          <w:p>
            <w:pPr>
              <w:pStyle w:val="TableParagraph"/>
              <w:spacing w:before="118"/>
              <w:ind w:right="96"/>
              <w:rPr>
                <w:b/>
                <w:sz w:val="22"/>
              </w:rPr>
            </w:pPr>
            <w:r>
              <w:rPr>
                <w:b/>
                <w:sz w:val="22"/>
              </w:rPr>
              <w:t>99.3</w:t>
            </w:r>
          </w:p>
        </w:tc>
      </w:tr>
      <w:tr>
        <w:trPr>
          <w:trHeight w:val="510" w:hRule="atLeast"/>
        </w:trPr>
        <w:tc>
          <w:tcPr>
            <w:tcW w:w="3579" w:type="dxa"/>
          </w:tcPr>
          <w:p>
            <w:pPr>
              <w:pStyle w:val="TableParagraph"/>
              <w:spacing w:before="126"/>
              <w:ind w:left="508"/>
              <w:jc w:val="left"/>
              <w:rPr>
                <w:sz w:val="20"/>
              </w:rPr>
            </w:pPr>
            <w:r>
              <w:rPr>
                <w:sz w:val="20"/>
              </w:rPr>
              <w:t>一般公共服务支出</w:t>
            </w:r>
          </w:p>
        </w:tc>
        <w:tc>
          <w:tcPr>
            <w:tcW w:w="1479" w:type="dxa"/>
          </w:tcPr>
          <w:p>
            <w:pPr>
              <w:pStyle w:val="TableParagraph"/>
              <w:spacing w:before="116"/>
              <w:ind w:right="94"/>
              <w:rPr>
                <w:sz w:val="22"/>
              </w:rPr>
            </w:pPr>
            <w:r>
              <w:rPr>
                <w:sz w:val="22"/>
              </w:rPr>
              <w:t>22678</w:t>
            </w:r>
          </w:p>
        </w:tc>
        <w:tc>
          <w:tcPr>
            <w:tcW w:w="1714" w:type="dxa"/>
          </w:tcPr>
          <w:p>
            <w:pPr>
              <w:pStyle w:val="TableParagraph"/>
              <w:spacing w:before="116"/>
              <w:ind w:right="96"/>
              <w:rPr>
                <w:sz w:val="22"/>
              </w:rPr>
            </w:pPr>
            <w:r>
              <w:rPr>
                <w:sz w:val="22"/>
              </w:rPr>
              <w:t>22678</w:t>
            </w:r>
          </w:p>
        </w:tc>
        <w:tc>
          <w:tcPr>
            <w:tcW w:w="1603" w:type="dxa"/>
          </w:tcPr>
          <w:p>
            <w:pPr>
              <w:pStyle w:val="TableParagraph"/>
              <w:spacing w:before="116"/>
              <w:ind w:right="96"/>
              <w:rPr>
                <w:sz w:val="22"/>
              </w:rPr>
            </w:pPr>
            <w:r>
              <w:rPr>
                <w:sz w:val="22"/>
              </w:rPr>
              <w:t>100.0</w:t>
            </w:r>
          </w:p>
        </w:tc>
      </w:tr>
      <w:tr>
        <w:trPr>
          <w:trHeight w:val="511" w:hRule="atLeast"/>
        </w:trPr>
        <w:tc>
          <w:tcPr>
            <w:tcW w:w="3579" w:type="dxa"/>
          </w:tcPr>
          <w:p>
            <w:pPr>
              <w:pStyle w:val="TableParagraph"/>
              <w:spacing w:before="124"/>
              <w:ind w:left="508"/>
              <w:jc w:val="left"/>
              <w:rPr>
                <w:sz w:val="20"/>
              </w:rPr>
            </w:pPr>
            <w:r>
              <w:rPr>
                <w:sz w:val="20"/>
              </w:rPr>
              <w:t>公共安全支出</w:t>
            </w:r>
          </w:p>
        </w:tc>
        <w:tc>
          <w:tcPr>
            <w:tcW w:w="1479" w:type="dxa"/>
          </w:tcPr>
          <w:p>
            <w:pPr>
              <w:pStyle w:val="TableParagraph"/>
              <w:spacing w:before="113"/>
              <w:ind w:right="94"/>
              <w:rPr>
                <w:sz w:val="22"/>
              </w:rPr>
            </w:pPr>
            <w:r>
              <w:rPr>
                <w:sz w:val="22"/>
              </w:rPr>
              <w:t>12012</w:t>
            </w:r>
          </w:p>
        </w:tc>
        <w:tc>
          <w:tcPr>
            <w:tcW w:w="1714" w:type="dxa"/>
          </w:tcPr>
          <w:p>
            <w:pPr>
              <w:pStyle w:val="TableParagraph"/>
              <w:spacing w:before="113"/>
              <w:ind w:right="96"/>
              <w:rPr>
                <w:sz w:val="22"/>
              </w:rPr>
            </w:pPr>
            <w:r>
              <w:rPr>
                <w:sz w:val="22"/>
              </w:rPr>
              <w:t>12012</w:t>
            </w:r>
          </w:p>
        </w:tc>
        <w:tc>
          <w:tcPr>
            <w:tcW w:w="1603" w:type="dxa"/>
          </w:tcPr>
          <w:p>
            <w:pPr>
              <w:pStyle w:val="TableParagraph"/>
              <w:spacing w:before="113"/>
              <w:ind w:right="96"/>
              <w:rPr>
                <w:sz w:val="22"/>
              </w:rPr>
            </w:pPr>
            <w:r>
              <w:rPr>
                <w:sz w:val="22"/>
              </w:rPr>
              <w:t>100.0</w:t>
            </w:r>
          </w:p>
        </w:tc>
      </w:tr>
      <w:tr>
        <w:trPr>
          <w:trHeight w:val="508" w:hRule="atLeast"/>
        </w:trPr>
        <w:tc>
          <w:tcPr>
            <w:tcW w:w="3579" w:type="dxa"/>
          </w:tcPr>
          <w:p>
            <w:pPr>
              <w:pStyle w:val="TableParagraph"/>
              <w:spacing w:before="123"/>
              <w:ind w:left="508"/>
              <w:jc w:val="left"/>
              <w:rPr>
                <w:sz w:val="20"/>
              </w:rPr>
            </w:pPr>
            <w:r>
              <w:rPr>
                <w:sz w:val="20"/>
              </w:rPr>
              <w:t>教育支出</w:t>
            </w:r>
          </w:p>
        </w:tc>
        <w:tc>
          <w:tcPr>
            <w:tcW w:w="1479" w:type="dxa"/>
          </w:tcPr>
          <w:p>
            <w:pPr>
              <w:pStyle w:val="TableParagraph"/>
              <w:spacing w:before="113"/>
              <w:ind w:right="94"/>
              <w:rPr>
                <w:sz w:val="22"/>
              </w:rPr>
            </w:pPr>
            <w:r>
              <w:rPr>
                <w:sz w:val="22"/>
              </w:rPr>
              <w:t>62998</w:t>
            </w:r>
          </w:p>
        </w:tc>
        <w:tc>
          <w:tcPr>
            <w:tcW w:w="1714" w:type="dxa"/>
          </w:tcPr>
          <w:p>
            <w:pPr>
              <w:pStyle w:val="TableParagraph"/>
              <w:spacing w:before="113"/>
              <w:ind w:right="96"/>
              <w:rPr>
                <w:sz w:val="22"/>
              </w:rPr>
            </w:pPr>
            <w:r>
              <w:rPr>
                <w:sz w:val="22"/>
              </w:rPr>
              <w:t>61933</w:t>
            </w:r>
          </w:p>
        </w:tc>
        <w:tc>
          <w:tcPr>
            <w:tcW w:w="1603" w:type="dxa"/>
          </w:tcPr>
          <w:p>
            <w:pPr>
              <w:pStyle w:val="TableParagraph"/>
              <w:spacing w:before="113"/>
              <w:ind w:right="96"/>
              <w:rPr>
                <w:sz w:val="22"/>
              </w:rPr>
            </w:pPr>
            <w:r>
              <w:rPr>
                <w:sz w:val="22"/>
              </w:rPr>
              <w:t>98.3</w:t>
            </w:r>
          </w:p>
        </w:tc>
      </w:tr>
      <w:tr>
        <w:trPr>
          <w:trHeight w:val="510" w:hRule="atLeast"/>
        </w:trPr>
        <w:tc>
          <w:tcPr>
            <w:tcW w:w="3579" w:type="dxa"/>
          </w:tcPr>
          <w:p>
            <w:pPr>
              <w:pStyle w:val="TableParagraph"/>
              <w:spacing w:before="126"/>
              <w:ind w:left="508"/>
              <w:jc w:val="left"/>
              <w:rPr>
                <w:sz w:val="20"/>
              </w:rPr>
            </w:pPr>
            <w:r>
              <w:rPr>
                <w:sz w:val="20"/>
              </w:rPr>
              <w:t>科学技术支出</w:t>
            </w:r>
          </w:p>
        </w:tc>
        <w:tc>
          <w:tcPr>
            <w:tcW w:w="1479" w:type="dxa"/>
          </w:tcPr>
          <w:p>
            <w:pPr>
              <w:pStyle w:val="TableParagraph"/>
              <w:spacing w:before="116"/>
              <w:ind w:right="94"/>
              <w:rPr>
                <w:sz w:val="22"/>
              </w:rPr>
            </w:pPr>
            <w:r>
              <w:rPr>
                <w:sz w:val="22"/>
              </w:rPr>
              <w:t>3138</w:t>
            </w:r>
          </w:p>
        </w:tc>
        <w:tc>
          <w:tcPr>
            <w:tcW w:w="1714" w:type="dxa"/>
          </w:tcPr>
          <w:p>
            <w:pPr>
              <w:pStyle w:val="TableParagraph"/>
              <w:spacing w:before="116"/>
              <w:ind w:right="96"/>
              <w:rPr>
                <w:sz w:val="22"/>
              </w:rPr>
            </w:pPr>
            <w:r>
              <w:rPr>
                <w:sz w:val="22"/>
              </w:rPr>
              <w:t>3138</w:t>
            </w:r>
          </w:p>
        </w:tc>
        <w:tc>
          <w:tcPr>
            <w:tcW w:w="1603" w:type="dxa"/>
          </w:tcPr>
          <w:p>
            <w:pPr>
              <w:pStyle w:val="TableParagraph"/>
              <w:spacing w:before="116"/>
              <w:ind w:right="96"/>
              <w:rPr>
                <w:sz w:val="22"/>
              </w:rPr>
            </w:pPr>
            <w:r>
              <w:rPr>
                <w:sz w:val="22"/>
              </w:rPr>
              <w:t>100.0</w:t>
            </w:r>
          </w:p>
        </w:tc>
      </w:tr>
      <w:tr>
        <w:trPr>
          <w:trHeight w:val="510" w:hRule="atLeast"/>
        </w:trPr>
        <w:tc>
          <w:tcPr>
            <w:tcW w:w="3579" w:type="dxa"/>
          </w:tcPr>
          <w:p>
            <w:pPr>
              <w:pStyle w:val="TableParagraph"/>
              <w:spacing w:before="124"/>
              <w:ind w:left="508"/>
              <w:jc w:val="left"/>
              <w:rPr>
                <w:sz w:val="20"/>
              </w:rPr>
            </w:pPr>
            <w:r>
              <w:rPr>
                <w:sz w:val="20"/>
              </w:rPr>
              <w:t>文化旅游体育与传媒支出</w:t>
            </w:r>
          </w:p>
        </w:tc>
        <w:tc>
          <w:tcPr>
            <w:tcW w:w="1479" w:type="dxa"/>
          </w:tcPr>
          <w:p>
            <w:pPr>
              <w:pStyle w:val="TableParagraph"/>
              <w:spacing w:before="113"/>
              <w:ind w:right="94"/>
              <w:rPr>
                <w:sz w:val="22"/>
              </w:rPr>
            </w:pPr>
            <w:r>
              <w:rPr>
                <w:sz w:val="22"/>
              </w:rPr>
              <w:t>9719</w:t>
            </w:r>
          </w:p>
        </w:tc>
        <w:tc>
          <w:tcPr>
            <w:tcW w:w="1714" w:type="dxa"/>
          </w:tcPr>
          <w:p>
            <w:pPr>
              <w:pStyle w:val="TableParagraph"/>
              <w:spacing w:before="113"/>
              <w:ind w:right="96"/>
              <w:rPr>
                <w:sz w:val="22"/>
              </w:rPr>
            </w:pPr>
            <w:r>
              <w:rPr>
                <w:sz w:val="22"/>
              </w:rPr>
              <w:t>9719</w:t>
            </w:r>
          </w:p>
        </w:tc>
        <w:tc>
          <w:tcPr>
            <w:tcW w:w="1603" w:type="dxa"/>
          </w:tcPr>
          <w:p>
            <w:pPr>
              <w:pStyle w:val="TableParagraph"/>
              <w:spacing w:before="113"/>
              <w:ind w:right="96"/>
              <w:rPr>
                <w:sz w:val="22"/>
              </w:rPr>
            </w:pPr>
            <w:r>
              <w:rPr>
                <w:sz w:val="22"/>
              </w:rPr>
              <w:t>100.0</w:t>
            </w:r>
          </w:p>
        </w:tc>
      </w:tr>
      <w:tr>
        <w:trPr>
          <w:trHeight w:val="508" w:hRule="atLeast"/>
        </w:trPr>
        <w:tc>
          <w:tcPr>
            <w:tcW w:w="3579" w:type="dxa"/>
          </w:tcPr>
          <w:p>
            <w:pPr>
              <w:pStyle w:val="TableParagraph"/>
              <w:spacing w:before="123"/>
              <w:ind w:left="508"/>
              <w:jc w:val="left"/>
              <w:rPr>
                <w:sz w:val="20"/>
              </w:rPr>
            </w:pPr>
            <w:r>
              <w:rPr>
                <w:sz w:val="20"/>
              </w:rPr>
              <w:t>社会保障和就业支出</w:t>
            </w:r>
          </w:p>
        </w:tc>
        <w:tc>
          <w:tcPr>
            <w:tcW w:w="1479" w:type="dxa"/>
          </w:tcPr>
          <w:p>
            <w:pPr>
              <w:pStyle w:val="TableParagraph"/>
              <w:spacing w:before="113"/>
              <w:ind w:right="94"/>
              <w:rPr>
                <w:sz w:val="22"/>
              </w:rPr>
            </w:pPr>
            <w:r>
              <w:rPr>
                <w:sz w:val="22"/>
              </w:rPr>
              <w:t>34340</w:t>
            </w:r>
          </w:p>
        </w:tc>
        <w:tc>
          <w:tcPr>
            <w:tcW w:w="1714" w:type="dxa"/>
          </w:tcPr>
          <w:p>
            <w:pPr>
              <w:pStyle w:val="TableParagraph"/>
              <w:spacing w:before="113"/>
              <w:ind w:right="96"/>
              <w:rPr>
                <w:sz w:val="22"/>
              </w:rPr>
            </w:pPr>
            <w:r>
              <w:rPr>
                <w:sz w:val="22"/>
              </w:rPr>
              <w:t>34328</w:t>
            </w:r>
          </w:p>
        </w:tc>
        <w:tc>
          <w:tcPr>
            <w:tcW w:w="1603" w:type="dxa"/>
          </w:tcPr>
          <w:p>
            <w:pPr>
              <w:pStyle w:val="TableParagraph"/>
              <w:spacing w:before="113"/>
              <w:ind w:right="96"/>
              <w:rPr>
                <w:sz w:val="22"/>
              </w:rPr>
            </w:pPr>
            <w:r>
              <w:rPr>
                <w:sz w:val="22"/>
              </w:rPr>
              <w:t>100.0</w:t>
            </w:r>
          </w:p>
        </w:tc>
      </w:tr>
      <w:tr>
        <w:trPr>
          <w:trHeight w:val="510" w:hRule="atLeast"/>
        </w:trPr>
        <w:tc>
          <w:tcPr>
            <w:tcW w:w="3579" w:type="dxa"/>
          </w:tcPr>
          <w:p>
            <w:pPr>
              <w:pStyle w:val="TableParagraph"/>
              <w:spacing w:before="126"/>
              <w:ind w:left="508"/>
              <w:jc w:val="left"/>
              <w:rPr>
                <w:sz w:val="20"/>
              </w:rPr>
            </w:pPr>
            <w:r>
              <w:rPr>
                <w:sz w:val="20"/>
              </w:rPr>
              <w:t>卫生健康支出</w:t>
            </w:r>
          </w:p>
        </w:tc>
        <w:tc>
          <w:tcPr>
            <w:tcW w:w="1479" w:type="dxa"/>
          </w:tcPr>
          <w:p>
            <w:pPr>
              <w:pStyle w:val="TableParagraph"/>
              <w:spacing w:before="116"/>
              <w:ind w:right="94"/>
              <w:rPr>
                <w:sz w:val="22"/>
              </w:rPr>
            </w:pPr>
            <w:r>
              <w:rPr>
                <w:sz w:val="22"/>
              </w:rPr>
              <w:t>17339</w:t>
            </w:r>
          </w:p>
        </w:tc>
        <w:tc>
          <w:tcPr>
            <w:tcW w:w="1714" w:type="dxa"/>
          </w:tcPr>
          <w:p>
            <w:pPr>
              <w:pStyle w:val="TableParagraph"/>
              <w:spacing w:before="116"/>
              <w:ind w:right="96"/>
              <w:rPr>
                <w:sz w:val="22"/>
              </w:rPr>
            </w:pPr>
            <w:r>
              <w:rPr>
                <w:sz w:val="22"/>
              </w:rPr>
              <w:t>17339</w:t>
            </w:r>
          </w:p>
        </w:tc>
        <w:tc>
          <w:tcPr>
            <w:tcW w:w="1603" w:type="dxa"/>
          </w:tcPr>
          <w:p>
            <w:pPr>
              <w:pStyle w:val="TableParagraph"/>
              <w:spacing w:before="116"/>
              <w:ind w:right="96"/>
              <w:rPr>
                <w:sz w:val="22"/>
              </w:rPr>
            </w:pPr>
            <w:r>
              <w:rPr>
                <w:sz w:val="22"/>
              </w:rPr>
              <w:t>100.0</w:t>
            </w:r>
          </w:p>
        </w:tc>
      </w:tr>
      <w:tr>
        <w:trPr>
          <w:trHeight w:val="510" w:hRule="atLeast"/>
        </w:trPr>
        <w:tc>
          <w:tcPr>
            <w:tcW w:w="3579" w:type="dxa"/>
          </w:tcPr>
          <w:p>
            <w:pPr>
              <w:pStyle w:val="TableParagraph"/>
              <w:spacing w:before="124"/>
              <w:ind w:left="508"/>
              <w:jc w:val="left"/>
              <w:rPr>
                <w:sz w:val="20"/>
              </w:rPr>
            </w:pPr>
            <w:r>
              <w:rPr>
                <w:sz w:val="20"/>
              </w:rPr>
              <w:t>节能环保支出</w:t>
            </w:r>
          </w:p>
        </w:tc>
        <w:tc>
          <w:tcPr>
            <w:tcW w:w="1479" w:type="dxa"/>
          </w:tcPr>
          <w:p>
            <w:pPr>
              <w:pStyle w:val="TableParagraph"/>
              <w:spacing w:before="113"/>
              <w:ind w:right="94"/>
              <w:rPr>
                <w:sz w:val="22"/>
              </w:rPr>
            </w:pPr>
            <w:r>
              <w:rPr>
                <w:sz w:val="22"/>
              </w:rPr>
              <w:t>19352</w:t>
            </w:r>
          </w:p>
        </w:tc>
        <w:tc>
          <w:tcPr>
            <w:tcW w:w="1714" w:type="dxa"/>
          </w:tcPr>
          <w:p>
            <w:pPr>
              <w:pStyle w:val="TableParagraph"/>
              <w:spacing w:before="113"/>
              <w:ind w:right="96"/>
              <w:rPr>
                <w:sz w:val="22"/>
              </w:rPr>
            </w:pPr>
            <w:r>
              <w:rPr>
                <w:sz w:val="22"/>
              </w:rPr>
              <w:t>18832</w:t>
            </w:r>
          </w:p>
        </w:tc>
        <w:tc>
          <w:tcPr>
            <w:tcW w:w="1603" w:type="dxa"/>
          </w:tcPr>
          <w:p>
            <w:pPr>
              <w:pStyle w:val="TableParagraph"/>
              <w:spacing w:before="113"/>
              <w:ind w:right="96"/>
              <w:rPr>
                <w:sz w:val="22"/>
              </w:rPr>
            </w:pPr>
            <w:r>
              <w:rPr>
                <w:sz w:val="22"/>
              </w:rPr>
              <w:t>97.3</w:t>
            </w:r>
          </w:p>
        </w:tc>
      </w:tr>
      <w:tr>
        <w:trPr>
          <w:trHeight w:val="508" w:hRule="atLeast"/>
        </w:trPr>
        <w:tc>
          <w:tcPr>
            <w:tcW w:w="3579" w:type="dxa"/>
          </w:tcPr>
          <w:p>
            <w:pPr>
              <w:pStyle w:val="TableParagraph"/>
              <w:spacing w:before="124"/>
              <w:ind w:left="508"/>
              <w:jc w:val="left"/>
              <w:rPr>
                <w:sz w:val="20"/>
              </w:rPr>
            </w:pPr>
            <w:r>
              <w:rPr>
                <w:sz w:val="20"/>
              </w:rPr>
              <w:t>城乡社区支出</w:t>
            </w:r>
          </w:p>
        </w:tc>
        <w:tc>
          <w:tcPr>
            <w:tcW w:w="1479" w:type="dxa"/>
          </w:tcPr>
          <w:p>
            <w:pPr>
              <w:pStyle w:val="TableParagraph"/>
              <w:spacing w:before="113"/>
              <w:ind w:right="94"/>
              <w:rPr>
                <w:sz w:val="22"/>
              </w:rPr>
            </w:pPr>
            <w:r>
              <w:rPr>
                <w:sz w:val="22"/>
              </w:rPr>
              <w:t>37067</w:t>
            </w:r>
          </w:p>
        </w:tc>
        <w:tc>
          <w:tcPr>
            <w:tcW w:w="1714" w:type="dxa"/>
          </w:tcPr>
          <w:p>
            <w:pPr>
              <w:pStyle w:val="TableParagraph"/>
              <w:spacing w:before="113"/>
              <w:ind w:right="96"/>
              <w:rPr>
                <w:sz w:val="22"/>
              </w:rPr>
            </w:pPr>
            <w:r>
              <w:rPr>
                <w:sz w:val="22"/>
              </w:rPr>
              <w:t>37067</w:t>
            </w:r>
          </w:p>
        </w:tc>
        <w:tc>
          <w:tcPr>
            <w:tcW w:w="1603" w:type="dxa"/>
          </w:tcPr>
          <w:p>
            <w:pPr>
              <w:pStyle w:val="TableParagraph"/>
              <w:spacing w:before="113"/>
              <w:ind w:right="96"/>
              <w:rPr>
                <w:sz w:val="22"/>
              </w:rPr>
            </w:pPr>
            <w:r>
              <w:rPr>
                <w:sz w:val="22"/>
              </w:rPr>
              <w:t>100.0</w:t>
            </w:r>
          </w:p>
        </w:tc>
      </w:tr>
      <w:tr>
        <w:trPr>
          <w:trHeight w:val="510" w:hRule="atLeast"/>
        </w:trPr>
        <w:tc>
          <w:tcPr>
            <w:tcW w:w="3579" w:type="dxa"/>
          </w:tcPr>
          <w:p>
            <w:pPr>
              <w:pStyle w:val="TableParagraph"/>
              <w:spacing w:before="126"/>
              <w:ind w:left="508"/>
              <w:jc w:val="left"/>
              <w:rPr>
                <w:sz w:val="20"/>
              </w:rPr>
            </w:pPr>
            <w:r>
              <w:rPr>
                <w:sz w:val="20"/>
              </w:rPr>
              <w:t>农林水支出</w:t>
            </w:r>
          </w:p>
        </w:tc>
        <w:tc>
          <w:tcPr>
            <w:tcW w:w="1479" w:type="dxa"/>
          </w:tcPr>
          <w:p>
            <w:pPr>
              <w:pStyle w:val="TableParagraph"/>
              <w:spacing w:before="116"/>
              <w:ind w:right="94"/>
              <w:rPr>
                <w:sz w:val="22"/>
              </w:rPr>
            </w:pPr>
            <w:r>
              <w:rPr>
                <w:sz w:val="22"/>
              </w:rPr>
              <w:t>42418</w:t>
            </w:r>
          </w:p>
        </w:tc>
        <w:tc>
          <w:tcPr>
            <w:tcW w:w="1714" w:type="dxa"/>
          </w:tcPr>
          <w:p>
            <w:pPr>
              <w:pStyle w:val="TableParagraph"/>
              <w:spacing w:before="116"/>
              <w:ind w:right="96"/>
              <w:rPr>
                <w:sz w:val="22"/>
              </w:rPr>
            </w:pPr>
            <w:r>
              <w:rPr>
                <w:sz w:val="22"/>
              </w:rPr>
              <w:t>42418</w:t>
            </w:r>
          </w:p>
        </w:tc>
        <w:tc>
          <w:tcPr>
            <w:tcW w:w="1603" w:type="dxa"/>
          </w:tcPr>
          <w:p>
            <w:pPr>
              <w:pStyle w:val="TableParagraph"/>
              <w:spacing w:before="116"/>
              <w:ind w:right="96"/>
              <w:rPr>
                <w:sz w:val="22"/>
              </w:rPr>
            </w:pPr>
            <w:r>
              <w:rPr>
                <w:sz w:val="22"/>
              </w:rPr>
              <w:t>100.0</w:t>
            </w:r>
          </w:p>
        </w:tc>
      </w:tr>
      <w:tr>
        <w:trPr>
          <w:trHeight w:val="510" w:hRule="atLeast"/>
        </w:trPr>
        <w:tc>
          <w:tcPr>
            <w:tcW w:w="3579" w:type="dxa"/>
          </w:tcPr>
          <w:p>
            <w:pPr>
              <w:pStyle w:val="TableParagraph"/>
              <w:spacing w:before="123"/>
              <w:ind w:left="508"/>
              <w:jc w:val="left"/>
              <w:rPr>
                <w:sz w:val="20"/>
              </w:rPr>
            </w:pPr>
            <w:r>
              <w:rPr>
                <w:sz w:val="20"/>
              </w:rPr>
              <w:t>交通运输支出</w:t>
            </w:r>
          </w:p>
        </w:tc>
        <w:tc>
          <w:tcPr>
            <w:tcW w:w="1479" w:type="dxa"/>
          </w:tcPr>
          <w:p>
            <w:pPr>
              <w:pStyle w:val="TableParagraph"/>
              <w:spacing w:before="113"/>
              <w:ind w:right="94"/>
              <w:rPr>
                <w:sz w:val="22"/>
              </w:rPr>
            </w:pPr>
            <w:r>
              <w:rPr>
                <w:sz w:val="22"/>
              </w:rPr>
              <w:t>8581</w:t>
            </w:r>
          </w:p>
        </w:tc>
        <w:tc>
          <w:tcPr>
            <w:tcW w:w="1714" w:type="dxa"/>
          </w:tcPr>
          <w:p>
            <w:pPr>
              <w:pStyle w:val="TableParagraph"/>
              <w:spacing w:before="113"/>
              <w:ind w:right="96"/>
              <w:rPr>
                <w:sz w:val="22"/>
              </w:rPr>
            </w:pPr>
            <w:r>
              <w:rPr>
                <w:sz w:val="22"/>
              </w:rPr>
              <w:t>8266</w:t>
            </w:r>
          </w:p>
        </w:tc>
        <w:tc>
          <w:tcPr>
            <w:tcW w:w="1603" w:type="dxa"/>
          </w:tcPr>
          <w:p>
            <w:pPr>
              <w:pStyle w:val="TableParagraph"/>
              <w:spacing w:before="113"/>
              <w:ind w:right="96"/>
              <w:rPr>
                <w:sz w:val="22"/>
              </w:rPr>
            </w:pPr>
            <w:r>
              <w:rPr>
                <w:sz w:val="22"/>
              </w:rPr>
              <w:t>96.3</w:t>
            </w:r>
          </w:p>
        </w:tc>
      </w:tr>
      <w:tr>
        <w:trPr>
          <w:trHeight w:val="508" w:hRule="atLeast"/>
        </w:trPr>
        <w:tc>
          <w:tcPr>
            <w:tcW w:w="3579" w:type="dxa"/>
          </w:tcPr>
          <w:p>
            <w:pPr>
              <w:pStyle w:val="TableParagraph"/>
              <w:spacing w:before="124"/>
              <w:ind w:left="508"/>
              <w:jc w:val="left"/>
              <w:rPr>
                <w:sz w:val="20"/>
              </w:rPr>
            </w:pPr>
            <w:r>
              <w:rPr>
                <w:sz w:val="20"/>
              </w:rPr>
              <w:t>资源勘探工业信息等支出</w:t>
            </w:r>
          </w:p>
        </w:tc>
        <w:tc>
          <w:tcPr>
            <w:tcW w:w="1479" w:type="dxa"/>
          </w:tcPr>
          <w:p>
            <w:pPr>
              <w:pStyle w:val="TableParagraph"/>
              <w:spacing w:before="113"/>
              <w:ind w:right="94"/>
              <w:rPr>
                <w:sz w:val="22"/>
              </w:rPr>
            </w:pPr>
            <w:r>
              <w:rPr>
                <w:sz w:val="22"/>
              </w:rPr>
              <w:t>675</w:t>
            </w:r>
          </w:p>
        </w:tc>
        <w:tc>
          <w:tcPr>
            <w:tcW w:w="1714" w:type="dxa"/>
          </w:tcPr>
          <w:p>
            <w:pPr>
              <w:pStyle w:val="TableParagraph"/>
              <w:spacing w:before="113"/>
              <w:ind w:right="96"/>
              <w:rPr>
                <w:sz w:val="22"/>
              </w:rPr>
            </w:pPr>
            <w:r>
              <w:rPr>
                <w:sz w:val="22"/>
              </w:rPr>
              <w:t>675</w:t>
            </w:r>
          </w:p>
        </w:tc>
        <w:tc>
          <w:tcPr>
            <w:tcW w:w="1603" w:type="dxa"/>
          </w:tcPr>
          <w:p>
            <w:pPr>
              <w:pStyle w:val="TableParagraph"/>
              <w:spacing w:before="113"/>
              <w:ind w:right="96"/>
              <w:rPr>
                <w:sz w:val="22"/>
              </w:rPr>
            </w:pPr>
            <w:r>
              <w:rPr>
                <w:sz w:val="22"/>
              </w:rPr>
              <w:t>100.0</w:t>
            </w:r>
          </w:p>
        </w:tc>
      </w:tr>
      <w:tr>
        <w:trPr>
          <w:trHeight w:val="510" w:hRule="atLeast"/>
        </w:trPr>
        <w:tc>
          <w:tcPr>
            <w:tcW w:w="3579" w:type="dxa"/>
          </w:tcPr>
          <w:p>
            <w:pPr>
              <w:pStyle w:val="TableParagraph"/>
              <w:spacing w:before="126"/>
              <w:ind w:left="508"/>
              <w:jc w:val="left"/>
              <w:rPr>
                <w:sz w:val="20"/>
              </w:rPr>
            </w:pPr>
            <w:r>
              <w:rPr>
                <w:sz w:val="20"/>
              </w:rPr>
              <w:t>商业服务业等支出</w:t>
            </w:r>
          </w:p>
        </w:tc>
        <w:tc>
          <w:tcPr>
            <w:tcW w:w="1479" w:type="dxa"/>
          </w:tcPr>
          <w:p>
            <w:pPr>
              <w:pStyle w:val="TableParagraph"/>
              <w:spacing w:before="116"/>
              <w:ind w:right="94"/>
              <w:rPr>
                <w:sz w:val="22"/>
              </w:rPr>
            </w:pPr>
            <w:r>
              <w:rPr>
                <w:sz w:val="22"/>
              </w:rPr>
              <w:t>298</w:t>
            </w:r>
          </w:p>
        </w:tc>
        <w:tc>
          <w:tcPr>
            <w:tcW w:w="1714" w:type="dxa"/>
          </w:tcPr>
          <w:p>
            <w:pPr>
              <w:pStyle w:val="TableParagraph"/>
              <w:spacing w:before="116"/>
              <w:ind w:right="96"/>
              <w:rPr>
                <w:sz w:val="22"/>
              </w:rPr>
            </w:pPr>
            <w:r>
              <w:rPr>
                <w:sz w:val="22"/>
              </w:rPr>
              <w:t>279</w:t>
            </w:r>
          </w:p>
        </w:tc>
        <w:tc>
          <w:tcPr>
            <w:tcW w:w="1603" w:type="dxa"/>
          </w:tcPr>
          <w:p>
            <w:pPr>
              <w:pStyle w:val="TableParagraph"/>
              <w:spacing w:before="116"/>
              <w:ind w:right="96"/>
              <w:rPr>
                <w:sz w:val="22"/>
              </w:rPr>
            </w:pPr>
            <w:r>
              <w:rPr>
                <w:sz w:val="22"/>
              </w:rPr>
              <w:t>93.6</w:t>
            </w:r>
          </w:p>
        </w:tc>
      </w:tr>
      <w:tr>
        <w:trPr>
          <w:trHeight w:val="510" w:hRule="atLeast"/>
        </w:trPr>
        <w:tc>
          <w:tcPr>
            <w:tcW w:w="3579" w:type="dxa"/>
          </w:tcPr>
          <w:p>
            <w:pPr>
              <w:pStyle w:val="TableParagraph"/>
              <w:spacing w:before="123"/>
              <w:ind w:left="508"/>
              <w:jc w:val="left"/>
              <w:rPr>
                <w:sz w:val="20"/>
              </w:rPr>
            </w:pPr>
            <w:r>
              <w:rPr>
                <w:sz w:val="20"/>
              </w:rPr>
              <w:t>金融支出</w:t>
            </w:r>
          </w:p>
        </w:tc>
        <w:tc>
          <w:tcPr>
            <w:tcW w:w="1479" w:type="dxa"/>
          </w:tcPr>
          <w:p>
            <w:pPr>
              <w:pStyle w:val="TableParagraph"/>
              <w:spacing w:before="113"/>
              <w:ind w:right="94"/>
              <w:rPr>
                <w:sz w:val="22"/>
              </w:rPr>
            </w:pPr>
            <w:r>
              <w:rPr>
                <w:sz w:val="22"/>
              </w:rPr>
              <w:t>30</w:t>
            </w:r>
          </w:p>
        </w:tc>
        <w:tc>
          <w:tcPr>
            <w:tcW w:w="1714" w:type="dxa"/>
          </w:tcPr>
          <w:p>
            <w:pPr>
              <w:pStyle w:val="TableParagraph"/>
              <w:spacing w:before="113"/>
              <w:ind w:right="96"/>
              <w:rPr>
                <w:sz w:val="22"/>
              </w:rPr>
            </w:pPr>
            <w:r>
              <w:rPr>
                <w:sz w:val="22"/>
              </w:rPr>
              <w:t>30</w:t>
            </w:r>
          </w:p>
        </w:tc>
        <w:tc>
          <w:tcPr>
            <w:tcW w:w="1603" w:type="dxa"/>
          </w:tcPr>
          <w:p>
            <w:pPr>
              <w:pStyle w:val="TableParagraph"/>
              <w:spacing w:before="113"/>
              <w:ind w:right="96"/>
              <w:rPr>
                <w:sz w:val="22"/>
              </w:rPr>
            </w:pPr>
            <w:r>
              <w:rPr>
                <w:sz w:val="22"/>
              </w:rPr>
              <w:t>100.0</w:t>
            </w:r>
          </w:p>
        </w:tc>
      </w:tr>
      <w:tr>
        <w:trPr>
          <w:trHeight w:val="508" w:hRule="atLeast"/>
        </w:trPr>
        <w:tc>
          <w:tcPr>
            <w:tcW w:w="3579" w:type="dxa"/>
          </w:tcPr>
          <w:p>
            <w:pPr>
              <w:pStyle w:val="TableParagraph"/>
              <w:spacing w:before="123"/>
              <w:ind w:left="508"/>
              <w:jc w:val="left"/>
              <w:rPr>
                <w:sz w:val="20"/>
              </w:rPr>
            </w:pPr>
            <w:r>
              <w:rPr>
                <w:sz w:val="20"/>
              </w:rPr>
              <w:t>自然资源海洋气象等支出</w:t>
            </w:r>
          </w:p>
        </w:tc>
        <w:tc>
          <w:tcPr>
            <w:tcW w:w="1479" w:type="dxa"/>
          </w:tcPr>
          <w:p>
            <w:pPr>
              <w:pStyle w:val="TableParagraph"/>
              <w:spacing w:before="113"/>
              <w:ind w:right="94"/>
              <w:rPr>
                <w:sz w:val="22"/>
              </w:rPr>
            </w:pPr>
            <w:r>
              <w:rPr>
                <w:sz w:val="22"/>
              </w:rPr>
              <w:t>2445</w:t>
            </w:r>
          </w:p>
        </w:tc>
        <w:tc>
          <w:tcPr>
            <w:tcW w:w="1714" w:type="dxa"/>
          </w:tcPr>
          <w:p>
            <w:pPr>
              <w:pStyle w:val="TableParagraph"/>
              <w:spacing w:before="113"/>
              <w:ind w:right="96"/>
              <w:rPr>
                <w:sz w:val="22"/>
              </w:rPr>
            </w:pPr>
            <w:r>
              <w:rPr>
                <w:sz w:val="22"/>
              </w:rPr>
              <w:t>2445</w:t>
            </w:r>
          </w:p>
        </w:tc>
        <w:tc>
          <w:tcPr>
            <w:tcW w:w="1603" w:type="dxa"/>
          </w:tcPr>
          <w:p>
            <w:pPr>
              <w:pStyle w:val="TableParagraph"/>
              <w:spacing w:before="113"/>
              <w:ind w:right="96"/>
              <w:rPr>
                <w:sz w:val="22"/>
              </w:rPr>
            </w:pPr>
            <w:r>
              <w:rPr>
                <w:sz w:val="22"/>
              </w:rPr>
              <w:t>100.0</w:t>
            </w:r>
          </w:p>
        </w:tc>
      </w:tr>
      <w:tr>
        <w:trPr>
          <w:trHeight w:val="511" w:hRule="atLeast"/>
        </w:trPr>
        <w:tc>
          <w:tcPr>
            <w:tcW w:w="3579" w:type="dxa"/>
          </w:tcPr>
          <w:p>
            <w:pPr>
              <w:pStyle w:val="TableParagraph"/>
              <w:spacing w:before="127"/>
              <w:ind w:left="508"/>
              <w:jc w:val="left"/>
              <w:rPr>
                <w:sz w:val="20"/>
              </w:rPr>
            </w:pPr>
            <w:r>
              <w:rPr>
                <w:sz w:val="20"/>
              </w:rPr>
              <w:t>住房保障支出</w:t>
            </w:r>
          </w:p>
        </w:tc>
        <w:tc>
          <w:tcPr>
            <w:tcW w:w="1479" w:type="dxa"/>
          </w:tcPr>
          <w:p>
            <w:pPr>
              <w:pStyle w:val="TableParagraph"/>
              <w:spacing w:before="116"/>
              <w:ind w:right="94"/>
              <w:rPr>
                <w:sz w:val="22"/>
              </w:rPr>
            </w:pPr>
            <w:r>
              <w:rPr>
                <w:sz w:val="22"/>
              </w:rPr>
              <w:t>7471</w:t>
            </w:r>
          </w:p>
        </w:tc>
        <w:tc>
          <w:tcPr>
            <w:tcW w:w="1714" w:type="dxa"/>
          </w:tcPr>
          <w:p>
            <w:pPr>
              <w:pStyle w:val="TableParagraph"/>
              <w:spacing w:before="116"/>
              <w:ind w:right="96"/>
              <w:rPr>
                <w:sz w:val="22"/>
              </w:rPr>
            </w:pPr>
            <w:r>
              <w:rPr>
                <w:sz w:val="22"/>
              </w:rPr>
              <w:t>7471</w:t>
            </w:r>
          </w:p>
        </w:tc>
        <w:tc>
          <w:tcPr>
            <w:tcW w:w="1603" w:type="dxa"/>
          </w:tcPr>
          <w:p>
            <w:pPr>
              <w:pStyle w:val="TableParagraph"/>
              <w:spacing w:before="116"/>
              <w:ind w:right="96"/>
              <w:rPr>
                <w:sz w:val="22"/>
              </w:rPr>
            </w:pPr>
            <w:r>
              <w:rPr>
                <w:sz w:val="22"/>
              </w:rPr>
              <w:t>100.0</w:t>
            </w:r>
          </w:p>
        </w:tc>
      </w:tr>
      <w:tr>
        <w:trPr>
          <w:trHeight w:val="510" w:hRule="atLeast"/>
        </w:trPr>
        <w:tc>
          <w:tcPr>
            <w:tcW w:w="3579" w:type="dxa"/>
          </w:tcPr>
          <w:p>
            <w:pPr>
              <w:pStyle w:val="TableParagraph"/>
              <w:spacing w:before="123"/>
              <w:ind w:left="508"/>
              <w:jc w:val="left"/>
              <w:rPr>
                <w:sz w:val="20"/>
              </w:rPr>
            </w:pPr>
            <w:r>
              <w:rPr>
                <w:sz w:val="20"/>
              </w:rPr>
              <w:t>粮油物资储备支出</w:t>
            </w:r>
          </w:p>
        </w:tc>
        <w:tc>
          <w:tcPr>
            <w:tcW w:w="1479" w:type="dxa"/>
          </w:tcPr>
          <w:p>
            <w:pPr>
              <w:pStyle w:val="TableParagraph"/>
              <w:spacing w:before="113"/>
              <w:ind w:right="94"/>
              <w:rPr>
                <w:sz w:val="22"/>
              </w:rPr>
            </w:pPr>
            <w:r>
              <w:rPr>
                <w:sz w:val="22"/>
              </w:rPr>
              <w:t>240</w:t>
            </w:r>
          </w:p>
        </w:tc>
        <w:tc>
          <w:tcPr>
            <w:tcW w:w="1714" w:type="dxa"/>
          </w:tcPr>
          <w:p>
            <w:pPr>
              <w:pStyle w:val="TableParagraph"/>
              <w:spacing w:before="113"/>
              <w:ind w:right="96"/>
              <w:rPr>
                <w:sz w:val="22"/>
              </w:rPr>
            </w:pPr>
            <w:r>
              <w:rPr>
                <w:sz w:val="22"/>
              </w:rPr>
              <w:t>240</w:t>
            </w:r>
          </w:p>
        </w:tc>
        <w:tc>
          <w:tcPr>
            <w:tcW w:w="1603" w:type="dxa"/>
          </w:tcPr>
          <w:p>
            <w:pPr>
              <w:pStyle w:val="TableParagraph"/>
              <w:spacing w:before="113"/>
              <w:ind w:right="96"/>
              <w:rPr>
                <w:sz w:val="22"/>
              </w:rPr>
            </w:pPr>
            <w:r>
              <w:rPr>
                <w:sz w:val="22"/>
              </w:rPr>
              <w:t>100.0</w:t>
            </w:r>
          </w:p>
        </w:tc>
      </w:tr>
      <w:tr>
        <w:trPr>
          <w:trHeight w:val="508" w:hRule="atLeast"/>
        </w:trPr>
        <w:tc>
          <w:tcPr>
            <w:tcW w:w="3579" w:type="dxa"/>
          </w:tcPr>
          <w:p>
            <w:pPr>
              <w:pStyle w:val="TableParagraph"/>
              <w:spacing w:before="124"/>
              <w:ind w:left="508"/>
              <w:jc w:val="left"/>
              <w:rPr>
                <w:sz w:val="20"/>
              </w:rPr>
            </w:pPr>
            <w:r>
              <w:rPr>
                <w:sz w:val="20"/>
              </w:rPr>
              <w:t>灾害防治及应急管理支出</w:t>
            </w:r>
          </w:p>
        </w:tc>
        <w:tc>
          <w:tcPr>
            <w:tcW w:w="1479" w:type="dxa"/>
          </w:tcPr>
          <w:p>
            <w:pPr>
              <w:pStyle w:val="TableParagraph"/>
              <w:spacing w:before="113"/>
              <w:ind w:right="94"/>
              <w:rPr>
                <w:sz w:val="22"/>
              </w:rPr>
            </w:pPr>
            <w:r>
              <w:rPr>
                <w:sz w:val="22"/>
              </w:rPr>
              <w:t>1577</w:t>
            </w:r>
          </w:p>
        </w:tc>
        <w:tc>
          <w:tcPr>
            <w:tcW w:w="1714" w:type="dxa"/>
          </w:tcPr>
          <w:p>
            <w:pPr>
              <w:pStyle w:val="TableParagraph"/>
              <w:spacing w:before="113"/>
              <w:ind w:right="96"/>
              <w:rPr>
                <w:sz w:val="22"/>
              </w:rPr>
            </w:pPr>
            <w:r>
              <w:rPr>
                <w:sz w:val="22"/>
              </w:rPr>
              <w:t>1577</w:t>
            </w:r>
          </w:p>
        </w:tc>
        <w:tc>
          <w:tcPr>
            <w:tcW w:w="1603" w:type="dxa"/>
          </w:tcPr>
          <w:p>
            <w:pPr>
              <w:pStyle w:val="TableParagraph"/>
              <w:spacing w:before="113"/>
              <w:ind w:right="96"/>
              <w:rPr>
                <w:sz w:val="22"/>
              </w:rPr>
            </w:pPr>
            <w:r>
              <w:rPr>
                <w:sz w:val="22"/>
              </w:rPr>
              <w:t>100.0</w:t>
            </w:r>
          </w:p>
        </w:tc>
      </w:tr>
      <w:tr>
        <w:trPr>
          <w:trHeight w:val="510" w:hRule="atLeast"/>
        </w:trPr>
        <w:tc>
          <w:tcPr>
            <w:tcW w:w="3579" w:type="dxa"/>
          </w:tcPr>
          <w:p>
            <w:pPr>
              <w:pStyle w:val="TableParagraph"/>
              <w:spacing w:before="126"/>
              <w:ind w:left="508"/>
              <w:jc w:val="left"/>
              <w:rPr>
                <w:sz w:val="20"/>
              </w:rPr>
            </w:pPr>
            <w:r>
              <w:rPr>
                <w:sz w:val="20"/>
              </w:rPr>
              <w:t>债务付息支出</w:t>
            </w:r>
          </w:p>
        </w:tc>
        <w:tc>
          <w:tcPr>
            <w:tcW w:w="1479" w:type="dxa"/>
          </w:tcPr>
          <w:p>
            <w:pPr>
              <w:pStyle w:val="TableParagraph"/>
              <w:spacing w:before="115"/>
              <w:ind w:right="94"/>
              <w:rPr>
                <w:sz w:val="22"/>
              </w:rPr>
            </w:pPr>
            <w:r>
              <w:rPr>
                <w:sz w:val="22"/>
              </w:rPr>
              <w:t>3422</w:t>
            </w:r>
          </w:p>
        </w:tc>
        <w:tc>
          <w:tcPr>
            <w:tcW w:w="1714" w:type="dxa"/>
          </w:tcPr>
          <w:p>
            <w:pPr>
              <w:pStyle w:val="TableParagraph"/>
              <w:spacing w:before="115"/>
              <w:ind w:right="96"/>
              <w:rPr>
                <w:sz w:val="22"/>
              </w:rPr>
            </w:pPr>
            <w:r>
              <w:rPr>
                <w:sz w:val="22"/>
              </w:rPr>
              <w:t>3422</w:t>
            </w:r>
          </w:p>
        </w:tc>
        <w:tc>
          <w:tcPr>
            <w:tcW w:w="1603" w:type="dxa"/>
          </w:tcPr>
          <w:p>
            <w:pPr>
              <w:pStyle w:val="TableParagraph"/>
              <w:spacing w:before="115"/>
              <w:ind w:right="96"/>
              <w:rPr>
                <w:sz w:val="22"/>
              </w:rPr>
            </w:pPr>
            <w:r>
              <w:rPr>
                <w:sz w:val="22"/>
              </w:rPr>
              <w:t>100.0</w:t>
            </w:r>
          </w:p>
        </w:tc>
      </w:tr>
      <w:tr>
        <w:trPr>
          <w:trHeight w:val="510" w:hRule="atLeast"/>
        </w:trPr>
        <w:tc>
          <w:tcPr>
            <w:tcW w:w="3579" w:type="dxa"/>
          </w:tcPr>
          <w:p>
            <w:pPr>
              <w:pStyle w:val="TableParagraph"/>
              <w:spacing w:before="123"/>
              <w:ind w:left="508"/>
              <w:jc w:val="left"/>
              <w:rPr>
                <w:sz w:val="20"/>
              </w:rPr>
            </w:pPr>
            <w:r>
              <w:rPr>
                <w:sz w:val="20"/>
              </w:rPr>
              <w:t>债务发行费用支出</w:t>
            </w:r>
          </w:p>
        </w:tc>
        <w:tc>
          <w:tcPr>
            <w:tcW w:w="1479" w:type="dxa"/>
          </w:tcPr>
          <w:p>
            <w:pPr>
              <w:pStyle w:val="TableParagraph"/>
              <w:spacing w:before="113"/>
              <w:ind w:right="94"/>
              <w:rPr>
                <w:sz w:val="22"/>
              </w:rPr>
            </w:pPr>
            <w:r>
              <w:rPr>
                <w:sz w:val="22"/>
              </w:rPr>
              <w:t>11</w:t>
            </w:r>
          </w:p>
        </w:tc>
        <w:tc>
          <w:tcPr>
            <w:tcW w:w="1714" w:type="dxa"/>
          </w:tcPr>
          <w:p>
            <w:pPr>
              <w:pStyle w:val="TableParagraph"/>
              <w:spacing w:before="113"/>
              <w:ind w:right="96"/>
              <w:rPr>
                <w:sz w:val="22"/>
              </w:rPr>
            </w:pPr>
            <w:r>
              <w:rPr>
                <w:sz w:val="22"/>
              </w:rPr>
              <w:t>11</w:t>
            </w:r>
          </w:p>
        </w:tc>
        <w:tc>
          <w:tcPr>
            <w:tcW w:w="1603" w:type="dxa"/>
          </w:tcPr>
          <w:p>
            <w:pPr>
              <w:pStyle w:val="TableParagraph"/>
              <w:spacing w:before="113"/>
              <w:ind w:right="96"/>
              <w:rPr>
                <w:sz w:val="22"/>
              </w:rPr>
            </w:pPr>
            <w:r>
              <w:rPr>
                <w:sz w:val="22"/>
              </w:rPr>
              <w:t>100.0</w:t>
            </w:r>
          </w:p>
        </w:tc>
      </w:tr>
    </w:tbl>
    <w:p>
      <w:pPr>
        <w:spacing w:after="0"/>
        <w:rPr>
          <w:sz w:val="22"/>
        </w:rPr>
        <w:sectPr>
          <w:type w:val="continuous"/>
          <w:pgSz w:w="11910" w:h="16840"/>
          <w:pgMar w:top="1580" w:bottom="2100" w:left="1040" w:right="920"/>
        </w:sectPr>
      </w:pPr>
    </w:p>
    <w:p>
      <w:pPr>
        <w:spacing w:before="11"/>
        <w:ind w:left="227" w:right="0" w:firstLine="0"/>
        <w:jc w:val="left"/>
        <w:rPr>
          <w:rFonts w:ascii="微软雅黑" w:eastAsia="微软雅黑" w:hint="eastAsia"/>
          <w:sz w:val="24"/>
        </w:rPr>
      </w:pPr>
      <w:r>
        <w:rPr>
          <w:rFonts w:ascii="微软雅黑" w:eastAsia="微软雅黑" w:hint="eastAsia"/>
          <w:sz w:val="24"/>
        </w:rPr>
        <w:t>附表 4</w:t>
      </w:r>
    </w:p>
    <w:p>
      <w:pPr>
        <w:pStyle w:val="BodyText"/>
        <w:spacing w:before="8"/>
        <w:rPr>
          <w:rFonts w:ascii="微软雅黑"/>
          <w:sz w:val="28"/>
        </w:rPr>
      </w:pPr>
      <w:r>
        <w:rPr/>
        <w:br w:type="column"/>
      </w:r>
      <w:r>
        <w:rPr>
          <w:rFonts w:ascii="微软雅黑"/>
          <w:sz w:val="28"/>
        </w:rPr>
      </w:r>
    </w:p>
    <w:p>
      <w:pPr>
        <w:pStyle w:val="Heading3"/>
        <w:spacing w:before="0"/>
        <w:ind w:left="227"/>
      </w:pPr>
      <w:r>
        <w:rPr/>
        <w:t>2022 年高阳县政府性基金预算平衡情况表</w:t>
      </w:r>
    </w:p>
    <w:p>
      <w:pPr>
        <w:spacing w:before="92"/>
        <w:ind w:left="0" w:right="789" w:firstLine="0"/>
        <w:jc w:val="right"/>
        <w:rPr>
          <w:rFonts w:ascii="宋体" w:eastAsia="宋体" w:hint="eastAsia"/>
          <w:sz w:val="18"/>
        </w:rPr>
      </w:pPr>
      <w:r>
        <w:rPr>
          <w:rFonts w:ascii="宋体" w:eastAsia="宋体" w:hint="eastAsia"/>
          <w:sz w:val="18"/>
        </w:rPr>
        <w:t>单位：万元</w:t>
      </w:r>
    </w:p>
    <w:p>
      <w:pPr>
        <w:spacing w:after="0"/>
        <w:jc w:val="right"/>
        <w:rPr>
          <w:rFonts w:ascii="宋体" w:eastAsia="宋体" w:hint="eastAsia"/>
          <w:sz w:val="18"/>
        </w:rPr>
        <w:sectPr>
          <w:pgSz w:w="11910" w:h="16840"/>
          <w:pgMar w:header="0" w:footer="1235" w:top="1500" w:bottom="1420" w:left="1040" w:right="920"/>
          <w:cols w:num="2" w:equalWidth="0">
            <w:col w:w="949" w:space="388"/>
            <w:col w:w="8613"/>
          </w:cols>
        </w:sectPr>
      </w:pPr>
    </w:p>
    <w:p>
      <w:pPr>
        <w:pStyle w:val="BodyText"/>
        <w:spacing w:before="5"/>
        <w:rPr>
          <w:rFonts w:ascii="宋体"/>
          <w:sz w:val="3"/>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21"/>
        <w:gridCol w:w="1392"/>
        <w:gridCol w:w="1353"/>
        <w:gridCol w:w="1985"/>
        <w:gridCol w:w="1277"/>
        <w:gridCol w:w="1557"/>
      </w:tblGrid>
      <w:tr>
        <w:trPr>
          <w:trHeight w:val="551" w:hRule="atLeast"/>
        </w:trPr>
        <w:tc>
          <w:tcPr>
            <w:tcW w:w="4766" w:type="dxa"/>
            <w:gridSpan w:val="3"/>
          </w:tcPr>
          <w:p>
            <w:pPr>
              <w:pStyle w:val="TableParagraph"/>
              <w:tabs>
                <w:tab w:pos="1067" w:val="left" w:leader="none"/>
              </w:tabs>
              <w:spacing w:before="142"/>
              <w:ind w:left="11"/>
              <w:jc w:val="center"/>
              <w:rPr>
                <w:b/>
                <w:sz w:val="21"/>
              </w:rPr>
            </w:pPr>
            <w:r>
              <w:rPr>
                <w:b/>
                <w:sz w:val="21"/>
              </w:rPr>
              <w:t>收</w:t>
              <w:tab/>
              <w:t>入</w:t>
            </w:r>
          </w:p>
        </w:tc>
        <w:tc>
          <w:tcPr>
            <w:tcW w:w="4819" w:type="dxa"/>
            <w:gridSpan w:val="3"/>
          </w:tcPr>
          <w:p>
            <w:pPr>
              <w:pStyle w:val="TableParagraph"/>
              <w:tabs>
                <w:tab w:pos="1070" w:val="left" w:leader="none"/>
              </w:tabs>
              <w:spacing w:before="142"/>
              <w:ind w:left="14"/>
              <w:jc w:val="center"/>
              <w:rPr>
                <w:b/>
                <w:sz w:val="21"/>
              </w:rPr>
            </w:pPr>
            <w:r>
              <w:rPr>
                <w:b/>
                <w:sz w:val="21"/>
              </w:rPr>
              <w:t>支</w:t>
              <w:tab/>
              <w:t>出</w:t>
            </w:r>
          </w:p>
        </w:tc>
      </w:tr>
      <w:tr>
        <w:trPr>
          <w:trHeight w:val="957" w:hRule="atLeast"/>
        </w:trPr>
        <w:tc>
          <w:tcPr>
            <w:tcW w:w="2021" w:type="dxa"/>
          </w:tcPr>
          <w:p>
            <w:pPr>
              <w:pStyle w:val="TableParagraph"/>
              <w:spacing w:before="3"/>
              <w:jc w:val="left"/>
              <w:rPr>
                <w:sz w:val="27"/>
              </w:rPr>
            </w:pPr>
          </w:p>
          <w:p>
            <w:pPr>
              <w:pStyle w:val="TableParagraph"/>
              <w:tabs>
                <w:tab w:pos="410" w:val="left" w:leader="none"/>
              </w:tabs>
              <w:ind w:left="7"/>
              <w:jc w:val="center"/>
              <w:rPr>
                <w:b/>
                <w:sz w:val="20"/>
              </w:rPr>
            </w:pPr>
            <w:r>
              <w:rPr>
                <w:b/>
                <w:sz w:val="20"/>
              </w:rPr>
              <w:t>项</w:t>
              <w:tab/>
              <w:t>目</w:t>
            </w:r>
          </w:p>
        </w:tc>
        <w:tc>
          <w:tcPr>
            <w:tcW w:w="1392" w:type="dxa"/>
          </w:tcPr>
          <w:p>
            <w:pPr>
              <w:pStyle w:val="TableParagraph"/>
              <w:spacing w:before="128"/>
              <w:ind w:left="173" w:right="160"/>
              <w:jc w:val="center"/>
              <w:rPr>
                <w:b/>
                <w:sz w:val="20"/>
              </w:rPr>
            </w:pPr>
            <w:r>
              <w:rPr>
                <w:b/>
                <w:sz w:val="20"/>
              </w:rPr>
              <w:t>2022 年</w:t>
            </w:r>
          </w:p>
          <w:p>
            <w:pPr>
              <w:pStyle w:val="TableParagraph"/>
              <w:spacing w:before="8"/>
              <w:jc w:val="left"/>
              <w:rPr>
                <w:sz w:val="17"/>
              </w:rPr>
            </w:pPr>
          </w:p>
          <w:p>
            <w:pPr>
              <w:pStyle w:val="TableParagraph"/>
              <w:spacing w:before="1"/>
              <w:ind w:left="173" w:right="164"/>
              <w:jc w:val="center"/>
              <w:rPr>
                <w:b/>
                <w:sz w:val="20"/>
              </w:rPr>
            </w:pPr>
            <w:r>
              <w:rPr>
                <w:b/>
                <w:sz w:val="20"/>
              </w:rPr>
              <w:t>调整预算数</w:t>
            </w:r>
          </w:p>
        </w:tc>
        <w:tc>
          <w:tcPr>
            <w:tcW w:w="1353" w:type="dxa"/>
          </w:tcPr>
          <w:p>
            <w:pPr>
              <w:pStyle w:val="TableParagraph"/>
              <w:spacing w:before="128"/>
              <w:ind w:left="348"/>
              <w:jc w:val="left"/>
              <w:rPr>
                <w:b/>
                <w:sz w:val="20"/>
              </w:rPr>
            </w:pPr>
            <w:r>
              <w:rPr>
                <w:b/>
                <w:sz w:val="20"/>
              </w:rPr>
              <w:t>2022</w:t>
            </w:r>
            <w:r>
              <w:rPr>
                <w:b/>
                <w:spacing w:val="-26"/>
                <w:sz w:val="20"/>
              </w:rPr>
              <w:t> 年</w:t>
            </w:r>
          </w:p>
          <w:p>
            <w:pPr>
              <w:pStyle w:val="TableParagraph"/>
              <w:spacing w:before="8"/>
              <w:jc w:val="left"/>
              <w:rPr>
                <w:sz w:val="17"/>
              </w:rPr>
            </w:pPr>
          </w:p>
          <w:p>
            <w:pPr>
              <w:pStyle w:val="TableParagraph"/>
              <w:spacing w:before="1"/>
              <w:ind w:left="375"/>
              <w:jc w:val="left"/>
              <w:rPr>
                <w:b/>
                <w:sz w:val="20"/>
              </w:rPr>
            </w:pPr>
            <w:r>
              <w:rPr>
                <w:b/>
                <w:sz w:val="20"/>
              </w:rPr>
              <w:t>执行数</w:t>
            </w:r>
          </w:p>
        </w:tc>
        <w:tc>
          <w:tcPr>
            <w:tcW w:w="1985" w:type="dxa"/>
          </w:tcPr>
          <w:p>
            <w:pPr>
              <w:pStyle w:val="TableParagraph"/>
              <w:spacing w:before="3"/>
              <w:jc w:val="left"/>
              <w:rPr>
                <w:sz w:val="27"/>
              </w:rPr>
            </w:pPr>
          </w:p>
          <w:p>
            <w:pPr>
              <w:pStyle w:val="TableParagraph"/>
              <w:tabs>
                <w:tab w:pos="416" w:val="left" w:leader="none"/>
              </w:tabs>
              <w:ind w:left="13"/>
              <w:jc w:val="center"/>
              <w:rPr>
                <w:b/>
                <w:sz w:val="20"/>
              </w:rPr>
            </w:pPr>
            <w:r>
              <w:rPr>
                <w:b/>
                <w:sz w:val="20"/>
              </w:rPr>
              <w:t>项</w:t>
              <w:tab/>
              <w:t>目</w:t>
            </w:r>
          </w:p>
        </w:tc>
        <w:tc>
          <w:tcPr>
            <w:tcW w:w="1277" w:type="dxa"/>
          </w:tcPr>
          <w:p>
            <w:pPr>
              <w:pStyle w:val="TableParagraph"/>
              <w:spacing w:before="128"/>
              <w:ind w:left="116" w:right="106"/>
              <w:jc w:val="center"/>
              <w:rPr>
                <w:b/>
                <w:sz w:val="20"/>
              </w:rPr>
            </w:pPr>
            <w:r>
              <w:rPr>
                <w:b/>
                <w:sz w:val="20"/>
              </w:rPr>
              <w:t>2022 年</w:t>
            </w:r>
          </w:p>
          <w:p>
            <w:pPr>
              <w:pStyle w:val="TableParagraph"/>
              <w:spacing w:before="8"/>
              <w:jc w:val="left"/>
              <w:rPr>
                <w:sz w:val="17"/>
              </w:rPr>
            </w:pPr>
          </w:p>
          <w:p>
            <w:pPr>
              <w:pStyle w:val="TableParagraph"/>
              <w:spacing w:before="1"/>
              <w:ind w:left="116" w:right="105"/>
              <w:jc w:val="center"/>
              <w:rPr>
                <w:b/>
                <w:sz w:val="20"/>
              </w:rPr>
            </w:pPr>
            <w:r>
              <w:rPr>
                <w:b/>
                <w:sz w:val="20"/>
              </w:rPr>
              <w:t>调整预算数</w:t>
            </w:r>
          </w:p>
        </w:tc>
        <w:tc>
          <w:tcPr>
            <w:tcW w:w="1557" w:type="dxa"/>
          </w:tcPr>
          <w:p>
            <w:pPr>
              <w:pStyle w:val="TableParagraph"/>
              <w:spacing w:before="128"/>
              <w:ind w:left="450"/>
              <w:jc w:val="left"/>
              <w:rPr>
                <w:b/>
                <w:sz w:val="20"/>
              </w:rPr>
            </w:pPr>
            <w:r>
              <w:rPr>
                <w:b/>
                <w:sz w:val="20"/>
              </w:rPr>
              <w:t>2022</w:t>
            </w:r>
            <w:r>
              <w:rPr>
                <w:b/>
                <w:spacing w:val="-26"/>
                <w:sz w:val="20"/>
              </w:rPr>
              <w:t> 年</w:t>
            </w:r>
          </w:p>
          <w:p>
            <w:pPr>
              <w:pStyle w:val="TableParagraph"/>
              <w:spacing w:before="8"/>
              <w:jc w:val="left"/>
              <w:rPr>
                <w:sz w:val="17"/>
              </w:rPr>
            </w:pPr>
          </w:p>
          <w:p>
            <w:pPr>
              <w:pStyle w:val="TableParagraph"/>
              <w:spacing w:before="1"/>
              <w:ind w:left="477"/>
              <w:jc w:val="left"/>
              <w:rPr>
                <w:b/>
                <w:sz w:val="20"/>
              </w:rPr>
            </w:pPr>
            <w:r>
              <w:rPr>
                <w:b/>
                <w:sz w:val="20"/>
              </w:rPr>
              <w:t>执行数</w:t>
            </w:r>
          </w:p>
        </w:tc>
      </w:tr>
      <w:tr>
        <w:trPr>
          <w:trHeight w:val="578" w:hRule="atLeast"/>
        </w:trPr>
        <w:tc>
          <w:tcPr>
            <w:tcW w:w="2021" w:type="dxa"/>
          </w:tcPr>
          <w:p>
            <w:pPr>
              <w:pStyle w:val="TableParagraph"/>
              <w:spacing w:before="149"/>
              <w:ind w:left="108"/>
              <w:jc w:val="left"/>
              <w:rPr>
                <w:sz w:val="22"/>
              </w:rPr>
            </w:pPr>
            <w:r>
              <w:rPr>
                <w:sz w:val="22"/>
              </w:rPr>
              <w:t>一、本年收入</w:t>
            </w:r>
          </w:p>
        </w:tc>
        <w:tc>
          <w:tcPr>
            <w:tcW w:w="1392" w:type="dxa"/>
          </w:tcPr>
          <w:p>
            <w:pPr>
              <w:pStyle w:val="TableParagraph"/>
              <w:spacing w:before="149"/>
              <w:ind w:right="90"/>
              <w:rPr>
                <w:sz w:val="22"/>
              </w:rPr>
            </w:pPr>
            <w:r>
              <w:rPr>
                <w:sz w:val="22"/>
              </w:rPr>
              <w:t>95626</w:t>
            </w:r>
          </w:p>
        </w:tc>
        <w:tc>
          <w:tcPr>
            <w:tcW w:w="1353" w:type="dxa"/>
          </w:tcPr>
          <w:p>
            <w:pPr>
              <w:pStyle w:val="TableParagraph"/>
              <w:spacing w:before="149"/>
              <w:ind w:right="92"/>
              <w:rPr>
                <w:sz w:val="22"/>
              </w:rPr>
            </w:pPr>
            <w:r>
              <w:rPr>
                <w:sz w:val="22"/>
              </w:rPr>
              <w:t>95628</w:t>
            </w:r>
          </w:p>
        </w:tc>
        <w:tc>
          <w:tcPr>
            <w:tcW w:w="1985" w:type="dxa"/>
          </w:tcPr>
          <w:p>
            <w:pPr>
              <w:pStyle w:val="TableParagraph"/>
              <w:spacing w:before="149"/>
              <w:ind w:left="109"/>
              <w:jc w:val="left"/>
              <w:rPr>
                <w:sz w:val="22"/>
              </w:rPr>
            </w:pPr>
            <w:r>
              <w:rPr>
                <w:sz w:val="22"/>
              </w:rPr>
              <w:t>一、本年支出</w:t>
            </w:r>
          </w:p>
        </w:tc>
        <w:tc>
          <w:tcPr>
            <w:tcW w:w="1277" w:type="dxa"/>
          </w:tcPr>
          <w:p>
            <w:pPr>
              <w:pStyle w:val="TableParagraph"/>
              <w:spacing w:before="149"/>
              <w:ind w:right="92"/>
              <w:rPr>
                <w:sz w:val="22"/>
              </w:rPr>
            </w:pPr>
            <w:r>
              <w:rPr>
                <w:sz w:val="22"/>
              </w:rPr>
              <w:t>218236</w:t>
            </w:r>
          </w:p>
        </w:tc>
        <w:tc>
          <w:tcPr>
            <w:tcW w:w="1557" w:type="dxa"/>
          </w:tcPr>
          <w:p>
            <w:pPr>
              <w:pStyle w:val="TableParagraph"/>
              <w:spacing w:before="149"/>
              <w:ind w:right="91"/>
              <w:rPr>
                <w:sz w:val="22"/>
              </w:rPr>
            </w:pPr>
            <w:r>
              <w:rPr>
                <w:sz w:val="22"/>
              </w:rPr>
              <w:t>157729</w:t>
            </w:r>
          </w:p>
        </w:tc>
      </w:tr>
      <w:tr>
        <w:trPr>
          <w:trHeight w:val="575" w:hRule="atLeast"/>
        </w:trPr>
        <w:tc>
          <w:tcPr>
            <w:tcW w:w="2021" w:type="dxa"/>
          </w:tcPr>
          <w:p>
            <w:pPr>
              <w:pStyle w:val="TableParagraph"/>
              <w:spacing w:before="147"/>
              <w:ind w:left="108"/>
              <w:jc w:val="left"/>
              <w:rPr>
                <w:sz w:val="22"/>
              </w:rPr>
            </w:pPr>
            <w:r>
              <w:rPr>
                <w:sz w:val="22"/>
              </w:rPr>
              <w:t>二、上级补助收入</w:t>
            </w:r>
          </w:p>
        </w:tc>
        <w:tc>
          <w:tcPr>
            <w:tcW w:w="1392" w:type="dxa"/>
          </w:tcPr>
          <w:p>
            <w:pPr>
              <w:pStyle w:val="TableParagraph"/>
              <w:spacing w:before="147"/>
              <w:ind w:right="94"/>
              <w:rPr>
                <w:sz w:val="22"/>
              </w:rPr>
            </w:pPr>
            <w:r>
              <w:rPr>
                <w:sz w:val="22"/>
              </w:rPr>
              <w:t>132</w:t>
            </w:r>
          </w:p>
        </w:tc>
        <w:tc>
          <w:tcPr>
            <w:tcW w:w="1353" w:type="dxa"/>
          </w:tcPr>
          <w:p>
            <w:pPr>
              <w:pStyle w:val="TableParagraph"/>
              <w:spacing w:before="147"/>
              <w:ind w:right="94"/>
              <w:rPr>
                <w:sz w:val="22"/>
              </w:rPr>
            </w:pPr>
            <w:r>
              <w:rPr>
                <w:sz w:val="22"/>
              </w:rPr>
              <w:t>132</w:t>
            </w:r>
          </w:p>
        </w:tc>
        <w:tc>
          <w:tcPr>
            <w:tcW w:w="1985" w:type="dxa"/>
          </w:tcPr>
          <w:p>
            <w:pPr>
              <w:pStyle w:val="TableParagraph"/>
              <w:spacing w:before="147"/>
              <w:ind w:left="109"/>
              <w:jc w:val="left"/>
              <w:rPr>
                <w:sz w:val="22"/>
              </w:rPr>
            </w:pPr>
            <w:r>
              <w:rPr>
                <w:sz w:val="22"/>
              </w:rPr>
              <w:t>二、调出资金</w:t>
            </w:r>
          </w:p>
        </w:tc>
        <w:tc>
          <w:tcPr>
            <w:tcW w:w="1277" w:type="dxa"/>
          </w:tcPr>
          <w:p>
            <w:pPr>
              <w:pStyle w:val="TableParagraph"/>
              <w:spacing w:before="147"/>
              <w:ind w:right="91"/>
              <w:rPr>
                <w:sz w:val="22"/>
              </w:rPr>
            </w:pPr>
            <w:r>
              <w:rPr>
                <w:sz w:val="22"/>
              </w:rPr>
              <w:t>44000</w:t>
            </w:r>
          </w:p>
        </w:tc>
        <w:tc>
          <w:tcPr>
            <w:tcW w:w="1557" w:type="dxa"/>
          </w:tcPr>
          <w:p>
            <w:pPr>
              <w:pStyle w:val="TableParagraph"/>
              <w:spacing w:before="147"/>
              <w:ind w:right="91"/>
              <w:rPr>
                <w:sz w:val="22"/>
              </w:rPr>
            </w:pPr>
            <w:r>
              <w:rPr>
                <w:sz w:val="22"/>
              </w:rPr>
              <w:t>60,884</w:t>
            </w:r>
          </w:p>
        </w:tc>
      </w:tr>
      <w:tr>
        <w:trPr>
          <w:trHeight w:val="575" w:hRule="atLeast"/>
        </w:trPr>
        <w:tc>
          <w:tcPr>
            <w:tcW w:w="2021" w:type="dxa"/>
          </w:tcPr>
          <w:p>
            <w:pPr>
              <w:pStyle w:val="TableParagraph"/>
              <w:spacing w:before="147"/>
              <w:ind w:left="108"/>
              <w:jc w:val="left"/>
              <w:rPr>
                <w:sz w:val="22"/>
              </w:rPr>
            </w:pPr>
            <w:r>
              <w:rPr>
                <w:sz w:val="22"/>
              </w:rPr>
              <w:t>三、调入资金</w:t>
            </w:r>
          </w:p>
        </w:tc>
        <w:tc>
          <w:tcPr>
            <w:tcW w:w="1392" w:type="dxa"/>
          </w:tcPr>
          <w:p>
            <w:pPr>
              <w:pStyle w:val="TableParagraph"/>
              <w:spacing w:before="147"/>
              <w:ind w:right="94"/>
              <w:rPr>
                <w:sz w:val="22"/>
              </w:rPr>
            </w:pPr>
            <w:r>
              <w:rPr>
                <w:w w:val="100"/>
                <w:sz w:val="22"/>
              </w:rPr>
              <w:t>0</w:t>
            </w:r>
          </w:p>
        </w:tc>
        <w:tc>
          <w:tcPr>
            <w:tcW w:w="1353" w:type="dxa"/>
          </w:tcPr>
          <w:p>
            <w:pPr>
              <w:pStyle w:val="TableParagraph"/>
              <w:spacing w:before="147"/>
              <w:ind w:right="92"/>
              <w:rPr>
                <w:sz w:val="22"/>
              </w:rPr>
            </w:pPr>
            <w:r>
              <w:rPr>
                <w:sz w:val="22"/>
              </w:rPr>
              <w:t>4,902</w:t>
            </w:r>
          </w:p>
        </w:tc>
        <w:tc>
          <w:tcPr>
            <w:tcW w:w="1985" w:type="dxa"/>
          </w:tcPr>
          <w:p>
            <w:pPr>
              <w:pStyle w:val="TableParagraph"/>
              <w:spacing w:before="147"/>
              <w:ind w:left="109"/>
              <w:jc w:val="left"/>
              <w:rPr>
                <w:sz w:val="22"/>
              </w:rPr>
            </w:pPr>
            <w:r>
              <w:rPr>
                <w:sz w:val="22"/>
              </w:rPr>
              <w:t>三、结转下年支出</w:t>
            </w:r>
          </w:p>
        </w:tc>
        <w:tc>
          <w:tcPr>
            <w:tcW w:w="1277" w:type="dxa"/>
          </w:tcPr>
          <w:p>
            <w:pPr>
              <w:pStyle w:val="TableParagraph"/>
              <w:jc w:val="left"/>
              <w:rPr>
                <w:rFonts w:ascii="Times New Roman"/>
                <w:sz w:val="22"/>
              </w:rPr>
            </w:pPr>
          </w:p>
        </w:tc>
        <w:tc>
          <w:tcPr>
            <w:tcW w:w="1557" w:type="dxa"/>
          </w:tcPr>
          <w:p>
            <w:pPr>
              <w:pStyle w:val="TableParagraph"/>
              <w:spacing w:before="147"/>
              <w:ind w:right="91"/>
              <w:rPr>
                <w:sz w:val="22"/>
              </w:rPr>
            </w:pPr>
            <w:r>
              <w:rPr>
                <w:sz w:val="22"/>
              </w:rPr>
              <w:t>49,877</w:t>
            </w:r>
          </w:p>
        </w:tc>
      </w:tr>
      <w:tr>
        <w:trPr>
          <w:trHeight w:val="623" w:hRule="atLeast"/>
        </w:trPr>
        <w:tc>
          <w:tcPr>
            <w:tcW w:w="2021" w:type="dxa"/>
          </w:tcPr>
          <w:p>
            <w:pPr>
              <w:pStyle w:val="TableParagraph"/>
              <w:spacing w:before="171"/>
              <w:ind w:left="108"/>
              <w:jc w:val="left"/>
              <w:rPr>
                <w:sz w:val="22"/>
              </w:rPr>
            </w:pPr>
            <w:r>
              <w:rPr>
                <w:sz w:val="22"/>
              </w:rPr>
              <w:t>四、上年结转收入</w:t>
            </w:r>
          </w:p>
        </w:tc>
        <w:tc>
          <w:tcPr>
            <w:tcW w:w="1392" w:type="dxa"/>
          </w:tcPr>
          <w:p>
            <w:pPr>
              <w:pStyle w:val="TableParagraph"/>
              <w:spacing w:before="171"/>
              <w:ind w:right="90"/>
              <w:rPr>
                <w:sz w:val="22"/>
              </w:rPr>
            </w:pPr>
            <w:r>
              <w:rPr>
                <w:sz w:val="22"/>
              </w:rPr>
              <w:t>4928</w:t>
            </w:r>
          </w:p>
        </w:tc>
        <w:tc>
          <w:tcPr>
            <w:tcW w:w="1353" w:type="dxa"/>
          </w:tcPr>
          <w:p>
            <w:pPr>
              <w:pStyle w:val="TableParagraph"/>
              <w:spacing w:before="171"/>
              <w:ind w:right="92"/>
              <w:rPr>
                <w:sz w:val="22"/>
              </w:rPr>
            </w:pPr>
            <w:r>
              <w:rPr>
                <w:sz w:val="22"/>
              </w:rPr>
              <w:t>4928</w:t>
            </w:r>
          </w:p>
        </w:tc>
        <w:tc>
          <w:tcPr>
            <w:tcW w:w="1985" w:type="dxa"/>
          </w:tcPr>
          <w:p>
            <w:pPr>
              <w:pStyle w:val="TableParagraph"/>
              <w:spacing w:before="15"/>
              <w:ind w:left="109"/>
              <w:jc w:val="left"/>
              <w:rPr>
                <w:sz w:val="22"/>
              </w:rPr>
            </w:pPr>
            <w:r>
              <w:rPr>
                <w:sz w:val="22"/>
              </w:rPr>
              <w:t>四、地方政府债券</w:t>
            </w:r>
          </w:p>
          <w:p>
            <w:pPr>
              <w:pStyle w:val="TableParagraph"/>
              <w:spacing w:line="277" w:lineRule="exact" w:before="30"/>
              <w:ind w:left="109"/>
              <w:jc w:val="left"/>
              <w:rPr>
                <w:sz w:val="22"/>
              </w:rPr>
            </w:pPr>
            <w:r>
              <w:rPr>
                <w:sz w:val="22"/>
              </w:rPr>
              <w:t>还本支出</w:t>
            </w:r>
          </w:p>
        </w:tc>
        <w:tc>
          <w:tcPr>
            <w:tcW w:w="1277" w:type="dxa"/>
          </w:tcPr>
          <w:p>
            <w:pPr>
              <w:pStyle w:val="TableParagraph"/>
              <w:spacing w:before="171"/>
              <w:ind w:right="91"/>
              <w:rPr>
                <w:sz w:val="22"/>
              </w:rPr>
            </w:pPr>
            <w:r>
              <w:rPr>
                <w:sz w:val="22"/>
              </w:rPr>
              <w:t>8950</w:t>
            </w:r>
          </w:p>
        </w:tc>
        <w:tc>
          <w:tcPr>
            <w:tcW w:w="1557" w:type="dxa"/>
          </w:tcPr>
          <w:p>
            <w:pPr>
              <w:pStyle w:val="TableParagraph"/>
              <w:spacing w:before="171"/>
              <w:ind w:right="91"/>
              <w:rPr>
                <w:sz w:val="22"/>
              </w:rPr>
            </w:pPr>
            <w:r>
              <w:rPr>
                <w:sz w:val="22"/>
              </w:rPr>
              <w:t>7,600</w:t>
            </w:r>
          </w:p>
        </w:tc>
      </w:tr>
      <w:tr>
        <w:trPr>
          <w:trHeight w:val="623" w:hRule="atLeast"/>
        </w:trPr>
        <w:tc>
          <w:tcPr>
            <w:tcW w:w="2021" w:type="dxa"/>
          </w:tcPr>
          <w:p>
            <w:pPr>
              <w:pStyle w:val="TableParagraph"/>
              <w:spacing w:before="15"/>
              <w:ind w:left="108"/>
              <w:jc w:val="left"/>
              <w:rPr>
                <w:sz w:val="22"/>
              </w:rPr>
            </w:pPr>
            <w:r>
              <w:rPr>
                <w:sz w:val="22"/>
              </w:rPr>
              <w:t>五、新增地方政府</w:t>
            </w:r>
          </w:p>
          <w:p>
            <w:pPr>
              <w:pStyle w:val="TableParagraph"/>
              <w:spacing w:line="277" w:lineRule="exact" w:before="30"/>
              <w:ind w:left="108"/>
              <w:jc w:val="left"/>
              <w:rPr>
                <w:sz w:val="22"/>
              </w:rPr>
            </w:pPr>
            <w:r>
              <w:rPr>
                <w:sz w:val="22"/>
              </w:rPr>
              <w:t>债券收入</w:t>
            </w:r>
          </w:p>
        </w:tc>
        <w:tc>
          <w:tcPr>
            <w:tcW w:w="1392" w:type="dxa"/>
          </w:tcPr>
          <w:p>
            <w:pPr>
              <w:pStyle w:val="TableParagraph"/>
              <w:spacing w:before="171"/>
              <w:ind w:right="90"/>
              <w:rPr>
                <w:sz w:val="22"/>
              </w:rPr>
            </w:pPr>
            <w:r>
              <w:rPr>
                <w:sz w:val="22"/>
              </w:rPr>
              <w:t>170500</w:t>
            </w:r>
          </w:p>
        </w:tc>
        <w:tc>
          <w:tcPr>
            <w:tcW w:w="1353" w:type="dxa"/>
          </w:tcPr>
          <w:p>
            <w:pPr>
              <w:pStyle w:val="TableParagraph"/>
              <w:spacing w:before="171"/>
              <w:ind w:right="92"/>
              <w:rPr>
                <w:sz w:val="22"/>
              </w:rPr>
            </w:pPr>
            <w:r>
              <w:rPr>
                <w:sz w:val="22"/>
              </w:rPr>
              <w:t>170500</w:t>
            </w:r>
          </w:p>
        </w:tc>
        <w:tc>
          <w:tcPr>
            <w:tcW w:w="1985" w:type="dxa"/>
          </w:tcPr>
          <w:p>
            <w:pPr>
              <w:pStyle w:val="TableParagraph"/>
              <w:jc w:val="left"/>
              <w:rPr>
                <w:rFonts w:ascii="Times New Roman"/>
                <w:sz w:val="22"/>
              </w:rPr>
            </w:pPr>
          </w:p>
        </w:tc>
        <w:tc>
          <w:tcPr>
            <w:tcW w:w="1277" w:type="dxa"/>
          </w:tcPr>
          <w:p>
            <w:pPr>
              <w:pStyle w:val="TableParagraph"/>
              <w:jc w:val="left"/>
              <w:rPr>
                <w:rFonts w:ascii="Times New Roman"/>
                <w:sz w:val="22"/>
              </w:rPr>
            </w:pPr>
          </w:p>
        </w:tc>
        <w:tc>
          <w:tcPr>
            <w:tcW w:w="1557" w:type="dxa"/>
          </w:tcPr>
          <w:p>
            <w:pPr>
              <w:pStyle w:val="TableParagraph"/>
              <w:jc w:val="left"/>
              <w:rPr>
                <w:rFonts w:ascii="Times New Roman"/>
                <w:sz w:val="22"/>
              </w:rPr>
            </w:pPr>
          </w:p>
        </w:tc>
      </w:tr>
      <w:tr>
        <w:trPr>
          <w:trHeight w:val="578" w:hRule="atLeast"/>
        </w:trPr>
        <w:tc>
          <w:tcPr>
            <w:tcW w:w="2021" w:type="dxa"/>
          </w:tcPr>
          <w:p>
            <w:pPr>
              <w:pStyle w:val="TableParagraph"/>
              <w:tabs>
                <w:tab w:pos="446" w:val="left" w:leader="none"/>
              </w:tabs>
              <w:spacing w:before="147"/>
              <w:ind w:left="5"/>
              <w:jc w:val="center"/>
              <w:rPr>
                <w:b/>
                <w:sz w:val="22"/>
              </w:rPr>
            </w:pPr>
            <w:r>
              <w:rPr>
                <w:b/>
                <w:sz w:val="22"/>
              </w:rPr>
              <w:t>合</w:t>
              <w:tab/>
              <w:t>计</w:t>
            </w:r>
          </w:p>
        </w:tc>
        <w:tc>
          <w:tcPr>
            <w:tcW w:w="1392" w:type="dxa"/>
          </w:tcPr>
          <w:p>
            <w:pPr>
              <w:pStyle w:val="TableParagraph"/>
              <w:spacing w:before="147"/>
              <w:ind w:right="94"/>
              <w:rPr>
                <w:b/>
                <w:sz w:val="22"/>
              </w:rPr>
            </w:pPr>
            <w:r>
              <w:rPr>
                <w:b/>
                <w:w w:val="95"/>
                <w:sz w:val="22"/>
              </w:rPr>
              <w:t>271186</w:t>
            </w:r>
          </w:p>
        </w:tc>
        <w:tc>
          <w:tcPr>
            <w:tcW w:w="1353" w:type="dxa"/>
          </w:tcPr>
          <w:p>
            <w:pPr>
              <w:pStyle w:val="TableParagraph"/>
              <w:spacing w:before="147"/>
              <w:ind w:right="96"/>
              <w:rPr>
                <w:b/>
                <w:sz w:val="22"/>
              </w:rPr>
            </w:pPr>
            <w:r>
              <w:rPr>
                <w:b/>
                <w:w w:val="95"/>
                <w:sz w:val="22"/>
              </w:rPr>
              <w:t>276090</w:t>
            </w:r>
          </w:p>
        </w:tc>
        <w:tc>
          <w:tcPr>
            <w:tcW w:w="1985" w:type="dxa"/>
          </w:tcPr>
          <w:p>
            <w:pPr>
              <w:pStyle w:val="TableParagraph"/>
              <w:tabs>
                <w:tab w:pos="1103" w:val="left" w:leader="none"/>
              </w:tabs>
              <w:spacing w:before="147"/>
              <w:ind w:left="661"/>
              <w:jc w:val="left"/>
              <w:rPr>
                <w:b/>
                <w:sz w:val="22"/>
              </w:rPr>
            </w:pPr>
            <w:r>
              <w:rPr>
                <w:b/>
                <w:sz w:val="22"/>
              </w:rPr>
              <w:t>合</w:t>
              <w:tab/>
              <w:t>计</w:t>
            </w:r>
          </w:p>
        </w:tc>
        <w:tc>
          <w:tcPr>
            <w:tcW w:w="1277" w:type="dxa"/>
          </w:tcPr>
          <w:p>
            <w:pPr>
              <w:pStyle w:val="TableParagraph"/>
              <w:spacing w:before="147"/>
              <w:ind w:right="96"/>
              <w:rPr>
                <w:b/>
                <w:sz w:val="22"/>
              </w:rPr>
            </w:pPr>
            <w:r>
              <w:rPr>
                <w:b/>
                <w:w w:val="95"/>
                <w:sz w:val="22"/>
              </w:rPr>
              <w:t>271186</w:t>
            </w:r>
          </w:p>
        </w:tc>
        <w:tc>
          <w:tcPr>
            <w:tcW w:w="1557" w:type="dxa"/>
          </w:tcPr>
          <w:p>
            <w:pPr>
              <w:pStyle w:val="TableParagraph"/>
              <w:spacing w:before="147"/>
              <w:ind w:right="93"/>
              <w:rPr>
                <w:b/>
                <w:sz w:val="22"/>
              </w:rPr>
            </w:pPr>
            <w:r>
              <w:rPr>
                <w:b/>
                <w:w w:val="95"/>
                <w:sz w:val="22"/>
              </w:rPr>
              <w:t>276,090</w:t>
            </w:r>
          </w:p>
        </w:tc>
      </w:tr>
    </w:tbl>
    <w:p>
      <w:pPr>
        <w:spacing w:after="0"/>
        <w:rPr>
          <w:sz w:val="22"/>
        </w:rPr>
        <w:sectPr>
          <w:type w:val="continuous"/>
          <w:pgSz w:w="11910" w:h="16840"/>
          <w:pgMar w:top="1580" w:bottom="2100" w:left="1040" w:right="920"/>
        </w:sectPr>
      </w:pPr>
    </w:p>
    <w:p>
      <w:pPr>
        <w:spacing w:before="11"/>
        <w:ind w:left="868" w:right="0" w:firstLine="0"/>
        <w:jc w:val="left"/>
        <w:rPr>
          <w:rFonts w:ascii="微软雅黑" w:eastAsia="微软雅黑" w:hint="eastAsia"/>
          <w:sz w:val="24"/>
        </w:rPr>
      </w:pPr>
      <w:r>
        <w:rPr>
          <w:rFonts w:ascii="微软雅黑" w:eastAsia="微软雅黑" w:hint="eastAsia"/>
          <w:spacing w:val="-4"/>
          <w:sz w:val="24"/>
        </w:rPr>
        <w:t>附表 </w:t>
      </w:r>
      <w:r>
        <w:rPr>
          <w:rFonts w:ascii="微软雅黑" w:eastAsia="微软雅黑" w:hint="eastAsia"/>
          <w:spacing w:val="-19"/>
          <w:sz w:val="24"/>
        </w:rPr>
        <w:t>5</w:t>
      </w:r>
    </w:p>
    <w:p>
      <w:pPr>
        <w:pStyle w:val="BodyText"/>
        <w:spacing w:before="8"/>
        <w:rPr>
          <w:rFonts w:ascii="微软雅黑"/>
          <w:sz w:val="28"/>
        </w:rPr>
      </w:pPr>
      <w:r>
        <w:rPr/>
        <w:br w:type="column"/>
      </w:r>
      <w:r>
        <w:rPr>
          <w:rFonts w:ascii="微软雅黑"/>
          <w:sz w:val="28"/>
        </w:rPr>
      </w:r>
    </w:p>
    <w:p>
      <w:pPr>
        <w:pStyle w:val="Heading3"/>
        <w:spacing w:before="0"/>
        <w:ind w:left="-32"/>
      </w:pPr>
      <w:r>
        <w:rPr/>
        <w:t>2022 年高阳县政府性基金收入预算执行情况</w:t>
      </w:r>
    </w:p>
    <w:p>
      <w:pPr>
        <w:spacing w:before="92"/>
        <w:ind w:left="0" w:right="866" w:firstLine="0"/>
        <w:jc w:val="right"/>
        <w:rPr>
          <w:rFonts w:ascii="宋体" w:eastAsia="宋体" w:hint="eastAsia"/>
          <w:sz w:val="18"/>
        </w:rPr>
      </w:pPr>
      <w:r>
        <w:rPr>
          <w:rFonts w:ascii="宋体" w:eastAsia="宋体" w:hint="eastAsia"/>
          <w:sz w:val="18"/>
        </w:rPr>
        <w:t>单位：万元</w:t>
      </w:r>
    </w:p>
    <w:p>
      <w:pPr>
        <w:spacing w:after="0"/>
        <w:jc w:val="right"/>
        <w:rPr>
          <w:rFonts w:ascii="宋体" w:eastAsia="宋体" w:hint="eastAsia"/>
          <w:sz w:val="18"/>
        </w:rPr>
        <w:sectPr>
          <w:pgSz w:w="11910" w:h="16840"/>
          <w:pgMar w:header="0" w:footer="1235" w:top="1500" w:bottom="1420" w:left="1040" w:right="920"/>
          <w:cols w:num="2" w:equalWidth="0">
            <w:col w:w="1550" w:space="40"/>
            <w:col w:w="8360"/>
          </w:cols>
        </w:sectPr>
      </w:pPr>
    </w:p>
    <w:p>
      <w:pPr>
        <w:pStyle w:val="BodyText"/>
        <w:spacing w:before="5"/>
        <w:rPr>
          <w:rFonts w:ascii="宋体"/>
          <w:sz w:val="3"/>
        </w:rPr>
      </w:pPr>
    </w:p>
    <w:tbl>
      <w:tblPr>
        <w:tblW w:w="0" w:type="auto"/>
        <w:jc w:val="left"/>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7"/>
        <w:gridCol w:w="1702"/>
        <w:gridCol w:w="1700"/>
        <w:gridCol w:w="1560"/>
      </w:tblGrid>
      <w:tr>
        <w:trPr>
          <w:trHeight w:val="551" w:hRule="atLeast"/>
        </w:trPr>
        <w:tc>
          <w:tcPr>
            <w:tcW w:w="3687" w:type="dxa"/>
          </w:tcPr>
          <w:p>
            <w:pPr>
              <w:pStyle w:val="TableParagraph"/>
              <w:tabs>
                <w:tab w:pos="489" w:val="left" w:leader="none"/>
              </w:tabs>
              <w:spacing w:before="119"/>
              <w:ind w:left="7"/>
              <w:jc w:val="center"/>
              <w:rPr>
                <w:b/>
                <w:sz w:val="24"/>
              </w:rPr>
            </w:pPr>
            <w:r>
              <w:rPr>
                <w:b/>
                <w:sz w:val="24"/>
              </w:rPr>
              <w:t>项</w:t>
              <w:tab/>
              <w:t>目</w:t>
            </w:r>
          </w:p>
        </w:tc>
        <w:tc>
          <w:tcPr>
            <w:tcW w:w="1702" w:type="dxa"/>
          </w:tcPr>
          <w:p>
            <w:pPr>
              <w:pStyle w:val="TableParagraph"/>
              <w:spacing w:before="119"/>
              <w:ind w:left="246"/>
              <w:jc w:val="left"/>
              <w:rPr>
                <w:b/>
                <w:sz w:val="24"/>
              </w:rPr>
            </w:pPr>
            <w:r>
              <w:rPr>
                <w:b/>
                <w:sz w:val="24"/>
              </w:rPr>
              <w:t>调整预算数</w:t>
            </w:r>
          </w:p>
        </w:tc>
        <w:tc>
          <w:tcPr>
            <w:tcW w:w="1700" w:type="dxa"/>
          </w:tcPr>
          <w:p>
            <w:pPr>
              <w:pStyle w:val="TableParagraph"/>
              <w:spacing w:before="119"/>
              <w:ind w:left="489"/>
              <w:jc w:val="left"/>
              <w:rPr>
                <w:b/>
                <w:sz w:val="24"/>
              </w:rPr>
            </w:pPr>
            <w:r>
              <w:rPr>
                <w:b/>
                <w:sz w:val="24"/>
              </w:rPr>
              <w:t>执行数</w:t>
            </w:r>
          </w:p>
        </w:tc>
        <w:tc>
          <w:tcPr>
            <w:tcW w:w="1560" w:type="dxa"/>
          </w:tcPr>
          <w:p>
            <w:pPr>
              <w:pStyle w:val="TableParagraph"/>
              <w:spacing w:before="119"/>
              <w:ind w:right="106"/>
              <w:rPr>
                <w:b/>
                <w:sz w:val="24"/>
              </w:rPr>
            </w:pPr>
            <w:r>
              <w:rPr>
                <w:b/>
                <w:w w:val="95"/>
                <w:sz w:val="24"/>
              </w:rPr>
              <w:t>占调整预算%</w:t>
            </w:r>
          </w:p>
        </w:tc>
      </w:tr>
      <w:tr>
        <w:trPr>
          <w:trHeight w:val="515" w:hRule="atLeast"/>
        </w:trPr>
        <w:tc>
          <w:tcPr>
            <w:tcW w:w="3687" w:type="dxa"/>
          </w:tcPr>
          <w:p>
            <w:pPr>
              <w:pStyle w:val="TableParagraph"/>
              <w:spacing w:before="103"/>
              <w:ind w:left="1120"/>
              <w:jc w:val="left"/>
              <w:rPr>
                <w:b/>
                <w:sz w:val="24"/>
              </w:rPr>
            </w:pPr>
            <w:r>
              <w:rPr>
                <w:b/>
                <w:sz w:val="24"/>
              </w:rPr>
              <w:t>政府性基金收入</w:t>
            </w:r>
          </w:p>
        </w:tc>
        <w:tc>
          <w:tcPr>
            <w:tcW w:w="1702" w:type="dxa"/>
          </w:tcPr>
          <w:p>
            <w:pPr>
              <w:pStyle w:val="TableParagraph"/>
              <w:spacing w:before="128"/>
              <w:ind w:right="95"/>
              <w:rPr>
                <w:sz w:val="20"/>
              </w:rPr>
            </w:pPr>
            <w:r>
              <w:rPr>
                <w:w w:val="95"/>
                <w:sz w:val="20"/>
              </w:rPr>
              <w:t>95626</w:t>
            </w:r>
          </w:p>
        </w:tc>
        <w:tc>
          <w:tcPr>
            <w:tcW w:w="1700" w:type="dxa"/>
          </w:tcPr>
          <w:p>
            <w:pPr>
              <w:pStyle w:val="TableParagraph"/>
              <w:spacing w:before="128"/>
              <w:ind w:right="94"/>
              <w:rPr>
                <w:sz w:val="20"/>
              </w:rPr>
            </w:pPr>
            <w:r>
              <w:rPr>
                <w:w w:val="95"/>
                <w:sz w:val="20"/>
              </w:rPr>
              <w:t>95628</w:t>
            </w:r>
          </w:p>
        </w:tc>
        <w:tc>
          <w:tcPr>
            <w:tcW w:w="1560" w:type="dxa"/>
          </w:tcPr>
          <w:p>
            <w:pPr>
              <w:pStyle w:val="TableParagraph"/>
              <w:spacing w:before="118"/>
              <w:ind w:right="96"/>
              <w:rPr>
                <w:sz w:val="22"/>
              </w:rPr>
            </w:pPr>
            <w:r>
              <w:rPr>
                <w:sz w:val="22"/>
              </w:rPr>
              <w:t>100.0</w:t>
            </w:r>
          </w:p>
        </w:tc>
      </w:tr>
      <w:tr>
        <w:trPr>
          <w:trHeight w:val="431" w:hRule="atLeast"/>
        </w:trPr>
        <w:tc>
          <w:tcPr>
            <w:tcW w:w="3687" w:type="dxa"/>
          </w:tcPr>
          <w:p>
            <w:pPr>
              <w:pStyle w:val="TableParagraph"/>
              <w:spacing w:before="85"/>
              <w:ind w:left="510"/>
              <w:jc w:val="left"/>
              <w:rPr>
                <w:sz w:val="20"/>
              </w:rPr>
            </w:pPr>
            <w:r>
              <w:rPr>
                <w:sz w:val="20"/>
              </w:rPr>
              <w:t>国有土地收益基金收入</w:t>
            </w:r>
          </w:p>
        </w:tc>
        <w:tc>
          <w:tcPr>
            <w:tcW w:w="1702" w:type="dxa"/>
          </w:tcPr>
          <w:p>
            <w:pPr>
              <w:pStyle w:val="TableParagraph"/>
              <w:spacing w:before="85"/>
              <w:ind w:right="93"/>
              <w:rPr>
                <w:sz w:val="20"/>
              </w:rPr>
            </w:pPr>
            <w:r>
              <w:rPr>
                <w:sz w:val="20"/>
              </w:rPr>
              <w:t>5261</w:t>
            </w:r>
          </w:p>
        </w:tc>
        <w:tc>
          <w:tcPr>
            <w:tcW w:w="1700" w:type="dxa"/>
          </w:tcPr>
          <w:p>
            <w:pPr>
              <w:pStyle w:val="TableParagraph"/>
              <w:spacing w:before="75"/>
              <w:ind w:right="92"/>
              <w:rPr>
                <w:sz w:val="22"/>
              </w:rPr>
            </w:pPr>
            <w:r>
              <w:rPr>
                <w:sz w:val="22"/>
              </w:rPr>
              <w:t>5261</w:t>
            </w:r>
          </w:p>
        </w:tc>
        <w:tc>
          <w:tcPr>
            <w:tcW w:w="1560" w:type="dxa"/>
          </w:tcPr>
          <w:p>
            <w:pPr>
              <w:pStyle w:val="TableParagraph"/>
              <w:spacing w:before="75"/>
              <w:ind w:right="96"/>
              <w:rPr>
                <w:sz w:val="22"/>
              </w:rPr>
            </w:pPr>
            <w:r>
              <w:rPr>
                <w:sz w:val="22"/>
              </w:rPr>
              <w:t>100.0</w:t>
            </w:r>
          </w:p>
        </w:tc>
      </w:tr>
      <w:tr>
        <w:trPr>
          <w:trHeight w:val="578" w:hRule="atLeast"/>
        </w:trPr>
        <w:tc>
          <w:tcPr>
            <w:tcW w:w="3687" w:type="dxa"/>
          </w:tcPr>
          <w:p>
            <w:pPr>
              <w:pStyle w:val="TableParagraph"/>
              <w:spacing w:before="160"/>
              <w:ind w:left="510"/>
              <w:jc w:val="left"/>
              <w:rPr>
                <w:sz w:val="20"/>
              </w:rPr>
            </w:pPr>
            <w:r>
              <w:rPr>
                <w:sz w:val="20"/>
              </w:rPr>
              <w:t>农业土地开发资金收入</w:t>
            </w:r>
          </w:p>
        </w:tc>
        <w:tc>
          <w:tcPr>
            <w:tcW w:w="1702" w:type="dxa"/>
          </w:tcPr>
          <w:p>
            <w:pPr>
              <w:pStyle w:val="TableParagraph"/>
              <w:spacing w:before="160"/>
              <w:ind w:right="93"/>
              <w:rPr>
                <w:sz w:val="20"/>
              </w:rPr>
            </w:pPr>
            <w:r>
              <w:rPr>
                <w:sz w:val="20"/>
              </w:rPr>
              <w:t>100</w:t>
            </w:r>
          </w:p>
        </w:tc>
        <w:tc>
          <w:tcPr>
            <w:tcW w:w="1700" w:type="dxa"/>
          </w:tcPr>
          <w:p>
            <w:pPr>
              <w:pStyle w:val="TableParagraph"/>
              <w:spacing w:before="149"/>
              <w:ind w:right="94"/>
              <w:rPr>
                <w:sz w:val="22"/>
              </w:rPr>
            </w:pPr>
            <w:r>
              <w:rPr>
                <w:sz w:val="22"/>
              </w:rPr>
              <w:t>100</w:t>
            </w:r>
          </w:p>
        </w:tc>
        <w:tc>
          <w:tcPr>
            <w:tcW w:w="1560" w:type="dxa"/>
          </w:tcPr>
          <w:p>
            <w:pPr>
              <w:pStyle w:val="TableParagraph"/>
              <w:spacing w:before="149"/>
              <w:ind w:right="96"/>
              <w:rPr>
                <w:sz w:val="22"/>
              </w:rPr>
            </w:pPr>
            <w:r>
              <w:rPr>
                <w:sz w:val="22"/>
              </w:rPr>
              <w:t>100.0</w:t>
            </w:r>
          </w:p>
        </w:tc>
      </w:tr>
      <w:tr>
        <w:trPr>
          <w:trHeight w:val="575" w:hRule="atLeast"/>
        </w:trPr>
        <w:tc>
          <w:tcPr>
            <w:tcW w:w="3687" w:type="dxa"/>
          </w:tcPr>
          <w:p>
            <w:pPr>
              <w:pStyle w:val="TableParagraph"/>
              <w:spacing w:before="157"/>
              <w:ind w:left="510"/>
              <w:jc w:val="left"/>
              <w:rPr>
                <w:sz w:val="20"/>
              </w:rPr>
            </w:pPr>
            <w:r>
              <w:rPr>
                <w:sz w:val="20"/>
              </w:rPr>
              <w:t>国有土地使用权出让收入</w:t>
            </w:r>
          </w:p>
        </w:tc>
        <w:tc>
          <w:tcPr>
            <w:tcW w:w="1702" w:type="dxa"/>
          </w:tcPr>
          <w:p>
            <w:pPr>
              <w:pStyle w:val="TableParagraph"/>
              <w:spacing w:before="157"/>
              <w:ind w:right="95"/>
              <w:rPr>
                <w:sz w:val="20"/>
              </w:rPr>
            </w:pPr>
            <w:r>
              <w:rPr>
                <w:w w:val="95"/>
                <w:sz w:val="20"/>
              </w:rPr>
              <w:t>83594</w:t>
            </w:r>
          </w:p>
        </w:tc>
        <w:tc>
          <w:tcPr>
            <w:tcW w:w="1700" w:type="dxa"/>
          </w:tcPr>
          <w:p>
            <w:pPr>
              <w:pStyle w:val="TableParagraph"/>
              <w:spacing w:before="147"/>
              <w:ind w:right="92"/>
              <w:rPr>
                <w:sz w:val="22"/>
              </w:rPr>
            </w:pPr>
            <w:r>
              <w:rPr>
                <w:sz w:val="22"/>
              </w:rPr>
              <w:t>83594</w:t>
            </w:r>
          </w:p>
        </w:tc>
        <w:tc>
          <w:tcPr>
            <w:tcW w:w="1560" w:type="dxa"/>
          </w:tcPr>
          <w:p>
            <w:pPr>
              <w:pStyle w:val="TableParagraph"/>
              <w:spacing w:before="147"/>
              <w:ind w:right="96"/>
              <w:rPr>
                <w:sz w:val="22"/>
              </w:rPr>
            </w:pPr>
            <w:r>
              <w:rPr>
                <w:sz w:val="22"/>
              </w:rPr>
              <w:t>100.0</w:t>
            </w:r>
          </w:p>
        </w:tc>
      </w:tr>
      <w:tr>
        <w:trPr>
          <w:trHeight w:val="575" w:hRule="atLeast"/>
        </w:trPr>
        <w:tc>
          <w:tcPr>
            <w:tcW w:w="3687" w:type="dxa"/>
          </w:tcPr>
          <w:p>
            <w:pPr>
              <w:pStyle w:val="TableParagraph"/>
              <w:spacing w:before="157"/>
              <w:ind w:left="510"/>
              <w:jc w:val="left"/>
              <w:rPr>
                <w:sz w:val="20"/>
              </w:rPr>
            </w:pPr>
            <w:r>
              <w:rPr>
                <w:sz w:val="20"/>
              </w:rPr>
              <w:t>彩票公益金收入</w:t>
            </w:r>
          </w:p>
        </w:tc>
        <w:tc>
          <w:tcPr>
            <w:tcW w:w="1702" w:type="dxa"/>
          </w:tcPr>
          <w:p>
            <w:pPr>
              <w:pStyle w:val="TableParagraph"/>
              <w:spacing w:before="157"/>
              <w:ind w:right="93"/>
              <w:rPr>
                <w:sz w:val="20"/>
              </w:rPr>
            </w:pPr>
            <w:r>
              <w:rPr>
                <w:sz w:val="20"/>
              </w:rPr>
              <w:t>348</w:t>
            </w:r>
          </w:p>
        </w:tc>
        <w:tc>
          <w:tcPr>
            <w:tcW w:w="1700" w:type="dxa"/>
          </w:tcPr>
          <w:p>
            <w:pPr>
              <w:pStyle w:val="TableParagraph"/>
              <w:spacing w:before="147"/>
              <w:ind w:right="94"/>
              <w:rPr>
                <w:sz w:val="22"/>
              </w:rPr>
            </w:pPr>
            <w:r>
              <w:rPr>
                <w:sz w:val="22"/>
              </w:rPr>
              <w:t>349</w:t>
            </w:r>
          </w:p>
        </w:tc>
        <w:tc>
          <w:tcPr>
            <w:tcW w:w="1560" w:type="dxa"/>
          </w:tcPr>
          <w:p>
            <w:pPr>
              <w:pStyle w:val="TableParagraph"/>
              <w:spacing w:before="147"/>
              <w:ind w:right="96"/>
              <w:rPr>
                <w:sz w:val="22"/>
              </w:rPr>
            </w:pPr>
            <w:r>
              <w:rPr>
                <w:sz w:val="22"/>
              </w:rPr>
              <w:t>100.3</w:t>
            </w:r>
          </w:p>
        </w:tc>
      </w:tr>
      <w:tr>
        <w:trPr>
          <w:trHeight w:val="575" w:hRule="atLeast"/>
        </w:trPr>
        <w:tc>
          <w:tcPr>
            <w:tcW w:w="3687" w:type="dxa"/>
          </w:tcPr>
          <w:p>
            <w:pPr>
              <w:pStyle w:val="TableParagraph"/>
              <w:spacing w:before="157"/>
              <w:ind w:left="510"/>
              <w:jc w:val="left"/>
              <w:rPr>
                <w:sz w:val="20"/>
              </w:rPr>
            </w:pPr>
            <w:r>
              <w:rPr>
                <w:sz w:val="20"/>
              </w:rPr>
              <w:t>城市基础设施配套费收入</w:t>
            </w:r>
          </w:p>
        </w:tc>
        <w:tc>
          <w:tcPr>
            <w:tcW w:w="1702" w:type="dxa"/>
          </w:tcPr>
          <w:p>
            <w:pPr>
              <w:pStyle w:val="TableParagraph"/>
              <w:spacing w:before="157"/>
              <w:ind w:right="93"/>
              <w:rPr>
                <w:sz w:val="20"/>
              </w:rPr>
            </w:pPr>
            <w:r>
              <w:rPr>
                <w:sz w:val="20"/>
              </w:rPr>
              <w:t>1893</w:t>
            </w:r>
          </w:p>
        </w:tc>
        <w:tc>
          <w:tcPr>
            <w:tcW w:w="1700" w:type="dxa"/>
          </w:tcPr>
          <w:p>
            <w:pPr>
              <w:pStyle w:val="TableParagraph"/>
              <w:spacing w:before="147"/>
              <w:ind w:right="92"/>
              <w:rPr>
                <w:sz w:val="22"/>
              </w:rPr>
            </w:pPr>
            <w:r>
              <w:rPr>
                <w:sz w:val="22"/>
              </w:rPr>
              <w:t>1893</w:t>
            </w:r>
          </w:p>
        </w:tc>
        <w:tc>
          <w:tcPr>
            <w:tcW w:w="1560" w:type="dxa"/>
          </w:tcPr>
          <w:p>
            <w:pPr>
              <w:pStyle w:val="TableParagraph"/>
              <w:spacing w:before="147"/>
              <w:ind w:right="96"/>
              <w:rPr>
                <w:sz w:val="22"/>
              </w:rPr>
            </w:pPr>
            <w:r>
              <w:rPr>
                <w:sz w:val="22"/>
              </w:rPr>
              <w:t>100.0</w:t>
            </w:r>
          </w:p>
        </w:tc>
      </w:tr>
      <w:tr>
        <w:trPr>
          <w:trHeight w:val="575" w:hRule="atLeast"/>
        </w:trPr>
        <w:tc>
          <w:tcPr>
            <w:tcW w:w="3687" w:type="dxa"/>
          </w:tcPr>
          <w:p>
            <w:pPr>
              <w:pStyle w:val="TableParagraph"/>
              <w:spacing w:before="157"/>
              <w:ind w:left="510"/>
              <w:jc w:val="left"/>
              <w:rPr>
                <w:sz w:val="20"/>
              </w:rPr>
            </w:pPr>
            <w:r>
              <w:rPr>
                <w:sz w:val="20"/>
              </w:rPr>
              <w:t>污水处理费收入</w:t>
            </w:r>
          </w:p>
        </w:tc>
        <w:tc>
          <w:tcPr>
            <w:tcW w:w="1702" w:type="dxa"/>
          </w:tcPr>
          <w:p>
            <w:pPr>
              <w:pStyle w:val="TableParagraph"/>
              <w:spacing w:before="157"/>
              <w:ind w:right="93"/>
              <w:rPr>
                <w:sz w:val="20"/>
              </w:rPr>
            </w:pPr>
            <w:r>
              <w:rPr>
                <w:sz w:val="20"/>
              </w:rPr>
              <w:t>4124</w:t>
            </w:r>
          </w:p>
        </w:tc>
        <w:tc>
          <w:tcPr>
            <w:tcW w:w="1700" w:type="dxa"/>
          </w:tcPr>
          <w:p>
            <w:pPr>
              <w:pStyle w:val="TableParagraph"/>
              <w:spacing w:before="147"/>
              <w:ind w:right="92"/>
              <w:rPr>
                <w:sz w:val="22"/>
              </w:rPr>
            </w:pPr>
            <w:r>
              <w:rPr>
                <w:sz w:val="22"/>
              </w:rPr>
              <w:t>4125</w:t>
            </w:r>
          </w:p>
        </w:tc>
        <w:tc>
          <w:tcPr>
            <w:tcW w:w="1560" w:type="dxa"/>
          </w:tcPr>
          <w:p>
            <w:pPr>
              <w:pStyle w:val="TableParagraph"/>
              <w:spacing w:before="147"/>
              <w:ind w:right="96"/>
              <w:rPr>
                <w:sz w:val="22"/>
              </w:rPr>
            </w:pPr>
            <w:r>
              <w:rPr>
                <w:sz w:val="22"/>
              </w:rPr>
              <w:t>100.0</w:t>
            </w:r>
          </w:p>
        </w:tc>
      </w:tr>
      <w:tr>
        <w:trPr>
          <w:trHeight w:val="577" w:hRule="atLeast"/>
        </w:trPr>
        <w:tc>
          <w:tcPr>
            <w:tcW w:w="3687" w:type="dxa"/>
          </w:tcPr>
          <w:p>
            <w:pPr>
              <w:pStyle w:val="TableParagraph"/>
              <w:spacing w:before="157"/>
              <w:ind w:left="309"/>
              <w:jc w:val="left"/>
              <w:rPr>
                <w:sz w:val="20"/>
              </w:rPr>
            </w:pPr>
            <w:r>
              <w:rPr>
                <w:sz w:val="20"/>
              </w:rPr>
              <w:t>专项债务对应项目专项收入</w:t>
            </w:r>
          </w:p>
        </w:tc>
        <w:tc>
          <w:tcPr>
            <w:tcW w:w="1702" w:type="dxa"/>
          </w:tcPr>
          <w:p>
            <w:pPr>
              <w:pStyle w:val="TableParagraph"/>
              <w:spacing w:before="157"/>
              <w:ind w:right="93"/>
              <w:rPr>
                <w:sz w:val="20"/>
              </w:rPr>
            </w:pPr>
            <w:r>
              <w:rPr>
                <w:sz w:val="20"/>
              </w:rPr>
              <w:t>306</w:t>
            </w:r>
          </w:p>
        </w:tc>
        <w:tc>
          <w:tcPr>
            <w:tcW w:w="1700" w:type="dxa"/>
          </w:tcPr>
          <w:p>
            <w:pPr>
              <w:pStyle w:val="TableParagraph"/>
              <w:spacing w:before="147"/>
              <w:ind w:right="94"/>
              <w:rPr>
                <w:sz w:val="22"/>
              </w:rPr>
            </w:pPr>
            <w:r>
              <w:rPr>
                <w:sz w:val="22"/>
              </w:rPr>
              <w:t>306</w:t>
            </w:r>
          </w:p>
        </w:tc>
        <w:tc>
          <w:tcPr>
            <w:tcW w:w="1560" w:type="dxa"/>
          </w:tcPr>
          <w:p>
            <w:pPr>
              <w:pStyle w:val="TableParagraph"/>
              <w:spacing w:before="147"/>
              <w:ind w:right="96"/>
              <w:rPr>
                <w:sz w:val="22"/>
              </w:rPr>
            </w:pPr>
            <w:r>
              <w:rPr>
                <w:sz w:val="22"/>
              </w:rPr>
              <w:t>100.0</w:t>
            </w:r>
          </w:p>
        </w:tc>
      </w:tr>
    </w:tbl>
    <w:p>
      <w:pPr>
        <w:spacing w:after="0"/>
        <w:rPr>
          <w:sz w:val="22"/>
        </w:rPr>
        <w:sectPr>
          <w:type w:val="continuous"/>
          <w:pgSz w:w="11910" w:h="16840"/>
          <w:pgMar w:top="1580" w:bottom="2100" w:left="1040" w:right="920"/>
        </w:sectPr>
      </w:pPr>
    </w:p>
    <w:p>
      <w:pPr>
        <w:spacing w:before="11"/>
        <w:ind w:left="839" w:right="0" w:firstLine="0"/>
        <w:jc w:val="left"/>
        <w:rPr>
          <w:rFonts w:ascii="微软雅黑" w:eastAsia="微软雅黑" w:hint="eastAsia"/>
          <w:sz w:val="24"/>
        </w:rPr>
      </w:pPr>
      <w:r>
        <w:rPr>
          <w:rFonts w:ascii="微软雅黑" w:eastAsia="微软雅黑" w:hint="eastAsia"/>
          <w:sz w:val="24"/>
        </w:rPr>
        <w:t>附表 6</w:t>
      </w:r>
    </w:p>
    <w:p>
      <w:pPr>
        <w:pStyle w:val="Heading3"/>
        <w:spacing w:before="71"/>
        <w:ind w:left="320" w:right="437"/>
        <w:jc w:val="center"/>
      </w:pPr>
      <w:r>
        <w:rPr/>
        <w:t>2022 年高阳县政府性基金支出预算执行情况</w:t>
      </w:r>
    </w:p>
    <w:p>
      <w:pPr>
        <w:spacing w:before="92" w:after="43"/>
        <w:ind w:left="0" w:right="1195" w:firstLine="0"/>
        <w:jc w:val="right"/>
        <w:rPr>
          <w:rFonts w:ascii="宋体" w:eastAsia="宋体" w:hint="eastAsia"/>
          <w:sz w:val="18"/>
        </w:rPr>
      </w:pPr>
      <w:r>
        <w:rPr>
          <w:rFonts w:ascii="宋体" w:eastAsia="宋体" w:hint="eastAsia"/>
          <w:sz w:val="18"/>
        </w:rPr>
        <w:t>单位：万元</w:t>
      </w:r>
    </w:p>
    <w:tbl>
      <w:tblPr>
        <w:tblW w:w="0" w:type="auto"/>
        <w:jc w:val="left"/>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96"/>
        <w:gridCol w:w="1774"/>
        <w:gridCol w:w="1702"/>
        <w:gridCol w:w="1593"/>
      </w:tblGrid>
      <w:tr>
        <w:trPr>
          <w:trHeight w:val="551" w:hRule="atLeast"/>
        </w:trPr>
        <w:tc>
          <w:tcPr>
            <w:tcW w:w="3296" w:type="dxa"/>
          </w:tcPr>
          <w:p>
            <w:pPr>
              <w:pStyle w:val="TableParagraph"/>
              <w:tabs>
                <w:tab w:pos="490" w:val="left" w:leader="none"/>
              </w:tabs>
              <w:spacing w:before="119"/>
              <w:ind w:left="8"/>
              <w:jc w:val="center"/>
              <w:rPr>
                <w:b/>
                <w:sz w:val="24"/>
              </w:rPr>
            </w:pPr>
            <w:r>
              <w:rPr>
                <w:b/>
                <w:sz w:val="24"/>
              </w:rPr>
              <w:t>项</w:t>
              <w:tab/>
              <w:t>目</w:t>
            </w:r>
          </w:p>
        </w:tc>
        <w:tc>
          <w:tcPr>
            <w:tcW w:w="1774" w:type="dxa"/>
          </w:tcPr>
          <w:p>
            <w:pPr>
              <w:pStyle w:val="TableParagraph"/>
              <w:spacing w:before="119"/>
              <w:ind w:left="285"/>
              <w:jc w:val="left"/>
              <w:rPr>
                <w:b/>
                <w:sz w:val="24"/>
              </w:rPr>
            </w:pPr>
            <w:r>
              <w:rPr>
                <w:b/>
                <w:sz w:val="24"/>
              </w:rPr>
              <w:t>调整预算数</w:t>
            </w:r>
          </w:p>
        </w:tc>
        <w:tc>
          <w:tcPr>
            <w:tcW w:w="1702" w:type="dxa"/>
          </w:tcPr>
          <w:p>
            <w:pPr>
              <w:pStyle w:val="TableParagraph"/>
              <w:spacing w:before="119"/>
              <w:ind w:left="489"/>
              <w:jc w:val="left"/>
              <w:rPr>
                <w:b/>
                <w:sz w:val="24"/>
              </w:rPr>
            </w:pPr>
            <w:r>
              <w:rPr>
                <w:b/>
                <w:sz w:val="24"/>
              </w:rPr>
              <w:t>执行数</w:t>
            </w:r>
          </w:p>
        </w:tc>
        <w:tc>
          <w:tcPr>
            <w:tcW w:w="1593" w:type="dxa"/>
          </w:tcPr>
          <w:p>
            <w:pPr>
              <w:pStyle w:val="TableParagraph"/>
              <w:spacing w:before="119"/>
              <w:ind w:right="124"/>
              <w:rPr>
                <w:b/>
                <w:sz w:val="24"/>
              </w:rPr>
            </w:pPr>
            <w:r>
              <w:rPr>
                <w:b/>
                <w:w w:val="95"/>
                <w:sz w:val="24"/>
              </w:rPr>
              <w:t>占调整预算%</w:t>
            </w:r>
          </w:p>
        </w:tc>
      </w:tr>
      <w:tr>
        <w:trPr>
          <w:trHeight w:val="515" w:hRule="atLeast"/>
        </w:trPr>
        <w:tc>
          <w:tcPr>
            <w:tcW w:w="3296" w:type="dxa"/>
          </w:tcPr>
          <w:p>
            <w:pPr>
              <w:pStyle w:val="TableParagraph"/>
              <w:spacing w:before="103"/>
              <w:ind w:left="321"/>
              <w:jc w:val="left"/>
              <w:rPr>
                <w:b/>
                <w:sz w:val="24"/>
              </w:rPr>
            </w:pPr>
            <w:r>
              <w:rPr>
                <w:b/>
                <w:sz w:val="24"/>
              </w:rPr>
              <w:t>政府性基金预算支出合计</w:t>
            </w:r>
          </w:p>
        </w:tc>
        <w:tc>
          <w:tcPr>
            <w:tcW w:w="1774" w:type="dxa"/>
          </w:tcPr>
          <w:p>
            <w:pPr>
              <w:pStyle w:val="TableParagraph"/>
              <w:spacing w:before="128"/>
              <w:ind w:right="93"/>
              <w:rPr>
                <w:sz w:val="20"/>
              </w:rPr>
            </w:pPr>
            <w:r>
              <w:rPr>
                <w:w w:val="95"/>
                <w:sz w:val="20"/>
              </w:rPr>
              <w:t>218236</w:t>
            </w:r>
          </w:p>
        </w:tc>
        <w:tc>
          <w:tcPr>
            <w:tcW w:w="1702" w:type="dxa"/>
          </w:tcPr>
          <w:p>
            <w:pPr>
              <w:pStyle w:val="TableParagraph"/>
              <w:spacing w:before="126"/>
              <w:ind w:right="97"/>
              <w:rPr>
                <w:b/>
                <w:sz w:val="21"/>
              </w:rPr>
            </w:pPr>
            <w:r>
              <w:rPr>
                <w:b/>
                <w:sz w:val="21"/>
              </w:rPr>
              <w:t>157729</w:t>
            </w:r>
          </w:p>
        </w:tc>
        <w:tc>
          <w:tcPr>
            <w:tcW w:w="1593" w:type="dxa"/>
          </w:tcPr>
          <w:p>
            <w:pPr>
              <w:pStyle w:val="TableParagraph"/>
              <w:spacing w:before="118"/>
              <w:ind w:right="98"/>
              <w:rPr>
                <w:sz w:val="22"/>
              </w:rPr>
            </w:pPr>
            <w:r>
              <w:rPr>
                <w:sz w:val="22"/>
              </w:rPr>
              <w:t>72.3</w:t>
            </w:r>
          </w:p>
        </w:tc>
      </w:tr>
      <w:tr>
        <w:trPr>
          <w:trHeight w:val="431" w:hRule="atLeast"/>
        </w:trPr>
        <w:tc>
          <w:tcPr>
            <w:tcW w:w="3296" w:type="dxa"/>
          </w:tcPr>
          <w:p>
            <w:pPr>
              <w:pStyle w:val="TableParagraph"/>
              <w:spacing w:before="85"/>
              <w:ind w:left="309"/>
              <w:jc w:val="left"/>
              <w:rPr>
                <w:sz w:val="20"/>
              </w:rPr>
            </w:pPr>
            <w:r>
              <w:rPr>
                <w:sz w:val="20"/>
              </w:rPr>
              <w:t>文化旅游体育与传媒支出</w:t>
            </w:r>
          </w:p>
        </w:tc>
        <w:tc>
          <w:tcPr>
            <w:tcW w:w="1774" w:type="dxa"/>
          </w:tcPr>
          <w:p>
            <w:pPr>
              <w:pStyle w:val="TableParagraph"/>
              <w:spacing w:before="85"/>
              <w:ind w:right="95"/>
              <w:rPr>
                <w:sz w:val="20"/>
              </w:rPr>
            </w:pPr>
            <w:r>
              <w:rPr>
                <w:w w:val="99"/>
                <w:sz w:val="20"/>
              </w:rPr>
              <w:t>3</w:t>
            </w:r>
          </w:p>
        </w:tc>
        <w:tc>
          <w:tcPr>
            <w:tcW w:w="1702" w:type="dxa"/>
          </w:tcPr>
          <w:p>
            <w:pPr>
              <w:pStyle w:val="TableParagraph"/>
              <w:spacing w:before="75"/>
              <w:ind w:right="96"/>
              <w:rPr>
                <w:sz w:val="22"/>
              </w:rPr>
            </w:pPr>
            <w:r>
              <w:rPr>
                <w:w w:val="100"/>
                <w:sz w:val="22"/>
              </w:rPr>
              <w:t>3</w:t>
            </w:r>
          </w:p>
        </w:tc>
        <w:tc>
          <w:tcPr>
            <w:tcW w:w="1593" w:type="dxa"/>
          </w:tcPr>
          <w:p>
            <w:pPr>
              <w:pStyle w:val="TableParagraph"/>
              <w:spacing w:before="75"/>
              <w:ind w:right="98"/>
              <w:rPr>
                <w:sz w:val="22"/>
              </w:rPr>
            </w:pPr>
            <w:r>
              <w:rPr>
                <w:sz w:val="22"/>
              </w:rPr>
              <w:t>100.0</w:t>
            </w:r>
          </w:p>
        </w:tc>
      </w:tr>
      <w:tr>
        <w:trPr>
          <w:trHeight w:val="578" w:hRule="atLeast"/>
        </w:trPr>
        <w:tc>
          <w:tcPr>
            <w:tcW w:w="3296" w:type="dxa"/>
          </w:tcPr>
          <w:p>
            <w:pPr>
              <w:pStyle w:val="TableParagraph"/>
              <w:spacing w:before="160"/>
              <w:ind w:left="309"/>
              <w:jc w:val="left"/>
              <w:rPr>
                <w:sz w:val="20"/>
              </w:rPr>
            </w:pPr>
            <w:r>
              <w:rPr>
                <w:sz w:val="20"/>
              </w:rPr>
              <w:t>社会保障和就业支出</w:t>
            </w:r>
          </w:p>
        </w:tc>
        <w:tc>
          <w:tcPr>
            <w:tcW w:w="1774" w:type="dxa"/>
          </w:tcPr>
          <w:p>
            <w:pPr>
              <w:pStyle w:val="TableParagraph"/>
              <w:spacing w:before="160"/>
              <w:ind w:right="95"/>
              <w:rPr>
                <w:sz w:val="20"/>
              </w:rPr>
            </w:pPr>
            <w:r>
              <w:rPr>
                <w:w w:val="99"/>
                <w:sz w:val="20"/>
              </w:rPr>
              <w:t>1</w:t>
            </w:r>
          </w:p>
        </w:tc>
        <w:tc>
          <w:tcPr>
            <w:tcW w:w="1702" w:type="dxa"/>
          </w:tcPr>
          <w:p>
            <w:pPr>
              <w:pStyle w:val="TableParagraph"/>
              <w:spacing w:before="149"/>
              <w:ind w:right="96"/>
              <w:rPr>
                <w:sz w:val="22"/>
              </w:rPr>
            </w:pPr>
            <w:r>
              <w:rPr>
                <w:w w:val="100"/>
                <w:sz w:val="22"/>
              </w:rPr>
              <w:t>1</w:t>
            </w:r>
          </w:p>
        </w:tc>
        <w:tc>
          <w:tcPr>
            <w:tcW w:w="1593" w:type="dxa"/>
          </w:tcPr>
          <w:p>
            <w:pPr>
              <w:pStyle w:val="TableParagraph"/>
              <w:spacing w:before="149"/>
              <w:ind w:right="98"/>
              <w:rPr>
                <w:sz w:val="22"/>
              </w:rPr>
            </w:pPr>
            <w:r>
              <w:rPr>
                <w:sz w:val="22"/>
              </w:rPr>
              <w:t>100.0</w:t>
            </w:r>
          </w:p>
        </w:tc>
      </w:tr>
      <w:tr>
        <w:trPr>
          <w:trHeight w:val="575" w:hRule="atLeast"/>
        </w:trPr>
        <w:tc>
          <w:tcPr>
            <w:tcW w:w="3296" w:type="dxa"/>
          </w:tcPr>
          <w:p>
            <w:pPr>
              <w:pStyle w:val="TableParagraph"/>
              <w:spacing w:before="157"/>
              <w:ind w:left="309"/>
              <w:jc w:val="left"/>
              <w:rPr>
                <w:sz w:val="20"/>
              </w:rPr>
            </w:pPr>
            <w:r>
              <w:rPr>
                <w:sz w:val="20"/>
              </w:rPr>
              <w:t>城乡社区支出</w:t>
            </w:r>
          </w:p>
        </w:tc>
        <w:tc>
          <w:tcPr>
            <w:tcW w:w="1774" w:type="dxa"/>
          </w:tcPr>
          <w:p>
            <w:pPr>
              <w:pStyle w:val="TableParagraph"/>
              <w:spacing w:before="157"/>
              <w:ind w:right="93"/>
              <w:rPr>
                <w:sz w:val="20"/>
              </w:rPr>
            </w:pPr>
            <w:r>
              <w:rPr>
                <w:w w:val="95"/>
                <w:sz w:val="20"/>
              </w:rPr>
              <w:t>36046</w:t>
            </w:r>
          </w:p>
        </w:tc>
        <w:tc>
          <w:tcPr>
            <w:tcW w:w="1702" w:type="dxa"/>
          </w:tcPr>
          <w:p>
            <w:pPr>
              <w:pStyle w:val="TableParagraph"/>
              <w:spacing w:before="147"/>
              <w:ind w:right="94"/>
              <w:rPr>
                <w:sz w:val="22"/>
              </w:rPr>
            </w:pPr>
            <w:r>
              <w:rPr>
                <w:sz w:val="22"/>
              </w:rPr>
              <w:t>25416</w:t>
            </w:r>
          </w:p>
        </w:tc>
        <w:tc>
          <w:tcPr>
            <w:tcW w:w="1593" w:type="dxa"/>
          </w:tcPr>
          <w:p>
            <w:pPr>
              <w:pStyle w:val="TableParagraph"/>
              <w:spacing w:before="147"/>
              <w:ind w:right="98"/>
              <w:rPr>
                <w:sz w:val="22"/>
              </w:rPr>
            </w:pPr>
            <w:r>
              <w:rPr>
                <w:sz w:val="22"/>
              </w:rPr>
              <w:t>70.5</w:t>
            </w:r>
          </w:p>
        </w:tc>
      </w:tr>
      <w:tr>
        <w:trPr>
          <w:trHeight w:val="575" w:hRule="atLeast"/>
        </w:trPr>
        <w:tc>
          <w:tcPr>
            <w:tcW w:w="3296" w:type="dxa"/>
          </w:tcPr>
          <w:p>
            <w:pPr>
              <w:pStyle w:val="TableParagraph"/>
              <w:spacing w:before="157"/>
              <w:ind w:left="309"/>
              <w:jc w:val="left"/>
              <w:rPr>
                <w:sz w:val="20"/>
              </w:rPr>
            </w:pPr>
            <w:r>
              <w:rPr>
                <w:sz w:val="20"/>
              </w:rPr>
              <w:t>其他支出</w:t>
            </w:r>
          </w:p>
        </w:tc>
        <w:tc>
          <w:tcPr>
            <w:tcW w:w="1774" w:type="dxa"/>
          </w:tcPr>
          <w:p>
            <w:pPr>
              <w:pStyle w:val="TableParagraph"/>
              <w:spacing w:before="157"/>
              <w:ind w:right="93"/>
              <w:rPr>
                <w:sz w:val="20"/>
              </w:rPr>
            </w:pPr>
            <w:r>
              <w:rPr>
                <w:w w:val="95"/>
                <w:sz w:val="20"/>
              </w:rPr>
              <w:t>175795</w:t>
            </w:r>
          </w:p>
        </w:tc>
        <w:tc>
          <w:tcPr>
            <w:tcW w:w="1702" w:type="dxa"/>
          </w:tcPr>
          <w:p>
            <w:pPr>
              <w:pStyle w:val="TableParagraph"/>
              <w:spacing w:before="147"/>
              <w:ind w:right="94"/>
              <w:rPr>
                <w:sz w:val="22"/>
              </w:rPr>
            </w:pPr>
            <w:r>
              <w:rPr>
                <w:sz w:val="22"/>
              </w:rPr>
              <w:t>125918</w:t>
            </w:r>
          </w:p>
        </w:tc>
        <w:tc>
          <w:tcPr>
            <w:tcW w:w="1593" w:type="dxa"/>
          </w:tcPr>
          <w:p>
            <w:pPr>
              <w:pStyle w:val="TableParagraph"/>
              <w:spacing w:before="147"/>
              <w:ind w:right="98"/>
              <w:rPr>
                <w:sz w:val="22"/>
              </w:rPr>
            </w:pPr>
            <w:r>
              <w:rPr>
                <w:sz w:val="22"/>
              </w:rPr>
              <w:t>71.6</w:t>
            </w:r>
          </w:p>
        </w:tc>
      </w:tr>
      <w:tr>
        <w:trPr>
          <w:trHeight w:val="575" w:hRule="atLeast"/>
        </w:trPr>
        <w:tc>
          <w:tcPr>
            <w:tcW w:w="3296" w:type="dxa"/>
          </w:tcPr>
          <w:p>
            <w:pPr>
              <w:pStyle w:val="TableParagraph"/>
              <w:spacing w:before="157"/>
              <w:ind w:left="309"/>
              <w:jc w:val="left"/>
              <w:rPr>
                <w:sz w:val="20"/>
              </w:rPr>
            </w:pPr>
            <w:r>
              <w:rPr>
                <w:sz w:val="20"/>
              </w:rPr>
              <w:t>债务付息支出</w:t>
            </w:r>
          </w:p>
        </w:tc>
        <w:tc>
          <w:tcPr>
            <w:tcW w:w="1774" w:type="dxa"/>
          </w:tcPr>
          <w:p>
            <w:pPr>
              <w:pStyle w:val="TableParagraph"/>
              <w:spacing w:before="157"/>
              <w:ind w:right="91"/>
              <w:rPr>
                <w:sz w:val="20"/>
              </w:rPr>
            </w:pPr>
            <w:r>
              <w:rPr>
                <w:sz w:val="20"/>
              </w:rPr>
              <w:t>6248</w:t>
            </w:r>
          </w:p>
        </w:tc>
        <w:tc>
          <w:tcPr>
            <w:tcW w:w="1702" w:type="dxa"/>
          </w:tcPr>
          <w:p>
            <w:pPr>
              <w:pStyle w:val="TableParagraph"/>
              <w:spacing w:before="147"/>
              <w:ind w:right="94"/>
              <w:rPr>
                <w:sz w:val="22"/>
              </w:rPr>
            </w:pPr>
            <w:r>
              <w:rPr>
                <w:sz w:val="22"/>
              </w:rPr>
              <w:t>6248</w:t>
            </w:r>
          </w:p>
        </w:tc>
        <w:tc>
          <w:tcPr>
            <w:tcW w:w="1593" w:type="dxa"/>
          </w:tcPr>
          <w:p>
            <w:pPr>
              <w:pStyle w:val="TableParagraph"/>
              <w:spacing w:before="147"/>
              <w:ind w:right="98"/>
              <w:rPr>
                <w:sz w:val="22"/>
              </w:rPr>
            </w:pPr>
            <w:r>
              <w:rPr>
                <w:sz w:val="22"/>
              </w:rPr>
              <w:t>100.0</w:t>
            </w:r>
          </w:p>
        </w:tc>
      </w:tr>
      <w:tr>
        <w:trPr>
          <w:trHeight w:val="575" w:hRule="atLeast"/>
        </w:trPr>
        <w:tc>
          <w:tcPr>
            <w:tcW w:w="3296" w:type="dxa"/>
          </w:tcPr>
          <w:p>
            <w:pPr>
              <w:pStyle w:val="TableParagraph"/>
              <w:spacing w:before="157"/>
              <w:ind w:left="309"/>
              <w:jc w:val="left"/>
              <w:rPr>
                <w:sz w:val="20"/>
              </w:rPr>
            </w:pPr>
            <w:r>
              <w:rPr>
                <w:sz w:val="20"/>
              </w:rPr>
              <w:t>债务发行费用支出</w:t>
            </w:r>
          </w:p>
        </w:tc>
        <w:tc>
          <w:tcPr>
            <w:tcW w:w="1774" w:type="dxa"/>
          </w:tcPr>
          <w:p>
            <w:pPr>
              <w:pStyle w:val="TableParagraph"/>
              <w:spacing w:before="157"/>
              <w:ind w:right="91"/>
              <w:rPr>
                <w:sz w:val="20"/>
              </w:rPr>
            </w:pPr>
            <w:r>
              <w:rPr>
                <w:sz w:val="20"/>
              </w:rPr>
              <w:t>143</w:t>
            </w:r>
          </w:p>
        </w:tc>
        <w:tc>
          <w:tcPr>
            <w:tcW w:w="1702" w:type="dxa"/>
          </w:tcPr>
          <w:p>
            <w:pPr>
              <w:pStyle w:val="TableParagraph"/>
              <w:spacing w:before="147"/>
              <w:ind w:right="96"/>
              <w:rPr>
                <w:sz w:val="22"/>
              </w:rPr>
            </w:pPr>
            <w:r>
              <w:rPr>
                <w:sz w:val="22"/>
              </w:rPr>
              <w:t>143</w:t>
            </w:r>
          </w:p>
        </w:tc>
        <w:tc>
          <w:tcPr>
            <w:tcW w:w="1593" w:type="dxa"/>
          </w:tcPr>
          <w:p>
            <w:pPr>
              <w:pStyle w:val="TableParagraph"/>
              <w:spacing w:before="147"/>
              <w:ind w:right="98"/>
              <w:rPr>
                <w:sz w:val="22"/>
              </w:rPr>
            </w:pPr>
            <w:r>
              <w:rPr>
                <w:sz w:val="22"/>
              </w:rPr>
              <w:t>100.0</w:t>
            </w:r>
          </w:p>
        </w:tc>
      </w:tr>
    </w:tbl>
    <w:p>
      <w:pPr>
        <w:spacing w:after="0"/>
        <w:rPr>
          <w:sz w:val="22"/>
        </w:rPr>
        <w:sectPr>
          <w:pgSz w:w="11910" w:h="16840"/>
          <w:pgMar w:header="0" w:footer="1235" w:top="1500" w:bottom="1420" w:left="1040" w:right="920"/>
        </w:sectPr>
      </w:pPr>
    </w:p>
    <w:p>
      <w:pPr>
        <w:spacing w:before="11"/>
        <w:ind w:left="302" w:right="0" w:firstLine="0"/>
        <w:jc w:val="left"/>
        <w:rPr>
          <w:rFonts w:ascii="微软雅黑" w:eastAsia="微软雅黑" w:hint="eastAsia"/>
          <w:sz w:val="24"/>
        </w:rPr>
      </w:pPr>
      <w:r>
        <w:rPr>
          <w:rFonts w:ascii="微软雅黑" w:eastAsia="微软雅黑" w:hint="eastAsia"/>
          <w:sz w:val="24"/>
        </w:rPr>
        <w:t>附表 7</w:t>
      </w:r>
    </w:p>
    <w:p>
      <w:pPr>
        <w:pStyle w:val="BodyText"/>
        <w:spacing w:before="8"/>
        <w:rPr>
          <w:rFonts w:ascii="微软雅黑"/>
          <w:sz w:val="28"/>
        </w:rPr>
      </w:pPr>
      <w:r>
        <w:rPr/>
        <w:br w:type="column"/>
      </w:r>
      <w:r>
        <w:rPr>
          <w:rFonts w:ascii="微软雅黑"/>
          <w:sz w:val="28"/>
        </w:rPr>
      </w:r>
    </w:p>
    <w:p>
      <w:pPr>
        <w:pStyle w:val="Heading3"/>
        <w:spacing w:before="0"/>
        <w:ind w:left="302"/>
      </w:pPr>
      <w:r>
        <w:rPr/>
        <w:t>2022 年高阳县国有资本经营预算平衡情况表</w:t>
      </w:r>
    </w:p>
    <w:p>
      <w:pPr>
        <w:spacing w:before="92"/>
        <w:ind w:left="0" w:right="1056" w:firstLine="0"/>
        <w:jc w:val="right"/>
        <w:rPr>
          <w:rFonts w:ascii="宋体" w:eastAsia="宋体" w:hint="eastAsia"/>
          <w:sz w:val="18"/>
        </w:rPr>
      </w:pPr>
      <w:r>
        <w:rPr>
          <w:rFonts w:ascii="宋体" w:eastAsia="宋体" w:hint="eastAsia"/>
          <w:sz w:val="18"/>
        </w:rPr>
        <w:t>单位：万元</w:t>
      </w:r>
    </w:p>
    <w:p>
      <w:pPr>
        <w:spacing w:after="0"/>
        <w:jc w:val="right"/>
        <w:rPr>
          <w:rFonts w:ascii="宋体" w:eastAsia="宋体" w:hint="eastAsia"/>
          <w:sz w:val="18"/>
        </w:rPr>
        <w:sectPr>
          <w:pgSz w:w="11910" w:h="16840"/>
          <w:pgMar w:header="0" w:footer="1235" w:top="1500" w:bottom="1420" w:left="1040" w:right="920"/>
          <w:cols w:num="2" w:equalWidth="0">
            <w:col w:w="1023" w:space="160"/>
            <w:col w:w="8767"/>
          </w:cols>
        </w:sectPr>
      </w:pPr>
    </w:p>
    <w:p>
      <w:pPr>
        <w:pStyle w:val="BodyText"/>
        <w:spacing w:before="5"/>
        <w:rPr>
          <w:rFonts w:ascii="宋体"/>
          <w:sz w:val="3"/>
        </w:rPr>
      </w:pPr>
    </w:p>
    <w:tbl>
      <w:tblPr>
        <w:tblW w:w="0" w:type="auto"/>
        <w:jc w:val="left"/>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10"/>
        <w:gridCol w:w="1277"/>
        <w:gridCol w:w="1275"/>
        <w:gridCol w:w="2127"/>
        <w:gridCol w:w="1278"/>
        <w:gridCol w:w="1275"/>
      </w:tblGrid>
      <w:tr>
        <w:trPr>
          <w:trHeight w:val="551" w:hRule="atLeast"/>
        </w:trPr>
        <w:tc>
          <w:tcPr>
            <w:tcW w:w="4962" w:type="dxa"/>
            <w:gridSpan w:val="3"/>
            <w:tcBorders>
              <w:left w:val="single" w:sz="4" w:space="0" w:color="000000"/>
              <w:bottom w:val="single" w:sz="4" w:space="0" w:color="000000"/>
              <w:right w:val="single" w:sz="4" w:space="0" w:color="000000"/>
            </w:tcBorders>
          </w:tcPr>
          <w:p>
            <w:pPr>
              <w:pStyle w:val="TableParagraph"/>
              <w:tabs>
                <w:tab w:pos="1067" w:val="left" w:leader="none"/>
              </w:tabs>
              <w:spacing w:before="142"/>
              <w:ind w:left="11"/>
              <w:jc w:val="center"/>
              <w:rPr>
                <w:b/>
                <w:sz w:val="21"/>
              </w:rPr>
            </w:pPr>
            <w:r>
              <w:rPr>
                <w:b/>
                <w:sz w:val="21"/>
              </w:rPr>
              <w:t>收</w:t>
              <w:tab/>
              <w:t>入</w:t>
            </w:r>
          </w:p>
        </w:tc>
        <w:tc>
          <w:tcPr>
            <w:tcW w:w="4680" w:type="dxa"/>
            <w:gridSpan w:val="3"/>
            <w:tcBorders>
              <w:left w:val="single" w:sz="4" w:space="0" w:color="000000"/>
              <w:bottom w:val="single" w:sz="4" w:space="0" w:color="000000"/>
              <w:right w:val="single" w:sz="4" w:space="0" w:color="000000"/>
            </w:tcBorders>
          </w:tcPr>
          <w:p>
            <w:pPr>
              <w:pStyle w:val="TableParagraph"/>
              <w:tabs>
                <w:tab w:pos="1066" w:val="left" w:leader="none"/>
              </w:tabs>
              <w:spacing w:before="142"/>
              <w:ind w:left="9"/>
              <w:jc w:val="center"/>
              <w:rPr>
                <w:b/>
                <w:sz w:val="21"/>
              </w:rPr>
            </w:pPr>
            <w:r>
              <w:rPr>
                <w:b/>
                <w:sz w:val="21"/>
              </w:rPr>
              <w:t>支</w:t>
              <w:tab/>
              <w:t>出</w:t>
            </w:r>
          </w:p>
        </w:tc>
      </w:tr>
      <w:tr>
        <w:trPr>
          <w:trHeight w:val="959"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3"/>
              <w:jc w:val="left"/>
              <w:rPr>
                <w:sz w:val="27"/>
              </w:rPr>
            </w:pPr>
          </w:p>
          <w:p>
            <w:pPr>
              <w:pStyle w:val="TableParagraph"/>
              <w:tabs>
                <w:tab w:pos="409" w:val="left" w:leader="none"/>
              </w:tabs>
              <w:ind w:left="6"/>
              <w:jc w:val="center"/>
              <w:rPr>
                <w:b/>
                <w:sz w:val="20"/>
              </w:rPr>
            </w:pPr>
            <w:r>
              <w:rPr>
                <w:b/>
                <w:sz w:val="20"/>
              </w:rPr>
              <w:t>项</w:t>
              <w:tab/>
              <w:t>目</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128"/>
              <w:ind w:left="113" w:right="106"/>
              <w:jc w:val="center"/>
              <w:rPr>
                <w:b/>
                <w:sz w:val="20"/>
              </w:rPr>
            </w:pPr>
            <w:r>
              <w:rPr>
                <w:rFonts w:ascii="Times New Roman" w:eastAsia="Times New Roman"/>
                <w:b/>
                <w:sz w:val="20"/>
              </w:rPr>
              <w:t>2022 </w:t>
            </w:r>
            <w:r>
              <w:rPr>
                <w:b/>
                <w:sz w:val="20"/>
              </w:rPr>
              <w:t>年</w:t>
            </w:r>
          </w:p>
          <w:p>
            <w:pPr>
              <w:pStyle w:val="TableParagraph"/>
              <w:spacing w:before="11"/>
              <w:jc w:val="left"/>
              <w:rPr>
                <w:sz w:val="17"/>
              </w:rPr>
            </w:pPr>
          </w:p>
          <w:p>
            <w:pPr>
              <w:pStyle w:val="TableParagraph"/>
              <w:ind w:left="115" w:right="106"/>
              <w:jc w:val="center"/>
              <w:rPr>
                <w:b/>
                <w:sz w:val="20"/>
              </w:rPr>
            </w:pPr>
            <w:r>
              <w:rPr>
                <w:b/>
                <w:sz w:val="20"/>
              </w:rPr>
              <w:t>调整预算数</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128"/>
              <w:ind w:left="311"/>
              <w:jc w:val="left"/>
              <w:rPr>
                <w:b/>
                <w:sz w:val="20"/>
              </w:rPr>
            </w:pPr>
            <w:r>
              <w:rPr>
                <w:rFonts w:ascii="Times New Roman" w:eastAsia="Times New Roman"/>
                <w:b/>
                <w:sz w:val="20"/>
              </w:rPr>
              <w:t>2022</w:t>
            </w:r>
            <w:r>
              <w:rPr>
                <w:rFonts w:ascii="Times New Roman" w:eastAsia="Times New Roman"/>
                <w:b/>
                <w:spacing w:val="-2"/>
                <w:sz w:val="20"/>
              </w:rPr>
              <w:t> </w:t>
            </w:r>
            <w:r>
              <w:rPr>
                <w:b/>
                <w:sz w:val="20"/>
              </w:rPr>
              <w:t>年</w:t>
            </w:r>
          </w:p>
          <w:p>
            <w:pPr>
              <w:pStyle w:val="TableParagraph"/>
              <w:spacing w:before="11"/>
              <w:jc w:val="left"/>
              <w:rPr>
                <w:sz w:val="17"/>
              </w:rPr>
            </w:pPr>
          </w:p>
          <w:p>
            <w:pPr>
              <w:pStyle w:val="TableParagraph"/>
              <w:ind w:left="335"/>
              <w:jc w:val="left"/>
              <w:rPr>
                <w:b/>
                <w:sz w:val="20"/>
              </w:rPr>
            </w:pPr>
            <w:r>
              <w:rPr>
                <w:b/>
                <w:sz w:val="20"/>
              </w:rPr>
              <w:t>执行数</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3"/>
              <w:jc w:val="left"/>
              <w:rPr>
                <w:sz w:val="27"/>
              </w:rPr>
            </w:pPr>
          </w:p>
          <w:p>
            <w:pPr>
              <w:pStyle w:val="TableParagraph"/>
              <w:tabs>
                <w:tab w:pos="403" w:val="left" w:leader="none"/>
              </w:tabs>
              <w:ind w:right="752"/>
              <w:rPr>
                <w:b/>
                <w:sz w:val="20"/>
              </w:rPr>
            </w:pPr>
            <w:r>
              <w:rPr>
                <w:b/>
                <w:sz w:val="20"/>
              </w:rPr>
              <w:t>项</w:t>
              <w:tab/>
            </w:r>
            <w:r>
              <w:rPr>
                <w:b/>
                <w:w w:val="95"/>
                <w:sz w:val="20"/>
              </w:rPr>
              <w:t>目</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128"/>
              <w:ind w:left="113" w:right="108"/>
              <w:jc w:val="center"/>
              <w:rPr>
                <w:b/>
                <w:sz w:val="20"/>
              </w:rPr>
            </w:pPr>
            <w:r>
              <w:rPr>
                <w:rFonts w:ascii="Times New Roman" w:eastAsia="Times New Roman"/>
                <w:b/>
                <w:sz w:val="20"/>
              </w:rPr>
              <w:t>2022 </w:t>
            </w:r>
            <w:r>
              <w:rPr>
                <w:b/>
                <w:sz w:val="20"/>
              </w:rPr>
              <w:t>年</w:t>
            </w:r>
          </w:p>
          <w:p>
            <w:pPr>
              <w:pStyle w:val="TableParagraph"/>
              <w:spacing w:before="11"/>
              <w:jc w:val="left"/>
              <w:rPr>
                <w:sz w:val="17"/>
              </w:rPr>
            </w:pPr>
          </w:p>
          <w:p>
            <w:pPr>
              <w:pStyle w:val="TableParagraph"/>
              <w:ind w:left="115" w:right="108"/>
              <w:jc w:val="center"/>
              <w:rPr>
                <w:b/>
                <w:sz w:val="20"/>
              </w:rPr>
            </w:pPr>
            <w:r>
              <w:rPr>
                <w:b/>
                <w:sz w:val="20"/>
              </w:rPr>
              <w:t>调整预算数</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128"/>
              <w:ind w:left="310"/>
              <w:jc w:val="left"/>
              <w:rPr>
                <w:b/>
                <w:sz w:val="20"/>
              </w:rPr>
            </w:pPr>
            <w:r>
              <w:rPr>
                <w:rFonts w:ascii="Times New Roman" w:eastAsia="Times New Roman"/>
                <w:b/>
                <w:sz w:val="20"/>
              </w:rPr>
              <w:t>2022</w:t>
            </w:r>
            <w:r>
              <w:rPr>
                <w:rFonts w:ascii="Times New Roman" w:eastAsia="Times New Roman"/>
                <w:b/>
                <w:spacing w:val="-2"/>
                <w:sz w:val="20"/>
              </w:rPr>
              <w:t> </w:t>
            </w:r>
            <w:r>
              <w:rPr>
                <w:b/>
                <w:sz w:val="20"/>
              </w:rPr>
              <w:t>年</w:t>
            </w:r>
          </w:p>
          <w:p>
            <w:pPr>
              <w:pStyle w:val="TableParagraph"/>
              <w:spacing w:before="11"/>
              <w:jc w:val="left"/>
              <w:rPr>
                <w:sz w:val="17"/>
              </w:rPr>
            </w:pPr>
          </w:p>
          <w:p>
            <w:pPr>
              <w:pStyle w:val="TableParagraph"/>
              <w:ind w:left="334"/>
              <w:jc w:val="left"/>
              <w:rPr>
                <w:b/>
                <w:sz w:val="20"/>
              </w:rPr>
            </w:pPr>
            <w:r>
              <w:rPr>
                <w:b/>
                <w:sz w:val="20"/>
              </w:rPr>
              <w:t>执行数</w:t>
            </w:r>
          </w:p>
        </w:tc>
      </w:tr>
      <w:tr>
        <w:trPr>
          <w:trHeight w:val="624"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left="107"/>
              <w:jc w:val="left"/>
              <w:rPr>
                <w:sz w:val="20"/>
              </w:rPr>
            </w:pPr>
            <w:r>
              <w:rPr>
                <w:sz w:val="20"/>
              </w:rPr>
              <w:t>一、利润收入</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25"/>
              <w:ind w:left="107"/>
              <w:jc w:val="left"/>
              <w:rPr>
                <w:sz w:val="20"/>
              </w:rPr>
            </w:pPr>
            <w:r>
              <w:rPr>
                <w:sz w:val="20"/>
              </w:rPr>
              <w:t>一、解决历史遗留问题</w:t>
            </w:r>
          </w:p>
          <w:p>
            <w:pPr>
              <w:pStyle w:val="TableParagraph"/>
              <w:spacing w:before="56"/>
              <w:ind w:left="107"/>
              <w:jc w:val="left"/>
              <w:rPr>
                <w:sz w:val="20"/>
              </w:rPr>
            </w:pPr>
            <w:r>
              <w:rPr>
                <w:sz w:val="20"/>
              </w:rPr>
              <w:t>及改革成本支出</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right="95"/>
              <w:rPr>
                <w:sz w:val="20"/>
              </w:rPr>
            </w:pPr>
            <w:r>
              <w:rPr>
                <w:sz w:val="20"/>
              </w:rPr>
              <w:t>13</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right="99"/>
              <w:rPr>
                <w:sz w:val="20"/>
              </w:rPr>
            </w:pPr>
            <w:r>
              <w:rPr>
                <w:w w:val="99"/>
                <w:sz w:val="20"/>
              </w:rPr>
              <w:t>4</w:t>
            </w:r>
          </w:p>
        </w:tc>
      </w:tr>
      <w:tr>
        <w:trPr>
          <w:trHeight w:val="623"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left="107"/>
              <w:jc w:val="left"/>
              <w:rPr>
                <w:sz w:val="20"/>
              </w:rPr>
            </w:pPr>
            <w:r>
              <w:rPr>
                <w:sz w:val="20"/>
              </w:rPr>
              <w:t>二、股利、股息收入</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25"/>
              <w:ind w:left="107"/>
              <w:jc w:val="left"/>
              <w:rPr>
                <w:sz w:val="20"/>
              </w:rPr>
            </w:pPr>
            <w:r>
              <w:rPr>
                <w:sz w:val="20"/>
              </w:rPr>
              <w:t>二、国有企业资本金注</w:t>
            </w:r>
          </w:p>
          <w:p>
            <w:pPr>
              <w:pStyle w:val="TableParagraph"/>
              <w:spacing w:before="56"/>
              <w:ind w:left="107"/>
              <w:jc w:val="left"/>
              <w:rPr>
                <w:sz w:val="20"/>
              </w:rPr>
            </w:pPr>
            <w:r>
              <w:rPr>
                <w:w w:val="99"/>
                <w:sz w:val="20"/>
              </w:rPr>
              <w:t>入</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r>
      <w:tr>
        <w:trPr>
          <w:trHeight w:val="623"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left="107"/>
              <w:jc w:val="left"/>
              <w:rPr>
                <w:sz w:val="20"/>
              </w:rPr>
            </w:pPr>
            <w:r>
              <w:rPr>
                <w:sz w:val="20"/>
              </w:rPr>
              <w:t>三、产权转让收入</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25"/>
              <w:ind w:left="107"/>
              <w:jc w:val="left"/>
              <w:rPr>
                <w:sz w:val="20"/>
              </w:rPr>
            </w:pPr>
            <w:r>
              <w:rPr>
                <w:sz w:val="20"/>
              </w:rPr>
              <w:t>三、国有企业政策性补</w:t>
            </w:r>
          </w:p>
          <w:p>
            <w:pPr>
              <w:pStyle w:val="TableParagraph"/>
              <w:spacing w:before="56"/>
              <w:ind w:left="107"/>
              <w:jc w:val="left"/>
              <w:rPr>
                <w:sz w:val="20"/>
              </w:rPr>
            </w:pPr>
            <w:r>
              <w:rPr>
                <w:w w:val="99"/>
                <w:sz w:val="20"/>
              </w:rPr>
              <w:t>贴</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r>
      <w:tr>
        <w:trPr>
          <w:trHeight w:val="623"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left="107"/>
              <w:jc w:val="left"/>
              <w:rPr>
                <w:sz w:val="20"/>
              </w:rPr>
            </w:pPr>
            <w:r>
              <w:rPr>
                <w:sz w:val="20"/>
              </w:rPr>
              <w:t>四、清算收入</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25"/>
              <w:ind w:left="107"/>
              <w:jc w:val="left"/>
              <w:rPr>
                <w:sz w:val="20"/>
              </w:rPr>
            </w:pPr>
            <w:r>
              <w:rPr>
                <w:sz w:val="20"/>
              </w:rPr>
              <w:t>四、金融国有资本经营</w:t>
            </w:r>
          </w:p>
          <w:p>
            <w:pPr>
              <w:pStyle w:val="TableParagraph"/>
              <w:spacing w:before="56"/>
              <w:ind w:left="107"/>
              <w:jc w:val="left"/>
              <w:rPr>
                <w:sz w:val="20"/>
              </w:rPr>
            </w:pPr>
            <w:r>
              <w:rPr>
                <w:sz w:val="20"/>
              </w:rPr>
              <w:t>预算支出</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r>
      <w:tr>
        <w:trPr>
          <w:trHeight w:val="623"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25"/>
              <w:ind w:left="107"/>
              <w:jc w:val="left"/>
              <w:rPr>
                <w:sz w:val="20"/>
              </w:rPr>
            </w:pPr>
            <w:r>
              <w:rPr>
                <w:sz w:val="20"/>
              </w:rPr>
              <w:t>五、其他国有资本经营预</w:t>
            </w:r>
          </w:p>
          <w:p>
            <w:pPr>
              <w:pStyle w:val="TableParagraph"/>
              <w:spacing w:before="56"/>
              <w:ind w:left="107"/>
              <w:jc w:val="left"/>
              <w:rPr>
                <w:sz w:val="20"/>
              </w:rPr>
            </w:pPr>
            <w:r>
              <w:rPr>
                <w:sz w:val="20"/>
              </w:rPr>
              <w:t>算收入</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25"/>
              <w:ind w:left="107"/>
              <w:jc w:val="left"/>
              <w:rPr>
                <w:sz w:val="20"/>
              </w:rPr>
            </w:pPr>
            <w:r>
              <w:rPr>
                <w:sz w:val="20"/>
              </w:rPr>
              <w:t>五、其他国有资本经营</w:t>
            </w:r>
          </w:p>
          <w:p>
            <w:pPr>
              <w:pStyle w:val="TableParagraph"/>
              <w:spacing w:before="56"/>
              <w:ind w:left="107"/>
              <w:jc w:val="left"/>
              <w:rPr>
                <w:sz w:val="20"/>
              </w:rPr>
            </w:pPr>
            <w:r>
              <w:rPr>
                <w:sz w:val="20"/>
              </w:rPr>
              <w:t>预算支出</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r>
      <w:tr>
        <w:trPr>
          <w:trHeight w:val="577"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159"/>
              <w:ind w:left="4"/>
              <w:jc w:val="center"/>
              <w:rPr>
                <w:sz w:val="20"/>
              </w:rPr>
            </w:pPr>
            <w:r>
              <w:rPr>
                <w:sz w:val="20"/>
              </w:rPr>
              <w:t>小计</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159"/>
              <w:ind w:left="840" w:right="837"/>
              <w:jc w:val="center"/>
              <w:rPr>
                <w:sz w:val="20"/>
              </w:rPr>
            </w:pPr>
            <w:r>
              <w:rPr>
                <w:sz w:val="20"/>
              </w:rPr>
              <w:t>小计</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159"/>
              <w:ind w:right="95"/>
              <w:rPr>
                <w:sz w:val="20"/>
              </w:rPr>
            </w:pPr>
            <w:r>
              <w:rPr>
                <w:sz w:val="20"/>
              </w:rPr>
              <w:t>13</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159"/>
              <w:ind w:right="99"/>
              <w:rPr>
                <w:sz w:val="20"/>
              </w:rPr>
            </w:pPr>
            <w:r>
              <w:rPr>
                <w:w w:val="99"/>
                <w:sz w:val="20"/>
              </w:rPr>
              <w:t>4</w:t>
            </w:r>
          </w:p>
        </w:tc>
      </w:tr>
      <w:tr>
        <w:trPr>
          <w:trHeight w:val="624"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25"/>
              <w:ind w:left="107"/>
              <w:jc w:val="left"/>
              <w:rPr>
                <w:sz w:val="20"/>
              </w:rPr>
            </w:pPr>
            <w:r>
              <w:rPr>
                <w:sz w:val="20"/>
              </w:rPr>
              <w:t>国有资本经营预算上级</w:t>
            </w:r>
          </w:p>
          <w:p>
            <w:pPr>
              <w:pStyle w:val="TableParagraph"/>
              <w:spacing w:before="56"/>
              <w:ind w:left="107"/>
              <w:jc w:val="left"/>
              <w:rPr>
                <w:sz w:val="20"/>
              </w:rPr>
            </w:pPr>
            <w:r>
              <w:rPr>
                <w:sz w:val="20"/>
              </w:rPr>
              <w:t>补助收入</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right="97"/>
              <w:rPr>
                <w:sz w:val="20"/>
              </w:rPr>
            </w:pPr>
            <w:r>
              <w:rPr>
                <w:w w:val="99"/>
                <w:sz w:val="20"/>
              </w:rPr>
              <w:t>6</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right="95"/>
              <w:rPr>
                <w:sz w:val="20"/>
              </w:rPr>
            </w:pPr>
            <w:r>
              <w:rPr>
                <w:w w:val="99"/>
                <w:sz w:val="20"/>
              </w:rPr>
              <w:t>6</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25"/>
              <w:ind w:left="107"/>
              <w:jc w:val="left"/>
              <w:rPr>
                <w:sz w:val="20"/>
              </w:rPr>
            </w:pPr>
            <w:r>
              <w:rPr>
                <w:sz w:val="20"/>
              </w:rPr>
              <w:t>国有资本经营预算补</w:t>
            </w:r>
          </w:p>
          <w:p>
            <w:pPr>
              <w:pStyle w:val="TableParagraph"/>
              <w:spacing w:before="56"/>
              <w:ind w:left="107"/>
              <w:jc w:val="left"/>
              <w:rPr>
                <w:sz w:val="20"/>
              </w:rPr>
            </w:pPr>
            <w:r>
              <w:rPr>
                <w:sz w:val="20"/>
              </w:rPr>
              <w:t>助下级支出</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r>
      <w:tr>
        <w:trPr>
          <w:trHeight w:val="623"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left="107"/>
              <w:jc w:val="left"/>
              <w:rPr>
                <w:sz w:val="20"/>
              </w:rPr>
            </w:pPr>
            <w:r>
              <w:rPr>
                <w:sz w:val="20"/>
              </w:rPr>
              <w:t>上年结转</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right="97"/>
              <w:rPr>
                <w:sz w:val="20"/>
              </w:rPr>
            </w:pPr>
            <w:r>
              <w:rPr>
                <w:w w:val="99"/>
                <w:sz w:val="20"/>
              </w:rPr>
              <w:t>7</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right="95"/>
              <w:rPr>
                <w:sz w:val="20"/>
              </w:rPr>
            </w:pPr>
            <w:r>
              <w:rPr>
                <w:w w:val="99"/>
                <w:sz w:val="20"/>
              </w:rPr>
              <w:t>7</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25"/>
              <w:ind w:left="107"/>
              <w:jc w:val="left"/>
              <w:rPr>
                <w:sz w:val="20"/>
              </w:rPr>
            </w:pPr>
            <w:r>
              <w:rPr>
                <w:sz w:val="20"/>
              </w:rPr>
              <w:t>国有资本经营预算调</w:t>
            </w:r>
          </w:p>
          <w:p>
            <w:pPr>
              <w:pStyle w:val="TableParagraph"/>
              <w:spacing w:before="56"/>
              <w:ind w:left="107"/>
              <w:jc w:val="left"/>
              <w:rPr>
                <w:sz w:val="20"/>
              </w:rPr>
            </w:pPr>
            <w:r>
              <w:rPr>
                <w:sz w:val="20"/>
              </w:rPr>
              <w:t>出资金</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2"/>
              <w:jc w:val="left"/>
              <w:rPr>
                <w:sz w:val="14"/>
              </w:rPr>
            </w:pPr>
          </w:p>
          <w:p>
            <w:pPr>
              <w:pStyle w:val="TableParagraph"/>
              <w:ind w:right="99"/>
              <w:rPr>
                <w:sz w:val="20"/>
              </w:rPr>
            </w:pPr>
            <w:r>
              <w:rPr>
                <w:w w:val="99"/>
                <w:sz w:val="20"/>
              </w:rPr>
              <w:t>3</w:t>
            </w:r>
          </w:p>
        </w:tc>
      </w:tr>
      <w:tr>
        <w:trPr>
          <w:trHeight w:val="575"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7"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157"/>
              <w:ind w:left="107"/>
              <w:jc w:val="left"/>
              <w:rPr>
                <w:sz w:val="20"/>
              </w:rPr>
            </w:pPr>
            <w:r>
              <w:rPr>
                <w:sz w:val="20"/>
              </w:rPr>
              <w:t>结转下年</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jc w:val="left"/>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157"/>
              <w:ind w:right="99"/>
              <w:rPr>
                <w:sz w:val="20"/>
              </w:rPr>
            </w:pPr>
            <w:r>
              <w:rPr>
                <w:w w:val="99"/>
                <w:sz w:val="20"/>
              </w:rPr>
              <w:t>6</w:t>
            </w:r>
          </w:p>
        </w:tc>
      </w:tr>
      <w:tr>
        <w:trPr>
          <w:trHeight w:val="575" w:hRule="atLeast"/>
        </w:trPr>
        <w:tc>
          <w:tcPr>
            <w:tcW w:w="2410" w:type="dxa"/>
            <w:tcBorders>
              <w:top w:val="single" w:sz="4" w:space="0" w:color="000000"/>
              <w:left w:val="single" w:sz="4" w:space="0" w:color="000000"/>
              <w:bottom w:val="single" w:sz="4" w:space="0" w:color="000000"/>
              <w:right w:val="single" w:sz="4" w:space="0" w:color="000000"/>
            </w:tcBorders>
          </w:tcPr>
          <w:p>
            <w:pPr>
              <w:pStyle w:val="TableParagraph"/>
              <w:tabs>
                <w:tab w:pos="409" w:val="left" w:leader="none"/>
              </w:tabs>
              <w:spacing w:before="157"/>
              <w:ind w:left="6"/>
              <w:jc w:val="center"/>
              <w:rPr>
                <w:b/>
                <w:sz w:val="20"/>
              </w:rPr>
            </w:pPr>
            <w:r>
              <w:rPr>
                <w:b/>
                <w:sz w:val="20"/>
              </w:rPr>
              <w:t>合</w:t>
              <w:tab/>
              <w:t>计</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157"/>
              <w:ind w:right="96"/>
              <w:rPr>
                <w:b/>
                <w:sz w:val="20"/>
              </w:rPr>
            </w:pPr>
            <w:r>
              <w:rPr>
                <w:b/>
                <w:w w:val="95"/>
                <w:sz w:val="20"/>
              </w:rPr>
              <w:t>13</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157"/>
              <w:ind w:right="94"/>
              <w:rPr>
                <w:b/>
                <w:sz w:val="20"/>
              </w:rPr>
            </w:pPr>
            <w:r>
              <w:rPr>
                <w:b/>
                <w:w w:val="95"/>
                <w:sz w:val="20"/>
              </w:rPr>
              <w:t>13</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tabs>
                <w:tab w:pos="403" w:val="left" w:leader="none"/>
              </w:tabs>
              <w:spacing w:before="157"/>
              <w:ind w:right="752"/>
              <w:rPr>
                <w:b/>
                <w:sz w:val="20"/>
              </w:rPr>
            </w:pPr>
            <w:r>
              <w:rPr>
                <w:b/>
                <w:sz w:val="20"/>
              </w:rPr>
              <w:t>合</w:t>
              <w:tab/>
            </w:r>
            <w:r>
              <w:rPr>
                <w:b/>
                <w:w w:val="95"/>
                <w:sz w:val="20"/>
              </w:rPr>
              <w:t>计</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157"/>
              <w:ind w:right="97"/>
              <w:rPr>
                <w:b/>
                <w:sz w:val="20"/>
              </w:rPr>
            </w:pPr>
            <w:r>
              <w:rPr>
                <w:b/>
                <w:w w:val="95"/>
                <w:sz w:val="20"/>
              </w:rPr>
              <w:t>13</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157"/>
              <w:ind w:right="98"/>
              <w:rPr>
                <w:b/>
                <w:sz w:val="20"/>
              </w:rPr>
            </w:pPr>
            <w:r>
              <w:rPr>
                <w:b/>
                <w:w w:val="95"/>
                <w:sz w:val="20"/>
              </w:rPr>
              <w:t>13</w:t>
            </w:r>
          </w:p>
        </w:tc>
      </w:tr>
    </w:tbl>
    <w:p>
      <w:pPr>
        <w:spacing w:after="0"/>
        <w:rPr>
          <w:sz w:val="20"/>
        </w:rPr>
        <w:sectPr>
          <w:type w:val="continuous"/>
          <w:pgSz w:w="11910" w:h="16840"/>
          <w:pgMar w:top="1580" w:bottom="2100" w:left="1040" w:right="920"/>
        </w:sectPr>
      </w:pPr>
    </w:p>
    <w:p>
      <w:pPr>
        <w:pStyle w:val="BodyText"/>
        <w:rPr>
          <w:rFonts w:ascii="宋体"/>
          <w:sz w:val="20"/>
        </w:rPr>
      </w:pPr>
    </w:p>
    <w:p>
      <w:pPr>
        <w:pStyle w:val="BodyText"/>
        <w:rPr>
          <w:rFonts w:ascii="宋体"/>
          <w:sz w:val="20"/>
        </w:rPr>
      </w:pPr>
    </w:p>
    <w:p>
      <w:pPr>
        <w:pStyle w:val="BodyText"/>
        <w:spacing w:before="2"/>
        <w:rPr>
          <w:rFonts w:ascii="宋体"/>
          <w:sz w:val="18"/>
        </w:rPr>
      </w:pPr>
    </w:p>
    <w:p>
      <w:pPr>
        <w:spacing w:after="0"/>
        <w:rPr>
          <w:rFonts w:ascii="宋体"/>
          <w:sz w:val="18"/>
        </w:rPr>
        <w:sectPr>
          <w:footerReference w:type="default" r:id="rId7"/>
          <w:pgSz w:w="16840" w:h="11910" w:orient="landscape"/>
          <w:pgMar w:footer="0" w:header="0" w:top="1100" w:bottom="280" w:left="1480" w:right="1480"/>
        </w:sectPr>
      </w:pPr>
    </w:p>
    <w:p>
      <w:pPr>
        <w:spacing w:before="37"/>
        <w:ind w:left="235" w:right="0" w:firstLine="0"/>
        <w:jc w:val="left"/>
        <w:rPr>
          <w:rFonts w:ascii="微软雅黑" w:eastAsia="微软雅黑" w:hint="eastAsia"/>
          <w:sz w:val="24"/>
        </w:rPr>
      </w:pPr>
      <w:r>
        <w:rPr>
          <w:rFonts w:ascii="微软雅黑" w:eastAsia="微软雅黑" w:hint="eastAsia"/>
          <w:sz w:val="24"/>
        </w:rPr>
        <w:t>附表 8</w:t>
      </w:r>
    </w:p>
    <w:p>
      <w:pPr>
        <w:pStyle w:val="BodyText"/>
        <w:spacing w:before="14"/>
        <w:rPr>
          <w:rFonts w:ascii="微软雅黑"/>
          <w:sz w:val="38"/>
        </w:rPr>
      </w:pPr>
      <w:r>
        <w:rPr/>
        <w:br w:type="column"/>
      </w:r>
      <w:r>
        <w:rPr>
          <w:rFonts w:ascii="微软雅黑"/>
          <w:sz w:val="38"/>
        </w:rPr>
      </w:r>
    </w:p>
    <w:p>
      <w:pPr>
        <w:pStyle w:val="Heading3"/>
        <w:spacing w:before="0"/>
        <w:ind w:left="235"/>
      </w:pPr>
      <w:r>
        <w:rPr/>
        <w:t>2022 年高阳县社会保险基金预算平衡情况表</w:t>
      </w:r>
    </w:p>
    <w:p>
      <w:pPr>
        <w:spacing w:after="0"/>
        <w:sectPr>
          <w:type w:val="continuous"/>
          <w:pgSz w:w="16840" w:h="11910" w:orient="landscape"/>
          <w:pgMar w:top="1580" w:bottom="2100" w:left="1480" w:right="1480"/>
          <w:cols w:num="2" w:equalWidth="0">
            <w:col w:w="958" w:space="2218"/>
            <w:col w:w="10704"/>
          </w:cols>
        </w:sectPr>
      </w:pPr>
    </w:p>
    <w:p>
      <w:pPr>
        <w:spacing w:before="96" w:after="20"/>
        <w:ind w:left="0" w:right="229" w:firstLine="0"/>
        <w:jc w:val="right"/>
        <w:rPr>
          <w:rFonts w:ascii="宋体" w:eastAsia="宋体" w:hint="eastAsia"/>
          <w:sz w:val="21"/>
        </w:rPr>
      </w:pPr>
      <w:r>
        <w:rPr>
          <w:rFonts w:ascii="宋体" w:eastAsia="宋体" w:hint="eastAsia"/>
          <w:sz w:val="21"/>
        </w:rPr>
        <w:t>单位：万元</w:t>
      </w:r>
    </w:p>
    <w:tbl>
      <w:tblPr>
        <w:tblW w:w="0" w:type="auto"/>
        <w:jc w:val="left"/>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80"/>
        <w:gridCol w:w="2253"/>
        <w:gridCol w:w="2268"/>
        <w:gridCol w:w="2268"/>
        <w:gridCol w:w="2253"/>
      </w:tblGrid>
      <w:tr>
        <w:trPr>
          <w:trHeight w:val="405" w:hRule="atLeast"/>
        </w:trPr>
        <w:tc>
          <w:tcPr>
            <w:tcW w:w="4580" w:type="dxa"/>
          </w:tcPr>
          <w:p>
            <w:pPr>
              <w:pStyle w:val="TableParagraph"/>
              <w:tabs>
                <w:tab w:pos="499" w:val="left" w:leader="none"/>
              </w:tabs>
              <w:spacing w:line="292" w:lineRule="exact" w:before="93"/>
              <w:ind w:left="16"/>
              <w:jc w:val="center"/>
              <w:rPr>
                <w:b/>
                <w:sz w:val="24"/>
              </w:rPr>
            </w:pPr>
            <w:r>
              <w:rPr>
                <w:b/>
                <w:sz w:val="24"/>
              </w:rPr>
              <w:t>项</w:t>
              <w:tab/>
              <w:t>目</w:t>
            </w:r>
          </w:p>
        </w:tc>
        <w:tc>
          <w:tcPr>
            <w:tcW w:w="2253" w:type="dxa"/>
          </w:tcPr>
          <w:p>
            <w:pPr>
              <w:pStyle w:val="TableParagraph"/>
              <w:spacing w:line="292" w:lineRule="exact" w:before="93"/>
              <w:ind w:left="642"/>
              <w:jc w:val="left"/>
              <w:rPr>
                <w:b/>
                <w:sz w:val="24"/>
              </w:rPr>
            </w:pPr>
            <w:r>
              <w:rPr>
                <w:b/>
                <w:sz w:val="24"/>
              </w:rPr>
              <w:t>上年结余</w:t>
            </w:r>
          </w:p>
        </w:tc>
        <w:tc>
          <w:tcPr>
            <w:tcW w:w="2268" w:type="dxa"/>
          </w:tcPr>
          <w:p>
            <w:pPr>
              <w:pStyle w:val="TableParagraph"/>
              <w:spacing w:line="292" w:lineRule="exact" w:before="93"/>
              <w:ind w:left="651"/>
              <w:jc w:val="left"/>
              <w:rPr>
                <w:b/>
                <w:sz w:val="24"/>
              </w:rPr>
            </w:pPr>
            <w:r>
              <w:rPr>
                <w:b/>
                <w:sz w:val="24"/>
              </w:rPr>
              <w:t>本年收入</w:t>
            </w:r>
          </w:p>
        </w:tc>
        <w:tc>
          <w:tcPr>
            <w:tcW w:w="2268" w:type="dxa"/>
          </w:tcPr>
          <w:p>
            <w:pPr>
              <w:pStyle w:val="TableParagraph"/>
              <w:spacing w:line="292" w:lineRule="exact" w:before="93"/>
              <w:ind w:left="651"/>
              <w:jc w:val="left"/>
              <w:rPr>
                <w:b/>
                <w:sz w:val="24"/>
              </w:rPr>
            </w:pPr>
            <w:r>
              <w:rPr>
                <w:b/>
                <w:sz w:val="24"/>
              </w:rPr>
              <w:t>本年支出</w:t>
            </w:r>
          </w:p>
        </w:tc>
        <w:tc>
          <w:tcPr>
            <w:tcW w:w="2253" w:type="dxa"/>
          </w:tcPr>
          <w:p>
            <w:pPr>
              <w:pStyle w:val="TableParagraph"/>
              <w:spacing w:line="292" w:lineRule="exact" w:before="93"/>
              <w:ind w:left="644"/>
              <w:jc w:val="left"/>
              <w:rPr>
                <w:b/>
                <w:sz w:val="24"/>
              </w:rPr>
            </w:pPr>
            <w:r>
              <w:rPr>
                <w:b/>
                <w:sz w:val="24"/>
              </w:rPr>
              <w:t>滚存结余</w:t>
            </w:r>
          </w:p>
        </w:tc>
      </w:tr>
      <w:tr>
        <w:trPr>
          <w:trHeight w:val="404" w:hRule="atLeast"/>
        </w:trPr>
        <w:tc>
          <w:tcPr>
            <w:tcW w:w="4580" w:type="dxa"/>
          </w:tcPr>
          <w:p>
            <w:pPr>
              <w:pStyle w:val="TableParagraph"/>
              <w:tabs>
                <w:tab w:pos="499" w:val="left" w:leader="none"/>
              </w:tabs>
              <w:spacing w:line="292" w:lineRule="exact" w:before="93"/>
              <w:ind w:left="16"/>
              <w:jc w:val="center"/>
              <w:rPr>
                <w:b/>
                <w:sz w:val="24"/>
              </w:rPr>
            </w:pPr>
            <w:r>
              <w:rPr>
                <w:b/>
                <w:sz w:val="24"/>
              </w:rPr>
              <w:t>合</w:t>
              <w:tab/>
              <w:t>计</w:t>
            </w:r>
          </w:p>
        </w:tc>
        <w:tc>
          <w:tcPr>
            <w:tcW w:w="2253" w:type="dxa"/>
          </w:tcPr>
          <w:p>
            <w:pPr>
              <w:pStyle w:val="TableParagraph"/>
              <w:spacing w:line="292" w:lineRule="exact" w:before="93"/>
              <w:ind w:right="86"/>
              <w:rPr>
                <w:b/>
                <w:sz w:val="24"/>
              </w:rPr>
            </w:pPr>
            <w:r>
              <w:rPr>
                <w:b/>
                <w:w w:val="95"/>
                <w:sz w:val="24"/>
              </w:rPr>
              <w:t>23963</w:t>
            </w:r>
          </w:p>
        </w:tc>
        <w:tc>
          <w:tcPr>
            <w:tcW w:w="2268" w:type="dxa"/>
          </w:tcPr>
          <w:p>
            <w:pPr>
              <w:pStyle w:val="TableParagraph"/>
              <w:spacing w:line="292" w:lineRule="exact" w:before="93"/>
              <w:ind w:right="85"/>
              <w:rPr>
                <w:b/>
                <w:sz w:val="24"/>
              </w:rPr>
            </w:pPr>
            <w:r>
              <w:rPr>
                <w:b/>
                <w:w w:val="95"/>
                <w:sz w:val="24"/>
              </w:rPr>
              <w:t>37186</w:t>
            </w:r>
          </w:p>
        </w:tc>
        <w:tc>
          <w:tcPr>
            <w:tcW w:w="2268" w:type="dxa"/>
          </w:tcPr>
          <w:p>
            <w:pPr>
              <w:pStyle w:val="TableParagraph"/>
              <w:spacing w:line="292" w:lineRule="exact" w:before="93"/>
              <w:ind w:right="85"/>
              <w:rPr>
                <w:b/>
                <w:sz w:val="24"/>
              </w:rPr>
            </w:pPr>
            <w:r>
              <w:rPr>
                <w:b/>
                <w:w w:val="95"/>
                <w:sz w:val="24"/>
              </w:rPr>
              <w:t>28590</w:t>
            </w:r>
          </w:p>
        </w:tc>
        <w:tc>
          <w:tcPr>
            <w:tcW w:w="2253" w:type="dxa"/>
          </w:tcPr>
          <w:p>
            <w:pPr>
              <w:pStyle w:val="TableParagraph"/>
              <w:spacing w:line="292" w:lineRule="exact" w:before="93"/>
              <w:ind w:right="84"/>
              <w:rPr>
                <w:b/>
                <w:sz w:val="24"/>
              </w:rPr>
            </w:pPr>
            <w:r>
              <w:rPr>
                <w:b/>
                <w:w w:val="95"/>
                <w:sz w:val="24"/>
              </w:rPr>
              <w:t>32559</w:t>
            </w:r>
          </w:p>
        </w:tc>
      </w:tr>
      <w:tr>
        <w:trPr>
          <w:trHeight w:val="407" w:hRule="atLeast"/>
        </w:trPr>
        <w:tc>
          <w:tcPr>
            <w:tcW w:w="4580" w:type="dxa"/>
          </w:tcPr>
          <w:p>
            <w:pPr>
              <w:pStyle w:val="TableParagraph"/>
              <w:spacing w:line="292" w:lineRule="exact" w:before="95"/>
              <w:ind w:left="348"/>
              <w:jc w:val="left"/>
              <w:rPr>
                <w:sz w:val="24"/>
              </w:rPr>
            </w:pPr>
            <w:r>
              <w:rPr>
                <w:sz w:val="24"/>
              </w:rPr>
              <w:t>一、机关事业单位养老保险基金</w:t>
            </w:r>
          </w:p>
        </w:tc>
        <w:tc>
          <w:tcPr>
            <w:tcW w:w="2253" w:type="dxa"/>
          </w:tcPr>
          <w:p>
            <w:pPr>
              <w:pStyle w:val="TableParagraph"/>
              <w:spacing w:line="292" w:lineRule="exact" w:before="95"/>
              <w:ind w:right="85"/>
              <w:rPr>
                <w:sz w:val="24"/>
              </w:rPr>
            </w:pPr>
            <w:r>
              <w:rPr>
                <w:sz w:val="24"/>
              </w:rPr>
              <w:t>-2805</w:t>
            </w:r>
          </w:p>
        </w:tc>
        <w:tc>
          <w:tcPr>
            <w:tcW w:w="2268" w:type="dxa"/>
          </w:tcPr>
          <w:p>
            <w:pPr>
              <w:pStyle w:val="TableParagraph"/>
              <w:spacing w:line="292" w:lineRule="exact" w:before="95"/>
              <w:ind w:right="85"/>
              <w:rPr>
                <w:sz w:val="24"/>
              </w:rPr>
            </w:pPr>
            <w:r>
              <w:rPr>
                <w:sz w:val="24"/>
              </w:rPr>
              <w:t>25148</w:t>
            </w:r>
          </w:p>
        </w:tc>
        <w:tc>
          <w:tcPr>
            <w:tcW w:w="2268" w:type="dxa"/>
          </w:tcPr>
          <w:p>
            <w:pPr>
              <w:pStyle w:val="TableParagraph"/>
              <w:spacing w:line="292" w:lineRule="exact" w:before="95"/>
              <w:ind w:right="84"/>
              <w:rPr>
                <w:sz w:val="24"/>
              </w:rPr>
            </w:pPr>
            <w:r>
              <w:rPr>
                <w:sz w:val="24"/>
              </w:rPr>
              <w:t>20449</w:t>
            </w:r>
          </w:p>
        </w:tc>
        <w:tc>
          <w:tcPr>
            <w:tcW w:w="2253" w:type="dxa"/>
          </w:tcPr>
          <w:p>
            <w:pPr>
              <w:pStyle w:val="TableParagraph"/>
              <w:spacing w:line="292" w:lineRule="exact" w:before="95"/>
              <w:ind w:right="85"/>
              <w:rPr>
                <w:sz w:val="24"/>
              </w:rPr>
            </w:pPr>
            <w:r>
              <w:rPr>
                <w:sz w:val="24"/>
              </w:rPr>
              <w:t>1894</w:t>
            </w:r>
          </w:p>
        </w:tc>
      </w:tr>
      <w:tr>
        <w:trPr>
          <w:trHeight w:val="404" w:hRule="atLeast"/>
        </w:trPr>
        <w:tc>
          <w:tcPr>
            <w:tcW w:w="4580" w:type="dxa"/>
          </w:tcPr>
          <w:p>
            <w:pPr>
              <w:pStyle w:val="TableParagraph"/>
              <w:spacing w:line="292" w:lineRule="exact" w:before="93"/>
              <w:ind w:left="348"/>
              <w:jc w:val="left"/>
              <w:rPr>
                <w:sz w:val="24"/>
              </w:rPr>
            </w:pPr>
            <w:r>
              <w:rPr>
                <w:sz w:val="24"/>
              </w:rPr>
              <w:t>二、城乡居民基本养老保险基金</w:t>
            </w:r>
          </w:p>
        </w:tc>
        <w:tc>
          <w:tcPr>
            <w:tcW w:w="2253" w:type="dxa"/>
          </w:tcPr>
          <w:p>
            <w:pPr>
              <w:pStyle w:val="TableParagraph"/>
              <w:spacing w:line="292" w:lineRule="exact" w:before="93"/>
              <w:ind w:right="85"/>
              <w:rPr>
                <w:sz w:val="24"/>
              </w:rPr>
            </w:pPr>
            <w:r>
              <w:rPr>
                <w:sz w:val="24"/>
              </w:rPr>
              <w:t>26768</w:t>
            </w:r>
          </w:p>
        </w:tc>
        <w:tc>
          <w:tcPr>
            <w:tcW w:w="2268" w:type="dxa"/>
          </w:tcPr>
          <w:p>
            <w:pPr>
              <w:pStyle w:val="TableParagraph"/>
              <w:spacing w:line="292" w:lineRule="exact" w:before="93"/>
              <w:ind w:right="85"/>
              <w:rPr>
                <w:sz w:val="24"/>
              </w:rPr>
            </w:pPr>
            <w:r>
              <w:rPr>
                <w:sz w:val="24"/>
              </w:rPr>
              <w:t>12038</w:t>
            </w:r>
          </w:p>
        </w:tc>
        <w:tc>
          <w:tcPr>
            <w:tcW w:w="2268" w:type="dxa"/>
          </w:tcPr>
          <w:p>
            <w:pPr>
              <w:pStyle w:val="TableParagraph"/>
              <w:spacing w:line="292" w:lineRule="exact" w:before="93"/>
              <w:ind w:right="84"/>
              <w:rPr>
                <w:sz w:val="24"/>
              </w:rPr>
            </w:pPr>
            <w:r>
              <w:rPr>
                <w:sz w:val="24"/>
              </w:rPr>
              <w:t>8141</w:t>
            </w:r>
          </w:p>
        </w:tc>
        <w:tc>
          <w:tcPr>
            <w:tcW w:w="2253" w:type="dxa"/>
          </w:tcPr>
          <w:p>
            <w:pPr>
              <w:pStyle w:val="TableParagraph"/>
              <w:spacing w:line="292" w:lineRule="exact" w:before="93"/>
              <w:ind w:right="85"/>
              <w:rPr>
                <w:sz w:val="24"/>
              </w:rPr>
            </w:pPr>
            <w:r>
              <w:rPr>
                <w:sz w:val="24"/>
              </w:rPr>
              <w:t>30665</w:t>
            </w:r>
          </w:p>
        </w:tc>
      </w:tr>
    </w:tbl>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2"/>
        <w:rPr>
          <w:rFonts w:ascii="宋体"/>
          <w:sz w:val="20"/>
        </w:rPr>
      </w:pPr>
    </w:p>
    <w:p>
      <w:pPr>
        <w:spacing w:before="0"/>
        <w:ind w:left="6831" w:right="6829" w:firstLine="0"/>
        <w:jc w:val="center"/>
        <w:rPr>
          <w:rFonts w:ascii="Times New Roman"/>
          <w:sz w:val="18"/>
        </w:rPr>
      </w:pPr>
      <w:r>
        <w:rPr>
          <w:rFonts w:ascii="Times New Roman"/>
          <w:sz w:val="18"/>
        </w:rPr>
        <w:t>27</w:t>
      </w:r>
    </w:p>
    <w:p>
      <w:pPr>
        <w:spacing w:after="0"/>
        <w:jc w:val="center"/>
        <w:rPr>
          <w:rFonts w:ascii="Times New Roman"/>
          <w:sz w:val="18"/>
        </w:rPr>
        <w:sectPr>
          <w:type w:val="continuous"/>
          <w:pgSz w:w="16840" w:h="11910" w:orient="landscape"/>
          <w:pgMar w:top="1580" w:bottom="2100" w:left="1480" w:right="148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7"/>
        </w:rPr>
      </w:pPr>
    </w:p>
    <w:p>
      <w:pPr>
        <w:pStyle w:val="Heading1"/>
      </w:pPr>
      <w:r>
        <w:rPr/>
        <w:t>2023 年高阳县预算</w:t>
      </w:r>
    </w:p>
    <w:p>
      <w:pPr>
        <w:spacing w:line="926" w:lineRule="exact" w:before="0"/>
        <w:ind w:left="0" w:right="138" w:firstLine="0"/>
        <w:jc w:val="center"/>
        <w:rPr>
          <w:rFonts w:ascii="微软雅黑" w:eastAsia="微软雅黑" w:hint="eastAsia"/>
          <w:b/>
          <w:sz w:val="52"/>
        </w:rPr>
      </w:pPr>
      <w:r>
        <w:rPr>
          <w:rFonts w:ascii="微软雅黑" w:eastAsia="微软雅黑" w:hint="eastAsia"/>
          <w:b/>
          <w:sz w:val="52"/>
        </w:rPr>
        <w:t>（草案）</w:t>
      </w:r>
    </w:p>
    <w:p>
      <w:pPr>
        <w:pStyle w:val="BodyText"/>
        <w:rPr>
          <w:rFonts w:ascii="微软雅黑"/>
          <w:b/>
          <w:sz w:val="68"/>
        </w:rPr>
      </w:pPr>
    </w:p>
    <w:p>
      <w:pPr>
        <w:pStyle w:val="BodyText"/>
        <w:rPr>
          <w:rFonts w:ascii="微软雅黑"/>
          <w:b/>
          <w:sz w:val="68"/>
        </w:rPr>
      </w:pPr>
    </w:p>
    <w:p>
      <w:pPr>
        <w:pStyle w:val="BodyText"/>
        <w:rPr>
          <w:rFonts w:ascii="微软雅黑"/>
          <w:b/>
          <w:sz w:val="68"/>
        </w:rPr>
      </w:pPr>
    </w:p>
    <w:p>
      <w:pPr>
        <w:pStyle w:val="BodyText"/>
        <w:rPr>
          <w:rFonts w:ascii="微软雅黑"/>
          <w:b/>
          <w:sz w:val="68"/>
        </w:rPr>
      </w:pPr>
    </w:p>
    <w:p>
      <w:pPr>
        <w:pStyle w:val="BodyText"/>
        <w:spacing w:before="9"/>
        <w:rPr>
          <w:rFonts w:ascii="微软雅黑"/>
          <w:b/>
          <w:sz w:val="98"/>
        </w:rPr>
      </w:pPr>
    </w:p>
    <w:p>
      <w:pPr>
        <w:pStyle w:val="Heading4"/>
        <w:ind w:left="0" w:right="145"/>
        <w:jc w:val="center"/>
      </w:pPr>
      <w:r>
        <w:rPr/>
        <w:t>2023</w:t>
      </w:r>
      <w:r>
        <w:rPr>
          <w:spacing w:val="-55"/>
        </w:rPr>
        <w:t> 年 </w:t>
      </w:r>
      <w:r>
        <w:rPr/>
        <w:t>1</w:t>
      </w:r>
      <w:r>
        <w:rPr>
          <w:spacing w:val="-42"/>
        </w:rPr>
        <w:t> 月</w:t>
      </w:r>
    </w:p>
    <w:p>
      <w:pPr>
        <w:spacing w:after="0"/>
        <w:jc w:val="center"/>
        <w:sectPr>
          <w:footerReference w:type="default" r:id="rId8"/>
          <w:pgSz w:w="11910" w:h="16850"/>
          <w:pgMar w:footer="1561" w:header="0" w:top="1600" w:bottom="1760" w:left="1360" w:right="1100"/>
          <w:pgNumType w:start="28"/>
        </w:sectPr>
      </w:pPr>
    </w:p>
    <w:p>
      <w:pPr>
        <w:pStyle w:val="BodyText"/>
        <w:rPr>
          <w:rFonts w:ascii="楷体_GB2312"/>
          <w:b/>
          <w:sz w:val="20"/>
        </w:rPr>
      </w:pPr>
    </w:p>
    <w:p>
      <w:pPr>
        <w:pStyle w:val="BodyText"/>
        <w:rPr>
          <w:rFonts w:ascii="楷体_GB2312"/>
          <w:b/>
          <w:sz w:val="20"/>
        </w:rPr>
      </w:pPr>
    </w:p>
    <w:p>
      <w:pPr>
        <w:pStyle w:val="BodyText"/>
        <w:spacing w:before="10"/>
        <w:rPr>
          <w:rFonts w:ascii="楷体_GB2312"/>
          <w:b/>
          <w:sz w:val="26"/>
        </w:rPr>
      </w:pPr>
    </w:p>
    <w:p>
      <w:pPr>
        <w:tabs>
          <w:tab w:pos="1080" w:val="left" w:leader="none"/>
        </w:tabs>
        <w:spacing w:before="6"/>
        <w:ind w:left="0" w:right="142" w:firstLine="0"/>
        <w:jc w:val="center"/>
        <w:rPr>
          <w:rFonts w:ascii="微软雅黑" w:eastAsia="微软雅黑" w:hint="eastAsia"/>
          <w:b/>
          <w:sz w:val="36"/>
        </w:rPr>
      </w:pPr>
      <w:r>
        <w:rPr>
          <w:rFonts w:ascii="微软雅黑" w:eastAsia="微软雅黑" w:hint="eastAsia"/>
          <w:b/>
          <w:sz w:val="36"/>
        </w:rPr>
        <w:t>目</w:t>
        <w:tab/>
        <w:t>录</w:t>
      </w:r>
    </w:p>
    <w:p>
      <w:pPr>
        <w:pStyle w:val="BodyText"/>
        <w:spacing w:before="12"/>
        <w:rPr>
          <w:rFonts w:ascii="微软雅黑"/>
          <w:b/>
          <w:sz w:val="21"/>
        </w:rPr>
      </w:pPr>
    </w:p>
    <w:p>
      <w:pPr>
        <w:spacing w:before="61"/>
        <w:ind w:left="229" w:right="0" w:firstLine="0"/>
        <w:jc w:val="left"/>
        <w:rPr>
          <w:rFonts w:ascii="宋体" w:eastAsia="宋体" w:hint="eastAsia"/>
          <w:b/>
          <w:sz w:val="28"/>
        </w:rPr>
      </w:pPr>
      <w:r>
        <w:rPr>
          <w:rFonts w:ascii="宋体" w:eastAsia="宋体" w:hint="eastAsia"/>
          <w:b/>
          <w:sz w:val="28"/>
        </w:rPr>
        <w:t>前言</w:t>
      </w:r>
    </w:p>
    <w:p>
      <w:pPr>
        <w:tabs>
          <w:tab w:pos="649" w:val="left" w:leader="none"/>
        </w:tabs>
        <w:spacing w:before="186"/>
        <w:ind w:left="229" w:right="0" w:firstLine="0"/>
        <w:jc w:val="left"/>
        <w:rPr>
          <w:rFonts w:ascii="宋体" w:eastAsia="宋体" w:hint="eastAsia"/>
          <w:sz w:val="28"/>
        </w:rPr>
      </w:pPr>
      <w:r>
        <w:rPr>
          <w:rFonts w:ascii="Times New Roman" w:eastAsia="Times New Roman"/>
          <w:sz w:val="28"/>
        </w:rPr>
        <w:t>1</w:t>
        <w:tab/>
      </w:r>
      <w:r>
        <w:rPr>
          <w:rFonts w:ascii="宋体" w:eastAsia="宋体" w:hint="eastAsia"/>
          <w:spacing w:val="-1"/>
          <w:sz w:val="28"/>
        </w:rPr>
        <w:t>预算安排的原则</w:t>
      </w:r>
    </w:p>
    <w:p>
      <w:pPr>
        <w:pStyle w:val="BodyText"/>
        <w:spacing w:before="7"/>
        <w:rPr>
          <w:rFonts w:ascii="宋体"/>
          <w:sz w:val="33"/>
        </w:rPr>
      </w:pPr>
    </w:p>
    <w:p>
      <w:pPr>
        <w:spacing w:before="0"/>
        <w:ind w:left="229" w:right="0" w:firstLine="0"/>
        <w:jc w:val="left"/>
        <w:rPr>
          <w:rFonts w:ascii="宋体" w:eastAsia="宋体" w:hint="eastAsia"/>
          <w:b/>
          <w:sz w:val="28"/>
        </w:rPr>
      </w:pPr>
      <w:r>
        <w:rPr>
          <w:rFonts w:ascii="宋体" w:eastAsia="宋体" w:hint="eastAsia"/>
          <w:b/>
          <w:sz w:val="28"/>
        </w:rPr>
        <w:t>第一部分 </w:t>
      </w:r>
      <w:r>
        <w:rPr>
          <w:rFonts w:ascii="Times New Roman" w:eastAsia="Times New Roman"/>
          <w:b/>
          <w:sz w:val="28"/>
        </w:rPr>
        <w:t>2023 </w:t>
      </w:r>
      <w:r>
        <w:rPr>
          <w:rFonts w:ascii="宋体" w:eastAsia="宋体" w:hint="eastAsia"/>
          <w:b/>
          <w:sz w:val="28"/>
        </w:rPr>
        <w:t>年高阳县一般公共预算（草案）</w:t>
      </w:r>
    </w:p>
    <w:p>
      <w:pPr>
        <w:pStyle w:val="ListParagraph"/>
        <w:numPr>
          <w:ilvl w:val="0"/>
          <w:numId w:val="4"/>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高阳县一般公共收支预算平衡表</w:t>
      </w:r>
    </w:p>
    <w:p>
      <w:pPr>
        <w:pStyle w:val="ListParagraph"/>
        <w:numPr>
          <w:ilvl w:val="0"/>
          <w:numId w:val="4"/>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高阳县一般公共收支预算情况说明</w:t>
      </w:r>
    </w:p>
    <w:p>
      <w:pPr>
        <w:pStyle w:val="ListParagraph"/>
        <w:numPr>
          <w:ilvl w:val="0"/>
          <w:numId w:val="4"/>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2"/>
          <w:sz w:val="28"/>
        </w:rPr>
        <w:t>高阳县一般公共收入预算</w:t>
      </w:r>
    </w:p>
    <w:p>
      <w:pPr>
        <w:pStyle w:val="ListParagraph"/>
        <w:numPr>
          <w:ilvl w:val="0"/>
          <w:numId w:val="4"/>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2"/>
          <w:sz w:val="28"/>
        </w:rPr>
        <w:t>高阳县一般公共支出预算</w:t>
      </w:r>
    </w:p>
    <w:p>
      <w:pPr>
        <w:pStyle w:val="BodyText"/>
        <w:rPr>
          <w:rFonts w:ascii="宋体"/>
          <w:sz w:val="30"/>
        </w:rPr>
      </w:pPr>
    </w:p>
    <w:p>
      <w:pPr>
        <w:pStyle w:val="BodyText"/>
        <w:spacing w:before="2"/>
        <w:rPr>
          <w:rFonts w:ascii="宋体"/>
          <w:sz w:val="22"/>
        </w:rPr>
      </w:pPr>
    </w:p>
    <w:p>
      <w:pPr>
        <w:spacing w:before="1"/>
        <w:ind w:left="229" w:right="0" w:firstLine="0"/>
        <w:jc w:val="left"/>
        <w:rPr>
          <w:rFonts w:ascii="宋体" w:eastAsia="宋体" w:hint="eastAsia"/>
          <w:b/>
          <w:sz w:val="28"/>
        </w:rPr>
      </w:pPr>
      <w:r>
        <w:rPr>
          <w:rFonts w:ascii="宋体" w:eastAsia="宋体" w:hint="eastAsia"/>
          <w:b/>
          <w:sz w:val="28"/>
        </w:rPr>
        <w:t>第二部分 </w:t>
      </w:r>
      <w:r>
        <w:rPr>
          <w:rFonts w:ascii="Times New Roman" w:eastAsia="Times New Roman"/>
          <w:b/>
          <w:sz w:val="28"/>
        </w:rPr>
        <w:t>2023 </w:t>
      </w:r>
      <w:r>
        <w:rPr>
          <w:rFonts w:ascii="宋体" w:eastAsia="宋体" w:hint="eastAsia"/>
          <w:b/>
          <w:sz w:val="28"/>
        </w:rPr>
        <w:t>年高阳县政府性基金预算（草案）</w:t>
      </w:r>
    </w:p>
    <w:p>
      <w:pPr>
        <w:pStyle w:val="ListParagraph"/>
        <w:numPr>
          <w:ilvl w:val="0"/>
          <w:numId w:val="5"/>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高阳县政府性基金收支预算平衡表</w:t>
      </w:r>
    </w:p>
    <w:p>
      <w:pPr>
        <w:pStyle w:val="ListParagraph"/>
        <w:numPr>
          <w:ilvl w:val="0"/>
          <w:numId w:val="5"/>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高阳县政府性基金收支预算情况说明</w:t>
      </w:r>
    </w:p>
    <w:p>
      <w:pPr>
        <w:pStyle w:val="ListParagraph"/>
        <w:numPr>
          <w:ilvl w:val="0"/>
          <w:numId w:val="5"/>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高阳县政府性基金收入预算</w:t>
      </w:r>
    </w:p>
    <w:p>
      <w:pPr>
        <w:pStyle w:val="ListParagraph"/>
        <w:numPr>
          <w:ilvl w:val="0"/>
          <w:numId w:val="5"/>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高阳县政府性基金支出预算</w:t>
      </w:r>
    </w:p>
    <w:p>
      <w:pPr>
        <w:pStyle w:val="BodyText"/>
        <w:rPr>
          <w:rFonts w:ascii="宋体"/>
          <w:sz w:val="30"/>
        </w:rPr>
      </w:pPr>
    </w:p>
    <w:p>
      <w:pPr>
        <w:pStyle w:val="BodyText"/>
        <w:spacing w:before="2"/>
        <w:rPr>
          <w:rFonts w:ascii="宋体"/>
          <w:sz w:val="22"/>
        </w:rPr>
      </w:pPr>
    </w:p>
    <w:p>
      <w:pPr>
        <w:spacing w:before="1"/>
        <w:ind w:left="229" w:right="0" w:firstLine="0"/>
        <w:jc w:val="left"/>
        <w:rPr>
          <w:rFonts w:ascii="宋体" w:eastAsia="宋体" w:hint="eastAsia"/>
          <w:b/>
          <w:sz w:val="28"/>
        </w:rPr>
      </w:pPr>
      <w:r>
        <w:rPr>
          <w:rFonts w:ascii="宋体" w:eastAsia="宋体" w:hint="eastAsia"/>
          <w:b/>
          <w:sz w:val="28"/>
        </w:rPr>
        <w:t>第三部分 </w:t>
      </w:r>
      <w:r>
        <w:rPr>
          <w:rFonts w:ascii="Times New Roman" w:eastAsia="Times New Roman"/>
          <w:b/>
          <w:sz w:val="28"/>
        </w:rPr>
        <w:t>2023 </w:t>
      </w:r>
      <w:r>
        <w:rPr>
          <w:rFonts w:ascii="宋体" w:eastAsia="宋体" w:hint="eastAsia"/>
          <w:b/>
          <w:sz w:val="28"/>
        </w:rPr>
        <w:t>年高阳县国有资本经营预算（草案）</w:t>
      </w:r>
    </w:p>
    <w:p>
      <w:pPr>
        <w:pStyle w:val="ListParagraph"/>
        <w:numPr>
          <w:ilvl w:val="0"/>
          <w:numId w:val="6"/>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高阳县国有资本经营预算平衡表</w:t>
      </w:r>
    </w:p>
    <w:p>
      <w:pPr>
        <w:pStyle w:val="ListParagraph"/>
        <w:numPr>
          <w:ilvl w:val="0"/>
          <w:numId w:val="6"/>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高阳县国有资本经营收支预算情况说明</w:t>
      </w:r>
    </w:p>
    <w:p>
      <w:pPr>
        <w:pStyle w:val="ListParagraph"/>
        <w:numPr>
          <w:ilvl w:val="0"/>
          <w:numId w:val="6"/>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高阳县国有资本经营收入预算</w:t>
      </w:r>
    </w:p>
    <w:p>
      <w:pPr>
        <w:pStyle w:val="ListParagraph"/>
        <w:numPr>
          <w:ilvl w:val="0"/>
          <w:numId w:val="6"/>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高阳县国有资本经营支出预算</w:t>
      </w:r>
    </w:p>
    <w:p>
      <w:pPr>
        <w:spacing w:after="0" w:line="240" w:lineRule="auto"/>
        <w:jc w:val="left"/>
        <w:rPr>
          <w:rFonts w:ascii="宋体" w:eastAsia="宋体" w:hint="eastAsia"/>
          <w:sz w:val="28"/>
        </w:rPr>
        <w:sectPr>
          <w:pgSz w:w="11910" w:h="16850"/>
          <w:pgMar w:header="0" w:footer="1561" w:top="1600" w:bottom="1760" w:left="1360" w:right="1100"/>
        </w:sectPr>
      </w:pPr>
    </w:p>
    <w:p>
      <w:pPr>
        <w:pStyle w:val="BodyText"/>
        <w:spacing w:before="7"/>
        <w:rPr>
          <w:rFonts w:ascii="宋体"/>
          <w:sz w:val="15"/>
        </w:rPr>
      </w:pPr>
    </w:p>
    <w:p>
      <w:pPr>
        <w:spacing w:before="71"/>
        <w:ind w:left="229" w:right="0" w:firstLine="0"/>
        <w:jc w:val="left"/>
        <w:rPr>
          <w:rFonts w:ascii="宋体" w:eastAsia="宋体" w:hint="eastAsia"/>
          <w:b/>
          <w:sz w:val="28"/>
        </w:rPr>
      </w:pPr>
      <w:r>
        <w:rPr>
          <w:rFonts w:ascii="宋体" w:eastAsia="宋体" w:hint="eastAsia"/>
          <w:b/>
          <w:sz w:val="28"/>
        </w:rPr>
        <w:t>第四部分 </w:t>
      </w:r>
      <w:r>
        <w:rPr>
          <w:rFonts w:ascii="Times New Roman" w:eastAsia="Times New Roman"/>
          <w:b/>
          <w:sz w:val="28"/>
        </w:rPr>
        <w:t>2023 </w:t>
      </w:r>
      <w:r>
        <w:rPr>
          <w:rFonts w:ascii="宋体" w:eastAsia="宋体" w:hint="eastAsia"/>
          <w:b/>
          <w:sz w:val="28"/>
        </w:rPr>
        <w:t>年高阳县社会保险基金预算（草案）</w:t>
      </w:r>
    </w:p>
    <w:p>
      <w:pPr>
        <w:pStyle w:val="ListParagraph"/>
        <w:numPr>
          <w:ilvl w:val="0"/>
          <w:numId w:val="7"/>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高阳县社会保险基金预算平衡表</w:t>
      </w:r>
    </w:p>
    <w:p>
      <w:pPr>
        <w:pStyle w:val="ListParagraph"/>
        <w:numPr>
          <w:ilvl w:val="0"/>
          <w:numId w:val="7"/>
        </w:numPr>
        <w:tabs>
          <w:tab w:pos="649" w:val="left" w:leader="none"/>
          <w:tab w:pos="650" w:val="left" w:leader="none"/>
        </w:tabs>
        <w:spacing w:line="240" w:lineRule="auto" w:before="183" w:after="0"/>
        <w:ind w:left="649" w:right="0" w:hanging="421"/>
        <w:jc w:val="left"/>
        <w:rPr>
          <w:rFonts w:ascii="宋体" w:eastAsia="宋体" w:hint="eastAsia"/>
          <w:sz w:val="28"/>
        </w:rPr>
      </w:pPr>
      <w:r>
        <w:rPr>
          <w:rFonts w:ascii="宋体" w:eastAsia="宋体" w:hint="eastAsia"/>
          <w:spacing w:val="-3"/>
          <w:sz w:val="28"/>
        </w:rPr>
        <w:t>高阳县社会保险基金收支预算情况说明</w:t>
      </w:r>
    </w:p>
    <w:p>
      <w:pPr>
        <w:pStyle w:val="ListParagraph"/>
        <w:numPr>
          <w:ilvl w:val="0"/>
          <w:numId w:val="7"/>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高阳县社会保险基金收入预算</w:t>
      </w:r>
    </w:p>
    <w:p>
      <w:pPr>
        <w:pStyle w:val="ListParagraph"/>
        <w:numPr>
          <w:ilvl w:val="0"/>
          <w:numId w:val="7"/>
        </w:numPr>
        <w:tabs>
          <w:tab w:pos="649" w:val="left" w:leader="none"/>
          <w:tab w:pos="650" w:val="left" w:leader="none"/>
        </w:tabs>
        <w:spacing w:line="240" w:lineRule="auto" w:before="186" w:after="0"/>
        <w:ind w:left="649" w:right="0" w:hanging="421"/>
        <w:jc w:val="left"/>
        <w:rPr>
          <w:rFonts w:ascii="宋体" w:eastAsia="宋体" w:hint="eastAsia"/>
          <w:sz w:val="28"/>
        </w:rPr>
      </w:pPr>
      <w:r>
        <w:rPr>
          <w:rFonts w:ascii="宋体" w:eastAsia="宋体" w:hint="eastAsia"/>
          <w:spacing w:val="-3"/>
          <w:sz w:val="28"/>
        </w:rPr>
        <w:t>高阳县社会保险基金支出预算</w:t>
      </w:r>
    </w:p>
    <w:p>
      <w:pPr>
        <w:spacing w:after="0" w:line="240" w:lineRule="auto"/>
        <w:jc w:val="left"/>
        <w:rPr>
          <w:rFonts w:ascii="宋体" w:eastAsia="宋体" w:hint="eastAsia"/>
          <w:sz w:val="28"/>
        </w:rPr>
        <w:sectPr>
          <w:pgSz w:w="11910" w:h="16850"/>
          <w:pgMar w:header="0" w:footer="1561" w:top="1600" w:bottom="1760" w:left="1360" w:right="1100"/>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tabs>
          <w:tab w:pos="1039" w:val="left" w:leader="none"/>
        </w:tabs>
        <w:spacing w:before="102"/>
        <w:ind w:left="0" w:right="142" w:firstLine="0"/>
        <w:jc w:val="center"/>
        <w:rPr>
          <w:rFonts w:ascii="微软雅黑" w:eastAsia="微软雅黑" w:hint="eastAsia"/>
          <w:sz w:val="52"/>
        </w:rPr>
      </w:pPr>
      <w:r>
        <w:rPr>
          <w:rFonts w:ascii="微软雅黑" w:eastAsia="微软雅黑" w:hint="eastAsia"/>
          <w:sz w:val="52"/>
        </w:rPr>
        <w:t>前</w:t>
        <w:tab/>
        <w:t>言</w:t>
      </w:r>
    </w:p>
    <w:p>
      <w:pPr>
        <w:spacing w:after="0"/>
        <w:jc w:val="center"/>
        <w:rPr>
          <w:rFonts w:ascii="微软雅黑" w:eastAsia="微软雅黑" w:hint="eastAsia"/>
          <w:sz w:val="52"/>
        </w:rPr>
        <w:sectPr>
          <w:pgSz w:w="11910" w:h="16850"/>
          <w:pgMar w:header="0" w:footer="1561" w:top="1600" w:bottom="1760" w:left="1360" w:right="1100"/>
        </w:sectPr>
      </w:pPr>
    </w:p>
    <w:p>
      <w:pPr>
        <w:pStyle w:val="BodyText"/>
        <w:spacing w:before="3"/>
        <w:rPr>
          <w:rFonts w:ascii="微软雅黑"/>
          <w:sz w:val="11"/>
        </w:rPr>
      </w:pPr>
    </w:p>
    <w:p>
      <w:pPr>
        <w:pStyle w:val="Heading3"/>
        <w:ind w:left="0" w:right="143"/>
        <w:jc w:val="center"/>
      </w:pPr>
      <w:r>
        <w:rPr/>
        <w:t>预算安排的原则</w:t>
      </w:r>
    </w:p>
    <w:p>
      <w:pPr>
        <w:pStyle w:val="BodyText"/>
        <w:spacing w:line="304" w:lineRule="auto" w:before="252"/>
        <w:ind w:left="229" w:right="209" w:firstLine="640"/>
      </w:pPr>
      <w:r>
        <w:rPr>
          <w:spacing w:val="-20"/>
        </w:rPr>
        <w:t>预算安排坚持“政治引领、突出重点，积极稳妥、统筹兼顾， </w:t>
      </w:r>
      <w:r>
        <w:rPr/>
        <w:t>改革创新、科学高效，厉行节约、防控风险”的基本原则：</w:t>
      </w:r>
    </w:p>
    <w:p>
      <w:pPr>
        <w:pStyle w:val="BodyText"/>
        <w:spacing w:line="304" w:lineRule="auto"/>
        <w:ind w:left="229" w:right="212" w:firstLine="643"/>
      </w:pPr>
      <w:r>
        <w:rPr>
          <w:b/>
          <w:spacing w:val="-5"/>
        </w:rPr>
        <w:t>一是全面落实各项决策部署。</w:t>
      </w:r>
      <w:r>
        <w:rPr>
          <w:spacing w:val="-9"/>
        </w:rPr>
        <w:t>把保障中央、省市县委决策部署摆在首位，聚焦协同发展、保障雄安、疫情防控、生态治理、</w:t>
      </w:r>
      <w:r>
        <w:rPr>
          <w:spacing w:val="-20"/>
        </w:rPr>
        <w:t>乡村振兴等，全力做好重大战略、重大政策、重大项目资金保障。</w:t>
      </w:r>
    </w:p>
    <w:p>
      <w:pPr>
        <w:pStyle w:val="BodyText"/>
        <w:spacing w:line="304" w:lineRule="auto"/>
        <w:ind w:left="229" w:right="210" w:firstLine="643"/>
      </w:pPr>
      <w:r>
        <w:rPr>
          <w:b/>
          <w:spacing w:val="-4"/>
        </w:rPr>
        <w:t>二是积极的财政政策提升效能。</w:t>
      </w:r>
      <w:r>
        <w:rPr>
          <w:spacing w:val="-11"/>
        </w:rPr>
        <w:t>更加注重精准、可持续，不</w:t>
      </w:r>
      <w:r>
        <w:rPr>
          <w:spacing w:val="-16"/>
        </w:rPr>
        <w:t>折不扣落实减税降费政策，激发市场主体活力；积极争取上级支</w:t>
      </w:r>
      <w:r>
        <w:rPr>
          <w:spacing w:val="-19"/>
        </w:rPr>
        <w:t>持，管好用好债券资金，严管快用直达资金，保证财政支出强度， </w:t>
      </w:r>
      <w:r>
        <w:rPr/>
        <w:t>加快支出进度，带动有效投资。</w:t>
      </w:r>
    </w:p>
    <w:p>
      <w:pPr>
        <w:spacing w:line="304" w:lineRule="auto" w:before="0"/>
        <w:ind w:left="229" w:right="238" w:firstLine="643"/>
        <w:jc w:val="left"/>
        <w:rPr>
          <w:sz w:val="32"/>
        </w:rPr>
      </w:pPr>
      <w:r>
        <w:rPr>
          <w:b/>
          <w:sz w:val="32"/>
        </w:rPr>
        <w:t>三是着力推动高质量发展。</w:t>
      </w:r>
      <w:r>
        <w:rPr>
          <w:sz w:val="32"/>
        </w:rPr>
        <w:t>积极推进转型升级、科技创新、开放融合、绿色低碳发展，促进发展质量和效益不断提升。</w:t>
      </w:r>
    </w:p>
    <w:p>
      <w:pPr>
        <w:pStyle w:val="BodyText"/>
        <w:spacing w:line="304" w:lineRule="auto"/>
        <w:ind w:left="229" w:right="368" w:firstLine="643"/>
        <w:jc w:val="both"/>
      </w:pPr>
      <w:r>
        <w:rPr>
          <w:b/>
          <w:spacing w:val="-4"/>
        </w:rPr>
        <w:t>四是稳步推进共同富裕。</w:t>
      </w:r>
      <w:r>
        <w:rPr>
          <w:spacing w:val="-10"/>
        </w:rPr>
        <w:t>坚持尽力而为、量力而行，认真做好民生政策提标扩面资金保障，支持健全基本公共服务体系和社</w:t>
      </w:r>
      <w:r>
        <w:rPr>
          <w:spacing w:val="-11"/>
        </w:rPr>
        <w:t>会保障体系，扎实推动共同富裕，增强人民群众的获得感、幸福感、安全感。</w:t>
      </w:r>
    </w:p>
    <w:p>
      <w:pPr>
        <w:pStyle w:val="BodyText"/>
        <w:spacing w:line="304" w:lineRule="auto"/>
        <w:ind w:left="229" w:right="212" w:firstLine="643"/>
      </w:pPr>
      <w:r>
        <w:rPr>
          <w:b/>
          <w:spacing w:val="-10"/>
        </w:rPr>
        <w:t>五是牢固树立过“紧日子”思想。</w:t>
      </w:r>
      <w:r>
        <w:rPr>
          <w:spacing w:val="-4"/>
        </w:rPr>
        <w:t>充分估计困难挑战，实事</w:t>
      </w:r>
      <w:r>
        <w:rPr>
          <w:spacing w:val="-20"/>
        </w:rPr>
        <w:t>求是、科学预测，稳妥安排收入预算；坚持艰苦奋斗、勤俭节约， </w:t>
      </w:r>
      <w:r>
        <w:rPr>
          <w:spacing w:val="-10"/>
        </w:rPr>
        <w:t>严控一般性支出，继续强化“三公”经费管理，厉行节约办一切事业。</w:t>
      </w:r>
    </w:p>
    <w:p>
      <w:pPr>
        <w:pStyle w:val="BodyText"/>
        <w:spacing w:line="304" w:lineRule="auto"/>
        <w:ind w:left="229" w:right="259" w:firstLine="643"/>
        <w:jc w:val="both"/>
      </w:pPr>
      <w:r>
        <w:rPr>
          <w:b/>
          <w:spacing w:val="-5"/>
        </w:rPr>
        <w:t>六是深入贯彻财政体制改革。</w:t>
      </w:r>
      <w:r>
        <w:rPr>
          <w:spacing w:val="-9"/>
        </w:rPr>
        <w:t>把握改革方向，落实财政事权</w:t>
      </w:r>
      <w:r>
        <w:rPr>
          <w:spacing w:val="-14"/>
        </w:rPr>
        <w:t>和支出责任改革成果，掌握各类调整和管理机制，用好转移支付</w:t>
      </w:r>
      <w:r>
        <w:rPr>
          <w:spacing w:val="-13"/>
        </w:rPr>
        <w:t>政策，完善“三保”保障机制，加强债务管理，保障财政平稳运</w:t>
      </w:r>
      <w:r>
        <w:rPr>
          <w:spacing w:val="-14"/>
        </w:rPr>
        <w:t>行。全面落实深化预算管理制度改革，巩固完善绩效预算管理，</w:t>
      </w:r>
    </w:p>
    <w:p>
      <w:pPr>
        <w:spacing w:after="0" w:line="304" w:lineRule="auto"/>
        <w:jc w:val="both"/>
        <w:sectPr>
          <w:pgSz w:w="11910" w:h="16850"/>
          <w:pgMar w:header="0" w:footer="1561" w:top="1600" w:bottom="1760" w:left="1360" w:right="1100"/>
        </w:sectPr>
      </w:pPr>
    </w:p>
    <w:p>
      <w:pPr>
        <w:pStyle w:val="BodyText"/>
        <w:spacing w:before="4"/>
        <w:rPr>
          <w:sz w:val="24"/>
        </w:rPr>
      </w:pPr>
    </w:p>
    <w:p>
      <w:pPr>
        <w:pStyle w:val="BodyText"/>
        <w:spacing w:line="302" w:lineRule="auto" w:before="55"/>
        <w:ind w:left="229" w:right="374"/>
      </w:pPr>
      <w:r>
        <w:rPr>
          <w:spacing w:val="-11"/>
        </w:rPr>
        <w:t>全流程强化预算编制、执行及监督，提高预算规范化科学化水平</w:t>
      </w:r>
      <w:r>
        <w:rPr/>
        <w:t>和预算透明度。</w:t>
      </w:r>
    </w:p>
    <w:p>
      <w:pPr>
        <w:pStyle w:val="BodyText"/>
        <w:spacing w:line="304" w:lineRule="auto" w:before="6"/>
        <w:ind w:left="229" w:right="371" w:firstLine="643"/>
        <w:jc w:val="both"/>
      </w:pPr>
      <w:r>
        <w:rPr>
          <w:b/>
          <w:spacing w:val="-6"/>
        </w:rPr>
        <w:t>七是有效防控财政风险。</w:t>
      </w:r>
      <w:r>
        <w:rPr>
          <w:spacing w:val="-7"/>
        </w:rPr>
        <w:t>切实保障基层平稳运行，合理安排</w:t>
      </w:r>
      <w:r>
        <w:rPr>
          <w:spacing w:val="-11"/>
        </w:rPr>
        <w:t>新增政府债务规模，落实好还本付息资金，防范化解政府债务风</w:t>
      </w:r>
      <w:r>
        <w:rPr>
          <w:spacing w:val="-12"/>
        </w:rPr>
        <w:t>险；立足当前，着眼长远，统筹考虑未来年度增支压力，确保财</w:t>
      </w:r>
      <w:r>
        <w:rPr/>
        <w:t>政可持续发展。</w:t>
      </w:r>
    </w:p>
    <w:p>
      <w:pPr>
        <w:spacing w:after="0" w:line="304" w:lineRule="auto"/>
        <w:jc w:val="both"/>
        <w:sectPr>
          <w:pgSz w:w="11910" w:h="16850"/>
          <w:pgMar w:header="0" w:footer="1561" w:top="1600" w:bottom="1760" w:left="1360" w:right="11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6"/>
        </w:rPr>
      </w:pPr>
    </w:p>
    <w:p>
      <w:pPr>
        <w:pStyle w:val="Heading2"/>
        <w:spacing w:line="889" w:lineRule="exact"/>
      </w:pPr>
      <w:r>
        <w:rPr/>
        <w:t>第一部分</w:t>
      </w:r>
    </w:p>
    <w:p>
      <w:pPr>
        <w:spacing w:line="924" w:lineRule="exact" w:before="0"/>
        <w:ind w:left="0" w:right="139" w:firstLine="0"/>
        <w:jc w:val="center"/>
        <w:rPr>
          <w:rFonts w:ascii="微软雅黑" w:eastAsia="微软雅黑" w:hint="eastAsia"/>
          <w:sz w:val="52"/>
        </w:rPr>
      </w:pPr>
      <w:r>
        <w:rPr>
          <w:rFonts w:ascii="微软雅黑" w:eastAsia="微软雅黑" w:hint="eastAsia"/>
          <w:sz w:val="52"/>
        </w:rPr>
        <w:t>2023 年高阳县一般公共预算（草案）</w:t>
      </w:r>
    </w:p>
    <w:p>
      <w:pPr>
        <w:spacing w:after="0" w:line="924" w:lineRule="exact"/>
        <w:jc w:val="center"/>
        <w:rPr>
          <w:rFonts w:ascii="微软雅黑" w:eastAsia="微软雅黑" w:hint="eastAsia"/>
          <w:sz w:val="52"/>
        </w:rPr>
        <w:sectPr>
          <w:pgSz w:w="11910" w:h="16850"/>
          <w:pgMar w:header="0" w:footer="1561" w:top="1600" w:bottom="1760" w:left="1360" w:right="1100"/>
        </w:sectPr>
      </w:pPr>
    </w:p>
    <w:p>
      <w:pPr>
        <w:pStyle w:val="BodyText"/>
        <w:spacing w:before="7"/>
        <w:rPr>
          <w:rFonts w:ascii="微软雅黑"/>
          <w:sz w:val="13"/>
        </w:rPr>
      </w:pPr>
    </w:p>
    <w:p>
      <w:pPr>
        <w:pStyle w:val="Heading3"/>
        <w:tabs>
          <w:tab w:pos="2776" w:val="left" w:leader="none"/>
        </w:tabs>
        <w:ind w:left="2204"/>
      </w:pPr>
      <w:r>
        <w:rPr/>
        <w:t>1</w:t>
        <w:tab/>
        <w:t>高阳县一般公共预算平衡表</w:t>
      </w:r>
    </w:p>
    <w:p>
      <w:pPr>
        <w:spacing w:before="120"/>
        <w:ind w:left="0" w:right="655" w:firstLine="0"/>
        <w:jc w:val="right"/>
        <w:rPr>
          <w:rFonts w:ascii="宋体" w:eastAsia="宋体" w:hint="eastAsia"/>
          <w:sz w:val="21"/>
        </w:rPr>
      </w:pPr>
      <w:r>
        <w:rPr>
          <w:rFonts w:ascii="宋体" w:eastAsia="宋体" w:hint="eastAsia"/>
          <w:sz w:val="21"/>
        </w:rPr>
        <w:t>单位：万元</w:t>
      </w:r>
    </w:p>
    <w:p>
      <w:pPr>
        <w:pStyle w:val="BodyText"/>
        <w:spacing w:before="8"/>
        <w:rPr>
          <w:rFonts w:ascii="宋体"/>
          <w:sz w:val="11"/>
        </w:rPr>
      </w:pPr>
    </w:p>
    <w:tbl>
      <w:tblPr>
        <w:tblW w:w="0" w:type="auto"/>
        <w:jc w:val="left"/>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2"/>
        <w:gridCol w:w="1215"/>
        <w:gridCol w:w="3033"/>
        <w:gridCol w:w="1213"/>
      </w:tblGrid>
      <w:tr>
        <w:trPr>
          <w:trHeight w:val="568" w:hRule="atLeast"/>
        </w:trPr>
        <w:tc>
          <w:tcPr>
            <w:tcW w:w="4247" w:type="dxa"/>
            <w:gridSpan w:val="2"/>
          </w:tcPr>
          <w:p>
            <w:pPr>
              <w:pStyle w:val="TableParagraph"/>
              <w:tabs>
                <w:tab w:pos="1110" w:val="left" w:leader="none"/>
              </w:tabs>
              <w:spacing w:before="139"/>
              <w:ind w:left="6"/>
              <w:jc w:val="center"/>
              <w:rPr>
                <w:b/>
                <w:sz w:val="22"/>
              </w:rPr>
            </w:pPr>
            <w:r>
              <w:rPr>
                <w:b/>
                <w:sz w:val="22"/>
              </w:rPr>
              <w:t>收</w:t>
              <w:tab/>
              <w:t>入</w:t>
            </w:r>
          </w:p>
        </w:tc>
        <w:tc>
          <w:tcPr>
            <w:tcW w:w="4246" w:type="dxa"/>
            <w:gridSpan w:val="2"/>
          </w:tcPr>
          <w:p>
            <w:pPr>
              <w:pStyle w:val="TableParagraph"/>
              <w:tabs>
                <w:tab w:pos="1106" w:val="left" w:leader="none"/>
              </w:tabs>
              <w:spacing w:before="139"/>
              <w:ind w:left="1"/>
              <w:jc w:val="center"/>
              <w:rPr>
                <w:b/>
                <w:sz w:val="22"/>
              </w:rPr>
            </w:pPr>
            <w:r>
              <w:rPr>
                <w:b/>
                <w:sz w:val="22"/>
              </w:rPr>
              <w:t>支</w:t>
              <w:tab/>
              <w:t>出</w:t>
            </w:r>
          </w:p>
        </w:tc>
      </w:tr>
      <w:tr>
        <w:trPr>
          <w:trHeight w:val="566" w:hRule="atLeast"/>
        </w:trPr>
        <w:tc>
          <w:tcPr>
            <w:tcW w:w="3032" w:type="dxa"/>
          </w:tcPr>
          <w:p>
            <w:pPr>
              <w:pStyle w:val="TableParagraph"/>
              <w:tabs>
                <w:tab w:pos="447" w:val="left" w:leader="none"/>
              </w:tabs>
              <w:spacing w:before="137"/>
              <w:ind w:left="6"/>
              <w:jc w:val="center"/>
              <w:rPr>
                <w:b/>
                <w:sz w:val="22"/>
              </w:rPr>
            </w:pPr>
            <w:r>
              <w:rPr>
                <w:b/>
                <w:sz w:val="22"/>
              </w:rPr>
              <w:t>项</w:t>
              <w:tab/>
              <w:t>目</w:t>
            </w:r>
          </w:p>
        </w:tc>
        <w:tc>
          <w:tcPr>
            <w:tcW w:w="1215" w:type="dxa"/>
          </w:tcPr>
          <w:p>
            <w:pPr>
              <w:pStyle w:val="TableParagraph"/>
              <w:spacing w:before="137"/>
              <w:ind w:left="273"/>
              <w:jc w:val="left"/>
              <w:rPr>
                <w:b/>
                <w:sz w:val="22"/>
              </w:rPr>
            </w:pPr>
            <w:r>
              <w:rPr>
                <w:b/>
                <w:sz w:val="22"/>
              </w:rPr>
              <w:t>预算数</w:t>
            </w:r>
          </w:p>
        </w:tc>
        <w:tc>
          <w:tcPr>
            <w:tcW w:w="3033" w:type="dxa"/>
          </w:tcPr>
          <w:p>
            <w:pPr>
              <w:pStyle w:val="TableParagraph"/>
              <w:tabs>
                <w:tab w:pos="441" w:val="left" w:leader="none"/>
              </w:tabs>
              <w:spacing w:before="137"/>
              <w:jc w:val="center"/>
              <w:rPr>
                <w:b/>
                <w:sz w:val="22"/>
              </w:rPr>
            </w:pPr>
            <w:r>
              <w:rPr>
                <w:b/>
                <w:sz w:val="22"/>
              </w:rPr>
              <w:t>项</w:t>
              <w:tab/>
              <w:t>目</w:t>
            </w:r>
          </w:p>
        </w:tc>
        <w:tc>
          <w:tcPr>
            <w:tcW w:w="1213" w:type="dxa"/>
          </w:tcPr>
          <w:p>
            <w:pPr>
              <w:pStyle w:val="TableParagraph"/>
              <w:spacing w:before="137"/>
              <w:ind w:left="269"/>
              <w:jc w:val="left"/>
              <w:rPr>
                <w:b/>
                <w:sz w:val="22"/>
              </w:rPr>
            </w:pPr>
            <w:r>
              <w:rPr>
                <w:b/>
                <w:sz w:val="22"/>
              </w:rPr>
              <w:t>预算数</w:t>
            </w:r>
          </w:p>
        </w:tc>
      </w:tr>
      <w:tr>
        <w:trPr>
          <w:trHeight w:val="566" w:hRule="atLeast"/>
        </w:trPr>
        <w:tc>
          <w:tcPr>
            <w:tcW w:w="3032" w:type="dxa"/>
          </w:tcPr>
          <w:p>
            <w:pPr>
              <w:pStyle w:val="TableParagraph"/>
              <w:spacing w:before="140"/>
              <w:ind w:left="107"/>
              <w:jc w:val="left"/>
              <w:rPr>
                <w:sz w:val="22"/>
              </w:rPr>
            </w:pPr>
            <w:r>
              <w:rPr>
                <w:sz w:val="22"/>
              </w:rPr>
              <w:t>一、一般公共预算收入</w:t>
            </w:r>
          </w:p>
        </w:tc>
        <w:tc>
          <w:tcPr>
            <w:tcW w:w="1215" w:type="dxa"/>
          </w:tcPr>
          <w:p>
            <w:pPr>
              <w:pStyle w:val="TableParagraph"/>
              <w:spacing w:before="140"/>
              <w:ind w:right="97"/>
              <w:rPr>
                <w:sz w:val="22"/>
              </w:rPr>
            </w:pPr>
            <w:r>
              <w:rPr>
                <w:sz w:val="22"/>
              </w:rPr>
              <w:t>101910</w:t>
            </w:r>
          </w:p>
        </w:tc>
        <w:tc>
          <w:tcPr>
            <w:tcW w:w="3033" w:type="dxa"/>
          </w:tcPr>
          <w:p>
            <w:pPr>
              <w:pStyle w:val="TableParagraph"/>
              <w:spacing w:before="140"/>
              <w:ind w:left="104"/>
              <w:jc w:val="left"/>
              <w:rPr>
                <w:sz w:val="22"/>
              </w:rPr>
            </w:pPr>
            <w:r>
              <w:rPr>
                <w:sz w:val="22"/>
              </w:rPr>
              <w:t>一、一般公共预算支出</w:t>
            </w:r>
          </w:p>
        </w:tc>
        <w:tc>
          <w:tcPr>
            <w:tcW w:w="1213" w:type="dxa"/>
          </w:tcPr>
          <w:p>
            <w:pPr>
              <w:pStyle w:val="TableParagraph"/>
              <w:spacing w:before="140"/>
              <w:ind w:right="101"/>
              <w:rPr>
                <w:sz w:val="22"/>
              </w:rPr>
            </w:pPr>
            <w:r>
              <w:rPr>
                <w:sz w:val="22"/>
              </w:rPr>
              <w:t>305360</w:t>
            </w:r>
          </w:p>
        </w:tc>
      </w:tr>
      <w:tr>
        <w:trPr>
          <w:trHeight w:val="569" w:hRule="atLeast"/>
        </w:trPr>
        <w:tc>
          <w:tcPr>
            <w:tcW w:w="3032" w:type="dxa"/>
          </w:tcPr>
          <w:p>
            <w:pPr>
              <w:pStyle w:val="TableParagraph"/>
              <w:spacing w:before="140"/>
              <w:ind w:left="549"/>
              <w:jc w:val="left"/>
              <w:rPr>
                <w:sz w:val="22"/>
              </w:rPr>
            </w:pPr>
            <w:r>
              <w:rPr>
                <w:sz w:val="22"/>
              </w:rPr>
              <w:t>税收收入</w:t>
            </w:r>
          </w:p>
        </w:tc>
        <w:tc>
          <w:tcPr>
            <w:tcW w:w="1215" w:type="dxa"/>
          </w:tcPr>
          <w:p>
            <w:pPr>
              <w:pStyle w:val="TableParagraph"/>
              <w:spacing w:before="140"/>
              <w:ind w:right="97"/>
              <w:rPr>
                <w:sz w:val="22"/>
              </w:rPr>
            </w:pPr>
            <w:r>
              <w:rPr>
                <w:sz w:val="22"/>
              </w:rPr>
              <w:t>51910</w:t>
            </w:r>
          </w:p>
        </w:tc>
        <w:tc>
          <w:tcPr>
            <w:tcW w:w="3033" w:type="dxa"/>
          </w:tcPr>
          <w:p>
            <w:pPr>
              <w:pStyle w:val="TableParagraph"/>
              <w:spacing w:before="140"/>
              <w:ind w:left="546"/>
              <w:jc w:val="left"/>
              <w:rPr>
                <w:sz w:val="22"/>
              </w:rPr>
            </w:pPr>
            <w:r>
              <w:rPr>
                <w:sz w:val="22"/>
              </w:rPr>
              <w:t>其中：上年结转支出</w:t>
            </w:r>
          </w:p>
        </w:tc>
        <w:tc>
          <w:tcPr>
            <w:tcW w:w="1213" w:type="dxa"/>
          </w:tcPr>
          <w:p>
            <w:pPr>
              <w:pStyle w:val="TableParagraph"/>
              <w:spacing w:before="150"/>
              <w:ind w:right="98"/>
              <w:rPr>
                <w:sz w:val="21"/>
              </w:rPr>
            </w:pPr>
            <w:r>
              <w:rPr>
                <w:sz w:val="21"/>
              </w:rPr>
              <w:t>1919</w:t>
            </w:r>
          </w:p>
        </w:tc>
      </w:tr>
      <w:tr>
        <w:trPr>
          <w:trHeight w:val="565" w:hRule="atLeast"/>
        </w:trPr>
        <w:tc>
          <w:tcPr>
            <w:tcW w:w="3032" w:type="dxa"/>
          </w:tcPr>
          <w:p>
            <w:pPr>
              <w:pStyle w:val="TableParagraph"/>
              <w:spacing w:before="139"/>
              <w:ind w:left="549"/>
              <w:jc w:val="left"/>
              <w:rPr>
                <w:sz w:val="22"/>
              </w:rPr>
            </w:pPr>
            <w:r>
              <w:rPr>
                <w:sz w:val="22"/>
              </w:rPr>
              <w:t>非税收入</w:t>
            </w:r>
          </w:p>
        </w:tc>
        <w:tc>
          <w:tcPr>
            <w:tcW w:w="1215" w:type="dxa"/>
          </w:tcPr>
          <w:p>
            <w:pPr>
              <w:pStyle w:val="TableParagraph"/>
              <w:spacing w:before="139"/>
              <w:ind w:right="97"/>
              <w:rPr>
                <w:sz w:val="22"/>
              </w:rPr>
            </w:pPr>
            <w:r>
              <w:rPr>
                <w:sz w:val="22"/>
              </w:rPr>
              <w:t>50000</w:t>
            </w:r>
          </w:p>
        </w:tc>
        <w:tc>
          <w:tcPr>
            <w:tcW w:w="3033" w:type="dxa"/>
          </w:tcPr>
          <w:p>
            <w:pPr>
              <w:pStyle w:val="TableParagraph"/>
              <w:spacing w:before="139"/>
              <w:ind w:left="104"/>
              <w:jc w:val="left"/>
              <w:rPr>
                <w:sz w:val="22"/>
              </w:rPr>
            </w:pPr>
            <w:r>
              <w:rPr>
                <w:sz w:val="22"/>
              </w:rPr>
              <w:t>二、一般债券还本支出</w:t>
            </w:r>
          </w:p>
        </w:tc>
        <w:tc>
          <w:tcPr>
            <w:tcW w:w="1213" w:type="dxa"/>
          </w:tcPr>
          <w:p>
            <w:pPr>
              <w:pStyle w:val="TableParagraph"/>
              <w:spacing w:before="139"/>
              <w:ind w:right="98"/>
              <w:rPr>
                <w:sz w:val="22"/>
              </w:rPr>
            </w:pPr>
            <w:r>
              <w:rPr>
                <w:sz w:val="22"/>
              </w:rPr>
              <w:t>13800</w:t>
            </w:r>
          </w:p>
        </w:tc>
      </w:tr>
      <w:tr>
        <w:trPr>
          <w:trHeight w:val="568" w:hRule="atLeast"/>
        </w:trPr>
        <w:tc>
          <w:tcPr>
            <w:tcW w:w="3032" w:type="dxa"/>
          </w:tcPr>
          <w:p>
            <w:pPr>
              <w:pStyle w:val="TableParagraph"/>
              <w:spacing w:before="139"/>
              <w:ind w:left="107"/>
              <w:jc w:val="left"/>
              <w:rPr>
                <w:sz w:val="22"/>
              </w:rPr>
            </w:pPr>
            <w:r>
              <w:rPr>
                <w:sz w:val="22"/>
              </w:rPr>
              <w:t>二、上级补助收入</w:t>
            </w:r>
          </w:p>
        </w:tc>
        <w:tc>
          <w:tcPr>
            <w:tcW w:w="1215" w:type="dxa"/>
          </w:tcPr>
          <w:p>
            <w:pPr>
              <w:pStyle w:val="TableParagraph"/>
              <w:spacing w:before="139"/>
              <w:ind w:right="99"/>
              <w:rPr>
                <w:sz w:val="22"/>
              </w:rPr>
            </w:pPr>
            <w:r>
              <w:rPr>
                <w:sz w:val="22"/>
              </w:rPr>
              <w:t>108930</w:t>
            </w:r>
          </w:p>
        </w:tc>
        <w:tc>
          <w:tcPr>
            <w:tcW w:w="3033" w:type="dxa"/>
          </w:tcPr>
          <w:p>
            <w:pPr>
              <w:pStyle w:val="TableParagraph"/>
              <w:spacing w:before="139"/>
              <w:ind w:left="104"/>
              <w:jc w:val="left"/>
              <w:rPr>
                <w:sz w:val="22"/>
              </w:rPr>
            </w:pPr>
            <w:r>
              <w:rPr>
                <w:sz w:val="22"/>
              </w:rPr>
              <w:t>三、上解支出</w:t>
            </w:r>
          </w:p>
        </w:tc>
        <w:tc>
          <w:tcPr>
            <w:tcW w:w="1213" w:type="dxa"/>
          </w:tcPr>
          <w:p>
            <w:pPr>
              <w:pStyle w:val="TableParagraph"/>
              <w:spacing w:before="139"/>
              <w:ind w:right="101"/>
              <w:rPr>
                <w:sz w:val="22"/>
              </w:rPr>
            </w:pPr>
            <w:r>
              <w:rPr>
                <w:sz w:val="22"/>
              </w:rPr>
              <w:t>3949</w:t>
            </w:r>
          </w:p>
        </w:tc>
      </w:tr>
      <w:tr>
        <w:trPr>
          <w:trHeight w:val="565" w:hRule="atLeast"/>
        </w:trPr>
        <w:tc>
          <w:tcPr>
            <w:tcW w:w="3032" w:type="dxa"/>
          </w:tcPr>
          <w:p>
            <w:pPr>
              <w:pStyle w:val="TableParagraph"/>
              <w:spacing w:before="137"/>
              <w:ind w:left="549"/>
              <w:jc w:val="left"/>
              <w:rPr>
                <w:sz w:val="22"/>
              </w:rPr>
            </w:pPr>
            <w:r>
              <w:rPr>
                <w:sz w:val="22"/>
              </w:rPr>
              <w:t>税收返还收入</w:t>
            </w:r>
          </w:p>
        </w:tc>
        <w:tc>
          <w:tcPr>
            <w:tcW w:w="1215" w:type="dxa"/>
          </w:tcPr>
          <w:p>
            <w:pPr>
              <w:pStyle w:val="TableParagraph"/>
              <w:spacing w:before="137"/>
              <w:ind w:right="97"/>
              <w:rPr>
                <w:sz w:val="22"/>
              </w:rPr>
            </w:pPr>
            <w:r>
              <w:rPr>
                <w:sz w:val="22"/>
              </w:rPr>
              <w:t>4341</w:t>
            </w:r>
          </w:p>
        </w:tc>
        <w:tc>
          <w:tcPr>
            <w:tcW w:w="3033" w:type="dxa"/>
          </w:tcPr>
          <w:p>
            <w:pPr>
              <w:pStyle w:val="TableParagraph"/>
              <w:spacing w:before="137"/>
              <w:ind w:left="104"/>
              <w:jc w:val="left"/>
              <w:rPr>
                <w:sz w:val="22"/>
              </w:rPr>
            </w:pPr>
            <w:r>
              <w:rPr>
                <w:sz w:val="22"/>
              </w:rPr>
              <w:t>四、安排预算稳定调节基金</w:t>
            </w:r>
          </w:p>
        </w:tc>
        <w:tc>
          <w:tcPr>
            <w:tcW w:w="1213" w:type="dxa"/>
          </w:tcPr>
          <w:p>
            <w:pPr>
              <w:pStyle w:val="TableParagraph"/>
              <w:spacing w:before="137"/>
              <w:ind w:right="101"/>
              <w:rPr>
                <w:sz w:val="22"/>
              </w:rPr>
            </w:pPr>
            <w:r>
              <w:rPr>
                <w:w w:val="100"/>
                <w:sz w:val="22"/>
              </w:rPr>
              <w:t>0</w:t>
            </w:r>
          </w:p>
        </w:tc>
      </w:tr>
      <w:tr>
        <w:trPr>
          <w:trHeight w:val="566" w:hRule="atLeast"/>
        </w:trPr>
        <w:tc>
          <w:tcPr>
            <w:tcW w:w="3032" w:type="dxa"/>
          </w:tcPr>
          <w:p>
            <w:pPr>
              <w:pStyle w:val="TableParagraph"/>
              <w:spacing w:before="139"/>
              <w:ind w:left="549"/>
              <w:jc w:val="left"/>
              <w:rPr>
                <w:sz w:val="22"/>
              </w:rPr>
            </w:pPr>
            <w:r>
              <w:rPr>
                <w:sz w:val="22"/>
              </w:rPr>
              <w:t>一般转移支付收入</w:t>
            </w:r>
          </w:p>
        </w:tc>
        <w:tc>
          <w:tcPr>
            <w:tcW w:w="1215" w:type="dxa"/>
          </w:tcPr>
          <w:p>
            <w:pPr>
              <w:pStyle w:val="TableParagraph"/>
              <w:spacing w:before="139"/>
              <w:ind w:right="99"/>
              <w:rPr>
                <w:sz w:val="22"/>
              </w:rPr>
            </w:pPr>
            <w:r>
              <w:rPr>
                <w:sz w:val="22"/>
              </w:rPr>
              <w:t>100731</w:t>
            </w:r>
          </w:p>
        </w:tc>
        <w:tc>
          <w:tcPr>
            <w:tcW w:w="3033" w:type="dxa"/>
          </w:tcPr>
          <w:p>
            <w:pPr>
              <w:pStyle w:val="TableParagraph"/>
              <w:spacing w:before="139"/>
              <w:ind w:left="104"/>
              <w:jc w:val="left"/>
              <w:rPr>
                <w:sz w:val="22"/>
              </w:rPr>
            </w:pPr>
            <w:r>
              <w:rPr>
                <w:sz w:val="22"/>
              </w:rPr>
              <w:t>五、结转下年</w:t>
            </w:r>
          </w:p>
        </w:tc>
        <w:tc>
          <w:tcPr>
            <w:tcW w:w="1213" w:type="dxa"/>
          </w:tcPr>
          <w:p>
            <w:pPr>
              <w:pStyle w:val="TableParagraph"/>
              <w:spacing w:before="139"/>
              <w:ind w:right="101"/>
              <w:rPr>
                <w:sz w:val="22"/>
              </w:rPr>
            </w:pPr>
            <w:r>
              <w:rPr>
                <w:w w:val="100"/>
                <w:sz w:val="22"/>
              </w:rPr>
              <w:t>0</w:t>
            </w:r>
          </w:p>
        </w:tc>
      </w:tr>
      <w:tr>
        <w:trPr>
          <w:trHeight w:val="568" w:hRule="atLeast"/>
        </w:trPr>
        <w:tc>
          <w:tcPr>
            <w:tcW w:w="3032" w:type="dxa"/>
          </w:tcPr>
          <w:p>
            <w:pPr>
              <w:pStyle w:val="TableParagraph"/>
              <w:spacing w:before="140"/>
              <w:ind w:left="549"/>
              <w:jc w:val="left"/>
              <w:rPr>
                <w:sz w:val="22"/>
              </w:rPr>
            </w:pPr>
            <w:r>
              <w:rPr>
                <w:sz w:val="22"/>
              </w:rPr>
              <w:t>专项转移支付收入</w:t>
            </w:r>
          </w:p>
        </w:tc>
        <w:tc>
          <w:tcPr>
            <w:tcW w:w="1215" w:type="dxa"/>
          </w:tcPr>
          <w:p>
            <w:pPr>
              <w:pStyle w:val="TableParagraph"/>
              <w:spacing w:before="140"/>
              <w:ind w:right="99"/>
              <w:rPr>
                <w:sz w:val="22"/>
              </w:rPr>
            </w:pPr>
            <w:r>
              <w:rPr>
                <w:sz w:val="22"/>
              </w:rPr>
              <w:t>3858</w:t>
            </w:r>
          </w:p>
        </w:tc>
        <w:tc>
          <w:tcPr>
            <w:tcW w:w="3033" w:type="dxa"/>
          </w:tcPr>
          <w:p>
            <w:pPr>
              <w:pStyle w:val="TableParagraph"/>
              <w:spacing w:before="140"/>
              <w:ind w:left="104"/>
              <w:jc w:val="left"/>
              <w:rPr>
                <w:sz w:val="22"/>
              </w:rPr>
            </w:pPr>
            <w:r>
              <w:rPr>
                <w:sz w:val="22"/>
              </w:rPr>
              <w:t>六、调出资金</w:t>
            </w:r>
          </w:p>
        </w:tc>
        <w:tc>
          <w:tcPr>
            <w:tcW w:w="1213" w:type="dxa"/>
          </w:tcPr>
          <w:p>
            <w:pPr>
              <w:pStyle w:val="TableParagraph"/>
              <w:spacing w:before="140"/>
              <w:ind w:right="101"/>
              <w:rPr>
                <w:sz w:val="22"/>
              </w:rPr>
            </w:pPr>
            <w:r>
              <w:rPr>
                <w:w w:val="100"/>
                <w:sz w:val="22"/>
              </w:rPr>
              <w:t>0</w:t>
            </w:r>
          </w:p>
        </w:tc>
      </w:tr>
      <w:tr>
        <w:trPr>
          <w:trHeight w:val="566" w:hRule="atLeast"/>
        </w:trPr>
        <w:tc>
          <w:tcPr>
            <w:tcW w:w="3032" w:type="dxa"/>
          </w:tcPr>
          <w:p>
            <w:pPr>
              <w:pStyle w:val="TableParagraph"/>
              <w:spacing w:before="140"/>
              <w:ind w:left="107"/>
              <w:jc w:val="left"/>
              <w:rPr>
                <w:sz w:val="22"/>
              </w:rPr>
            </w:pPr>
            <w:r>
              <w:rPr>
                <w:sz w:val="22"/>
              </w:rPr>
              <w:t>三、一般债务转贷收入</w:t>
            </w:r>
          </w:p>
        </w:tc>
        <w:tc>
          <w:tcPr>
            <w:tcW w:w="1215" w:type="dxa"/>
          </w:tcPr>
          <w:p>
            <w:pPr>
              <w:pStyle w:val="TableParagraph"/>
              <w:spacing w:before="140"/>
              <w:ind w:right="99"/>
              <w:rPr>
                <w:sz w:val="22"/>
              </w:rPr>
            </w:pPr>
            <w:r>
              <w:rPr>
                <w:w w:val="100"/>
                <w:sz w:val="22"/>
              </w:rPr>
              <w:t>0</w:t>
            </w:r>
          </w:p>
        </w:tc>
        <w:tc>
          <w:tcPr>
            <w:tcW w:w="3033" w:type="dxa"/>
          </w:tcPr>
          <w:p>
            <w:pPr>
              <w:pStyle w:val="TableParagraph"/>
              <w:jc w:val="left"/>
              <w:rPr>
                <w:rFonts w:ascii="Times New Roman"/>
                <w:sz w:val="22"/>
              </w:rPr>
            </w:pPr>
          </w:p>
        </w:tc>
        <w:tc>
          <w:tcPr>
            <w:tcW w:w="1213" w:type="dxa"/>
          </w:tcPr>
          <w:p>
            <w:pPr>
              <w:pStyle w:val="TableParagraph"/>
              <w:jc w:val="left"/>
              <w:rPr>
                <w:rFonts w:ascii="Times New Roman"/>
                <w:sz w:val="22"/>
              </w:rPr>
            </w:pPr>
          </w:p>
        </w:tc>
      </w:tr>
      <w:tr>
        <w:trPr>
          <w:trHeight w:val="568" w:hRule="atLeast"/>
        </w:trPr>
        <w:tc>
          <w:tcPr>
            <w:tcW w:w="3032" w:type="dxa"/>
          </w:tcPr>
          <w:p>
            <w:pPr>
              <w:pStyle w:val="TableParagraph"/>
              <w:spacing w:before="139"/>
              <w:ind w:left="107"/>
              <w:jc w:val="left"/>
              <w:rPr>
                <w:sz w:val="22"/>
              </w:rPr>
            </w:pPr>
            <w:r>
              <w:rPr>
                <w:sz w:val="22"/>
              </w:rPr>
              <w:t>四、再融资债券收入</w:t>
            </w:r>
          </w:p>
        </w:tc>
        <w:tc>
          <w:tcPr>
            <w:tcW w:w="1215" w:type="dxa"/>
          </w:tcPr>
          <w:p>
            <w:pPr>
              <w:pStyle w:val="TableParagraph"/>
              <w:spacing w:before="139"/>
              <w:ind w:right="97"/>
              <w:rPr>
                <w:sz w:val="22"/>
              </w:rPr>
            </w:pPr>
            <w:r>
              <w:rPr>
                <w:sz w:val="22"/>
              </w:rPr>
              <w:t>11000</w:t>
            </w:r>
          </w:p>
        </w:tc>
        <w:tc>
          <w:tcPr>
            <w:tcW w:w="3033" w:type="dxa"/>
          </w:tcPr>
          <w:p>
            <w:pPr>
              <w:pStyle w:val="TableParagraph"/>
              <w:jc w:val="left"/>
              <w:rPr>
                <w:rFonts w:ascii="Times New Roman"/>
                <w:sz w:val="22"/>
              </w:rPr>
            </w:pPr>
          </w:p>
        </w:tc>
        <w:tc>
          <w:tcPr>
            <w:tcW w:w="1213" w:type="dxa"/>
          </w:tcPr>
          <w:p>
            <w:pPr>
              <w:pStyle w:val="TableParagraph"/>
              <w:jc w:val="left"/>
              <w:rPr>
                <w:rFonts w:ascii="Times New Roman"/>
                <w:sz w:val="22"/>
              </w:rPr>
            </w:pPr>
          </w:p>
        </w:tc>
      </w:tr>
      <w:tr>
        <w:trPr>
          <w:trHeight w:val="566" w:hRule="atLeast"/>
        </w:trPr>
        <w:tc>
          <w:tcPr>
            <w:tcW w:w="3032" w:type="dxa"/>
          </w:tcPr>
          <w:p>
            <w:pPr>
              <w:pStyle w:val="TableParagraph"/>
              <w:spacing w:before="140"/>
              <w:ind w:left="107"/>
              <w:jc w:val="left"/>
              <w:rPr>
                <w:sz w:val="22"/>
              </w:rPr>
            </w:pPr>
            <w:r>
              <w:rPr>
                <w:sz w:val="22"/>
              </w:rPr>
              <w:t>五、调入资金</w:t>
            </w:r>
          </w:p>
        </w:tc>
        <w:tc>
          <w:tcPr>
            <w:tcW w:w="1215" w:type="dxa"/>
          </w:tcPr>
          <w:p>
            <w:pPr>
              <w:pStyle w:val="TableParagraph"/>
              <w:spacing w:before="140"/>
              <w:ind w:right="99"/>
              <w:rPr>
                <w:sz w:val="22"/>
              </w:rPr>
            </w:pPr>
            <w:r>
              <w:rPr>
                <w:sz w:val="22"/>
              </w:rPr>
              <w:t>73823</w:t>
            </w:r>
          </w:p>
        </w:tc>
        <w:tc>
          <w:tcPr>
            <w:tcW w:w="3033" w:type="dxa"/>
          </w:tcPr>
          <w:p>
            <w:pPr>
              <w:pStyle w:val="TableParagraph"/>
              <w:jc w:val="left"/>
              <w:rPr>
                <w:rFonts w:ascii="Times New Roman"/>
                <w:sz w:val="22"/>
              </w:rPr>
            </w:pPr>
          </w:p>
        </w:tc>
        <w:tc>
          <w:tcPr>
            <w:tcW w:w="1213" w:type="dxa"/>
          </w:tcPr>
          <w:p>
            <w:pPr>
              <w:pStyle w:val="TableParagraph"/>
              <w:jc w:val="left"/>
              <w:rPr>
                <w:rFonts w:ascii="Times New Roman"/>
                <w:sz w:val="22"/>
              </w:rPr>
            </w:pPr>
          </w:p>
        </w:tc>
      </w:tr>
      <w:tr>
        <w:trPr>
          <w:trHeight w:val="568" w:hRule="atLeast"/>
        </w:trPr>
        <w:tc>
          <w:tcPr>
            <w:tcW w:w="3032" w:type="dxa"/>
          </w:tcPr>
          <w:p>
            <w:pPr>
              <w:pStyle w:val="TableParagraph"/>
              <w:spacing w:before="139"/>
              <w:ind w:left="549"/>
              <w:jc w:val="left"/>
              <w:rPr>
                <w:sz w:val="22"/>
              </w:rPr>
            </w:pPr>
            <w:r>
              <w:rPr>
                <w:sz w:val="22"/>
              </w:rPr>
              <w:t>政府性基金调入</w:t>
            </w:r>
          </w:p>
        </w:tc>
        <w:tc>
          <w:tcPr>
            <w:tcW w:w="1215" w:type="dxa"/>
          </w:tcPr>
          <w:p>
            <w:pPr>
              <w:pStyle w:val="TableParagraph"/>
              <w:spacing w:before="139"/>
              <w:ind w:right="99"/>
              <w:rPr>
                <w:sz w:val="22"/>
              </w:rPr>
            </w:pPr>
            <w:r>
              <w:rPr>
                <w:sz w:val="22"/>
              </w:rPr>
              <w:t>73823</w:t>
            </w:r>
          </w:p>
        </w:tc>
        <w:tc>
          <w:tcPr>
            <w:tcW w:w="3033" w:type="dxa"/>
          </w:tcPr>
          <w:p>
            <w:pPr>
              <w:pStyle w:val="TableParagraph"/>
              <w:jc w:val="left"/>
              <w:rPr>
                <w:rFonts w:ascii="Times New Roman"/>
                <w:sz w:val="22"/>
              </w:rPr>
            </w:pPr>
          </w:p>
        </w:tc>
        <w:tc>
          <w:tcPr>
            <w:tcW w:w="1213" w:type="dxa"/>
          </w:tcPr>
          <w:p>
            <w:pPr>
              <w:pStyle w:val="TableParagraph"/>
              <w:jc w:val="left"/>
              <w:rPr>
                <w:rFonts w:ascii="Times New Roman"/>
                <w:sz w:val="22"/>
              </w:rPr>
            </w:pPr>
          </w:p>
        </w:tc>
      </w:tr>
      <w:tr>
        <w:trPr>
          <w:trHeight w:val="566" w:hRule="atLeast"/>
        </w:trPr>
        <w:tc>
          <w:tcPr>
            <w:tcW w:w="3032" w:type="dxa"/>
          </w:tcPr>
          <w:p>
            <w:pPr>
              <w:pStyle w:val="TableParagraph"/>
              <w:spacing w:before="137"/>
              <w:ind w:left="549"/>
              <w:jc w:val="left"/>
              <w:rPr>
                <w:sz w:val="22"/>
              </w:rPr>
            </w:pPr>
            <w:r>
              <w:rPr>
                <w:sz w:val="22"/>
              </w:rPr>
              <w:t>国有资本经营预算调入</w:t>
            </w:r>
          </w:p>
        </w:tc>
        <w:tc>
          <w:tcPr>
            <w:tcW w:w="1215" w:type="dxa"/>
          </w:tcPr>
          <w:p>
            <w:pPr>
              <w:pStyle w:val="TableParagraph"/>
              <w:spacing w:before="137"/>
              <w:ind w:right="99"/>
              <w:rPr>
                <w:sz w:val="22"/>
              </w:rPr>
            </w:pPr>
            <w:r>
              <w:rPr>
                <w:w w:val="100"/>
                <w:sz w:val="22"/>
              </w:rPr>
              <w:t>0</w:t>
            </w:r>
          </w:p>
        </w:tc>
        <w:tc>
          <w:tcPr>
            <w:tcW w:w="3033" w:type="dxa"/>
          </w:tcPr>
          <w:p>
            <w:pPr>
              <w:pStyle w:val="TableParagraph"/>
              <w:jc w:val="left"/>
              <w:rPr>
                <w:rFonts w:ascii="Times New Roman"/>
                <w:sz w:val="22"/>
              </w:rPr>
            </w:pPr>
          </w:p>
        </w:tc>
        <w:tc>
          <w:tcPr>
            <w:tcW w:w="1213" w:type="dxa"/>
          </w:tcPr>
          <w:p>
            <w:pPr>
              <w:pStyle w:val="TableParagraph"/>
              <w:jc w:val="left"/>
              <w:rPr>
                <w:rFonts w:ascii="Times New Roman"/>
                <w:sz w:val="22"/>
              </w:rPr>
            </w:pPr>
          </w:p>
        </w:tc>
      </w:tr>
      <w:tr>
        <w:trPr>
          <w:trHeight w:val="566" w:hRule="atLeast"/>
        </w:trPr>
        <w:tc>
          <w:tcPr>
            <w:tcW w:w="3032" w:type="dxa"/>
          </w:tcPr>
          <w:p>
            <w:pPr>
              <w:pStyle w:val="TableParagraph"/>
              <w:spacing w:before="140"/>
              <w:ind w:left="549"/>
              <w:jc w:val="left"/>
              <w:rPr>
                <w:sz w:val="22"/>
              </w:rPr>
            </w:pPr>
            <w:r>
              <w:rPr>
                <w:sz w:val="22"/>
              </w:rPr>
              <w:t>其他调入</w:t>
            </w:r>
          </w:p>
        </w:tc>
        <w:tc>
          <w:tcPr>
            <w:tcW w:w="1215" w:type="dxa"/>
          </w:tcPr>
          <w:p>
            <w:pPr>
              <w:pStyle w:val="TableParagraph"/>
              <w:spacing w:before="140"/>
              <w:ind w:right="99"/>
              <w:rPr>
                <w:sz w:val="22"/>
              </w:rPr>
            </w:pPr>
            <w:r>
              <w:rPr>
                <w:w w:val="100"/>
                <w:sz w:val="22"/>
              </w:rPr>
              <w:t>0</w:t>
            </w:r>
          </w:p>
        </w:tc>
        <w:tc>
          <w:tcPr>
            <w:tcW w:w="3033" w:type="dxa"/>
          </w:tcPr>
          <w:p>
            <w:pPr>
              <w:pStyle w:val="TableParagraph"/>
              <w:jc w:val="left"/>
              <w:rPr>
                <w:rFonts w:ascii="Times New Roman"/>
                <w:sz w:val="22"/>
              </w:rPr>
            </w:pPr>
          </w:p>
        </w:tc>
        <w:tc>
          <w:tcPr>
            <w:tcW w:w="1213" w:type="dxa"/>
          </w:tcPr>
          <w:p>
            <w:pPr>
              <w:pStyle w:val="TableParagraph"/>
              <w:jc w:val="left"/>
              <w:rPr>
                <w:rFonts w:ascii="Times New Roman"/>
                <w:sz w:val="22"/>
              </w:rPr>
            </w:pPr>
          </w:p>
        </w:tc>
      </w:tr>
      <w:tr>
        <w:trPr>
          <w:trHeight w:val="568" w:hRule="atLeast"/>
        </w:trPr>
        <w:tc>
          <w:tcPr>
            <w:tcW w:w="3032" w:type="dxa"/>
          </w:tcPr>
          <w:p>
            <w:pPr>
              <w:pStyle w:val="TableParagraph"/>
              <w:spacing w:before="140"/>
              <w:ind w:left="107"/>
              <w:jc w:val="left"/>
              <w:rPr>
                <w:sz w:val="22"/>
              </w:rPr>
            </w:pPr>
            <w:r>
              <w:rPr>
                <w:sz w:val="22"/>
              </w:rPr>
              <w:t>六、动用预算稳定调节基金</w:t>
            </w:r>
          </w:p>
        </w:tc>
        <w:tc>
          <w:tcPr>
            <w:tcW w:w="1215" w:type="dxa"/>
          </w:tcPr>
          <w:p>
            <w:pPr>
              <w:pStyle w:val="TableParagraph"/>
              <w:spacing w:before="140"/>
              <w:ind w:right="97"/>
              <w:rPr>
                <w:sz w:val="22"/>
              </w:rPr>
            </w:pPr>
            <w:r>
              <w:rPr>
                <w:sz w:val="22"/>
              </w:rPr>
              <w:t>25527</w:t>
            </w:r>
          </w:p>
        </w:tc>
        <w:tc>
          <w:tcPr>
            <w:tcW w:w="3033" w:type="dxa"/>
          </w:tcPr>
          <w:p>
            <w:pPr>
              <w:pStyle w:val="TableParagraph"/>
              <w:jc w:val="left"/>
              <w:rPr>
                <w:rFonts w:ascii="Times New Roman"/>
                <w:sz w:val="22"/>
              </w:rPr>
            </w:pPr>
          </w:p>
        </w:tc>
        <w:tc>
          <w:tcPr>
            <w:tcW w:w="1213" w:type="dxa"/>
          </w:tcPr>
          <w:p>
            <w:pPr>
              <w:pStyle w:val="TableParagraph"/>
              <w:jc w:val="left"/>
              <w:rPr>
                <w:rFonts w:ascii="Times New Roman"/>
                <w:sz w:val="22"/>
              </w:rPr>
            </w:pPr>
          </w:p>
        </w:tc>
      </w:tr>
      <w:tr>
        <w:trPr>
          <w:trHeight w:val="566" w:hRule="atLeast"/>
        </w:trPr>
        <w:tc>
          <w:tcPr>
            <w:tcW w:w="3032" w:type="dxa"/>
          </w:tcPr>
          <w:p>
            <w:pPr>
              <w:pStyle w:val="TableParagraph"/>
              <w:spacing w:before="139"/>
              <w:ind w:left="107"/>
              <w:jc w:val="left"/>
              <w:rPr>
                <w:sz w:val="22"/>
              </w:rPr>
            </w:pPr>
            <w:r>
              <w:rPr>
                <w:sz w:val="22"/>
              </w:rPr>
              <w:t>七、上年结转</w:t>
            </w:r>
          </w:p>
        </w:tc>
        <w:tc>
          <w:tcPr>
            <w:tcW w:w="1215" w:type="dxa"/>
          </w:tcPr>
          <w:p>
            <w:pPr>
              <w:pStyle w:val="TableParagraph"/>
              <w:spacing w:before="139"/>
              <w:ind w:right="97"/>
              <w:rPr>
                <w:sz w:val="22"/>
              </w:rPr>
            </w:pPr>
            <w:r>
              <w:rPr>
                <w:sz w:val="22"/>
              </w:rPr>
              <w:t>1919</w:t>
            </w:r>
          </w:p>
        </w:tc>
        <w:tc>
          <w:tcPr>
            <w:tcW w:w="3033" w:type="dxa"/>
          </w:tcPr>
          <w:p>
            <w:pPr>
              <w:pStyle w:val="TableParagraph"/>
              <w:jc w:val="left"/>
              <w:rPr>
                <w:rFonts w:ascii="Times New Roman"/>
                <w:sz w:val="22"/>
              </w:rPr>
            </w:pPr>
          </w:p>
        </w:tc>
        <w:tc>
          <w:tcPr>
            <w:tcW w:w="1213" w:type="dxa"/>
          </w:tcPr>
          <w:p>
            <w:pPr>
              <w:pStyle w:val="TableParagraph"/>
              <w:jc w:val="left"/>
              <w:rPr>
                <w:rFonts w:ascii="Times New Roman"/>
                <w:sz w:val="22"/>
              </w:rPr>
            </w:pPr>
          </w:p>
        </w:tc>
      </w:tr>
      <w:tr>
        <w:trPr>
          <w:trHeight w:val="568" w:hRule="atLeast"/>
        </w:trPr>
        <w:tc>
          <w:tcPr>
            <w:tcW w:w="3032" w:type="dxa"/>
          </w:tcPr>
          <w:p>
            <w:pPr>
              <w:pStyle w:val="TableParagraph"/>
              <w:tabs>
                <w:tab w:pos="447" w:val="left" w:leader="none"/>
              </w:tabs>
              <w:spacing w:before="139"/>
              <w:ind w:left="6"/>
              <w:jc w:val="center"/>
              <w:rPr>
                <w:b/>
                <w:sz w:val="22"/>
              </w:rPr>
            </w:pPr>
            <w:r>
              <w:rPr>
                <w:b/>
                <w:sz w:val="22"/>
              </w:rPr>
              <w:t>合</w:t>
              <w:tab/>
              <w:t>计</w:t>
            </w:r>
          </w:p>
        </w:tc>
        <w:tc>
          <w:tcPr>
            <w:tcW w:w="1215" w:type="dxa"/>
          </w:tcPr>
          <w:p>
            <w:pPr>
              <w:pStyle w:val="TableParagraph"/>
              <w:spacing w:before="139"/>
              <w:ind w:right="99"/>
              <w:rPr>
                <w:b/>
                <w:sz w:val="22"/>
              </w:rPr>
            </w:pPr>
            <w:r>
              <w:rPr>
                <w:b/>
                <w:w w:val="95"/>
                <w:sz w:val="22"/>
              </w:rPr>
              <w:t>323109</w:t>
            </w:r>
          </w:p>
        </w:tc>
        <w:tc>
          <w:tcPr>
            <w:tcW w:w="3033" w:type="dxa"/>
          </w:tcPr>
          <w:p>
            <w:pPr>
              <w:pStyle w:val="TableParagraph"/>
              <w:tabs>
                <w:tab w:pos="441" w:val="left" w:leader="none"/>
              </w:tabs>
              <w:spacing w:before="139"/>
              <w:jc w:val="center"/>
              <w:rPr>
                <w:b/>
                <w:sz w:val="22"/>
              </w:rPr>
            </w:pPr>
            <w:r>
              <w:rPr>
                <w:b/>
                <w:sz w:val="22"/>
              </w:rPr>
              <w:t>合</w:t>
              <w:tab/>
              <w:t>计</w:t>
            </w:r>
          </w:p>
        </w:tc>
        <w:tc>
          <w:tcPr>
            <w:tcW w:w="1213" w:type="dxa"/>
          </w:tcPr>
          <w:p>
            <w:pPr>
              <w:pStyle w:val="TableParagraph"/>
              <w:spacing w:before="139"/>
              <w:ind w:right="101"/>
              <w:rPr>
                <w:b/>
                <w:sz w:val="22"/>
              </w:rPr>
            </w:pPr>
            <w:r>
              <w:rPr>
                <w:b/>
                <w:w w:val="95"/>
                <w:sz w:val="22"/>
              </w:rPr>
              <w:t>323109</w:t>
            </w:r>
          </w:p>
        </w:tc>
      </w:tr>
    </w:tbl>
    <w:p>
      <w:pPr>
        <w:spacing w:after="0"/>
        <w:rPr>
          <w:sz w:val="22"/>
        </w:rPr>
        <w:sectPr>
          <w:pgSz w:w="11910" w:h="16850"/>
          <w:pgMar w:header="0" w:footer="1561" w:top="1600" w:bottom="1760" w:left="1360" w:right="1100"/>
        </w:sectPr>
      </w:pPr>
    </w:p>
    <w:p>
      <w:pPr>
        <w:pStyle w:val="BodyText"/>
        <w:spacing w:before="3"/>
        <w:rPr>
          <w:rFonts w:ascii="宋体"/>
          <w:sz w:val="19"/>
        </w:rPr>
      </w:pPr>
    </w:p>
    <w:p>
      <w:pPr>
        <w:pStyle w:val="Heading3"/>
        <w:tabs>
          <w:tab w:pos="2596" w:val="left" w:leader="none"/>
        </w:tabs>
        <w:ind w:left="2024"/>
      </w:pPr>
      <w:r>
        <w:rPr/>
        <w:t>2</w:t>
        <w:tab/>
        <w:t>高阳县一般公共预算情况说明</w:t>
      </w:r>
    </w:p>
    <w:p>
      <w:pPr>
        <w:pStyle w:val="BodyText"/>
        <w:spacing w:before="15"/>
        <w:rPr>
          <w:rFonts w:ascii="微软雅黑"/>
          <w:sz w:val="35"/>
        </w:rPr>
      </w:pPr>
    </w:p>
    <w:p>
      <w:pPr>
        <w:pStyle w:val="BodyText"/>
        <w:ind w:right="372"/>
        <w:jc w:val="right"/>
      </w:pPr>
      <w:r>
        <w:rPr>
          <w:spacing w:val="5"/>
        </w:rPr>
        <w:t>收入总计 </w:t>
      </w:r>
      <w:r>
        <w:rPr/>
        <w:t>323109</w:t>
      </w:r>
      <w:r>
        <w:rPr>
          <w:spacing w:val="5"/>
        </w:rPr>
        <w:t> 万元，其构成：县级一般公共预算收入</w:t>
      </w:r>
    </w:p>
    <w:p>
      <w:pPr>
        <w:pStyle w:val="BodyText"/>
        <w:spacing w:before="152"/>
        <w:ind w:right="368"/>
        <w:jc w:val="right"/>
      </w:pPr>
      <w:r>
        <w:rPr/>
        <w:t>101910</w:t>
      </w:r>
      <w:r>
        <w:rPr>
          <w:spacing w:val="-32"/>
        </w:rPr>
        <w:t> 万元；上级补助收入 </w:t>
      </w:r>
      <w:r>
        <w:rPr/>
        <w:t>108930</w:t>
      </w:r>
      <w:r>
        <w:rPr>
          <w:spacing w:val="-38"/>
        </w:rPr>
        <w:t> 万元，其中，返还性收入 </w:t>
      </w:r>
      <w:r>
        <w:rPr/>
        <w:t>4341</w:t>
      </w:r>
    </w:p>
    <w:p>
      <w:pPr>
        <w:pStyle w:val="BodyText"/>
        <w:spacing w:before="149"/>
        <w:ind w:right="369"/>
        <w:jc w:val="right"/>
      </w:pPr>
      <w:r>
        <w:rPr>
          <w:spacing w:val="-14"/>
        </w:rPr>
        <w:t>万元，一般转移支付 </w:t>
      </w:r>
      <w:r>
        <w:rPr/>
        <w:t>100731</w:t>
      </w:r>
      <w:r>
        <w:rPr>
          <w:spacing w:val="-21"/>
        </w:rPr>
        <w:t> 万元，专项转移支付 </w:t>
      </w:r>
      <w:r>
        <w:rPr/>
        <w:t>3858</w:t>
      </w:r>
      <w:r>
        <w:rPr>
          <w:spacing w:val="-25"/>
        </w:rPr>
        <w:t> 万元；调</w:t>
      </w:r>
    </w:p>
    <w:p>
      <w:pPr>
        <w:pStyle w:val="BodyText"/>
        <w:spacing w:before="150"/>
        <w:ind w:right="369"/>
        <w:jc w:val="right"/>
      </w:pPr>
      <w:r>
        <w:rPr>
          <w:spacing w:val="-21"/>
        </w:rPr>
        <w:t>入资金 </w:t>
      </w:r>
      <w:r>
        <w:rPr/>
        <w:t>73823</w:t>
      </w:r>
      <w:r>
        <w:rPr>
          <w:spacing w:val="-18"/>
        </w:rPr>
        <w:t> 万元；动用预算稳定调节基金 </w:t>
      </w:r>
      <w:r>
        <w:rPr/>
        <w:t>25527</w:t>
      </w:r>
      <w:r>
        <w:rPr>
          <w:spacing w:val="-22"/>
        </w:rPr>
        <w:t> 万元；再融资</w:t>
      </w:r>
    </w:p>
    <w:p>
      <w:pPr>
        <w:pStyle w:val="BodyText"/>
        <w:spacing w:before="151"/>
        <w:ind w:left="229"/>
      </w:pPr>
      <w:r>
        <w:rPr/>
        <w:t>债券收入 11000 万元，上年结转收入 1919 万元。</w:t>
      </w:r>
    </w:p>
    <w:p>
      <w:pPr>
        <w:pStyle w:val="BodyText"/>
        <w:spacing w:before="149"/>
        <w:ind w:left="870"/>
      </w:pPr>
      <w:r>
        <w:rPr/>
        <w:t>支出总计 323109 万元，其构成：县级一般公共预算支出</w:t>
      </w:r>
    </w:p>
    <w:p>
      <w:pPr>
        <w:pStyle w:val="BodyText"/>
        <w:spacing w:line="328" w:lineRule="auto" w:before="150"/>
        <w:ind w:left="229" w:right="367"/>
      </w:pPr>
      <w:r>
        <w:rPr/>
        <w:t>305360</w:t>
      </w:r>
      <w:r>
        <w:rPr>
          <w:spacing w:val="-17"/>
        </w:rPr>
        <w:t> 万元；一般债券还本支出 </w:t>
      </w:r>
      <w:r>
        <w:rPr/>
        <w:t>13800</w:t>
      </w:r>
      <w:r>
        <w:rPr>
          <w:spacing w:val="-22"/>
        </w:rPr>
        <w:t> 万元，上解支出 </w:t>
      </w:r>
      <w:r>
        <w:rPr/>
        <w:t>3949</w:t>
      </w:r>
      <w:r>
        <w:rPr>
          <w:spacing w:val="-42"/>
        </w:rPr>
        <w:t> 万元。</w:t>
      </w:r>
    </w:p>
    <w:p>
      <w:pPr>
        <w:pStyle w:val="BodyText"/>
        <w:ind w:left="870"/>
      </w:pPr>
      <w:r>
        <w:rPr/>
        <w:t>收支相抵，一般公共预算收支平衡。</w:t>
      </w:r>
    </w:p>
    <w:p>
      <w:pPr>
        <w:spacing w:after="0"/>
        <w:sectPr>
          <w:pgSz w:w="11910" w:h="16850"/>
          <w:pgMar w:header="0" w:footer="1561" w:top="1600" w:bottom="1760" w:left="1360" w:right="1100"/>
        </w:sectPr>
      </w:pPr>
    </w:p>
    <w:p>
      <w:pPr>
        <w:pStyle w:val="BodyText"/>
        <w:spacing w:before="3"/>
        <w:rPr>
          <w:sz w:val="19"/>
        </w:rPr>
      </w:pPr>
    </w:p>
    <w:p>
      <w:pPr>
        <w:pStyle w:val="Heading3"/>
        <w:tabs>
          <w:tab w:pos="2956" w:val="left" w:leader="none"/>
        </w:tabs>
        <w:ind w:left="2385"/>
      </w:pPr>
      <w:r>
        <w:rPr/>
        <w:t>3</w:t>
        <w:tab/>
        <w:t>高阳县一般公共收入预算</w:t>
      </w:r>
    </w:p>
    <w:p>
      <w:pPr>
        <w:spacing w:before="120"/>
        <w:ind w:left="0" w:right="1999" w:firstLine="0"/>
        <w:jc w:val="right"/>
        <w:rPr>
          <w:rFonts w:ascii="宋体" w:eastAsia="宋体" w:hint="eastAsia"/>
          <w:sz w:val="21"/>
        </w:rPr>
      </w:pPr>
      <w:r>
        <w:rPr>
          <w:rFonts w:ascii="宋体" w:eastAsia="宋体" w:hint="eastAsia"/>
          <w:sz w:val="21"/>
        </w:rPr>
        <w:t>单位：万元</w:t>
      </w:r>
    </w:p>
    <w:p>
      <w:pPr>
        <w:pStyle w:val="BodyText"/>
        <w:spacing w:before="8"/>
        <w:rPr>
          <w:rFonts w:ascii="宋体"/>
          <w:sz w:val="11"/>
        </w:rPr>
      </w:pPr>
    </w:p>
    <w:tbl>
      <w:tblPr>
        <w:tblW w:w="0" w:type="auto"/>
        <w:jc w:val="left"/>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91"/>
        <w:gridCol w:w="2024"/>
      </w:tblGrid>
      <w:tr>
        <w:trPr>
          <w:trHeight w:val="568" w:hRule="atLeast"/>
        </w:trPr>
        <w:tc>
          <w:tcPr>
            <w:tcW w:w="5291" w:type="dxa"/>
          </w:tcPr>
          <w:p>
            <w:pPr>
              <w:pStyle w:val="TableParagraph"/>
              <w:tabs>
                <w:tab w:pos="1089" w:val="left" w:leader="none"/>
              </w:tabs>
              <w:spacing w:before="129"/>
              <w:ind w:left="4"/>
              <w:jc w:val="center"/>
              <w:rPr>
                <w:b/>
                <w:sz w:val="24"/>
              </w:rPr>
            </w:pPr>
            <w:r>
              <w:rPr>
                <w:b/>
                <w:sz w:val="24"/>
              </w:rPr>
              <w:t>项</w:t>
              <w:tab/>
              <w:t>目</w:t>
            </w:r>
          </w:p>
        </w:tc>
        <w:tc>
          <w:tcPr>
            <w:tcW w:w="2024" w:type="dxa"/>
          </w:tcPr>
          <w:p>
            <w:pPr>
              <w:pStyle w:val="TableParagraph"/>
              <w:spacing w:before="129"/>
              <w:ind w:left="525"/>
              <w:jc w:val="left"/>
              <w:rPr>
                <w:b/>
                <w:sz w:val="24"/>
              </w:rPr>
            </w:pPr>
            <w:r>
              <w:rPr>
                <w:b/>
                <w:sz w:val="24"/>
              </w:rPr>
              <w:t>预算安排</w:t>
            </w:r>
          </w:p>
        </w:tc>
      </w:tr>
      <w:tr>
        <w:trPr>
          <w:trHeight w:val="453" w:hRule="atLeast"/>
        </w:trPr>
        <w:tc>
          <w:tcPr>
            <w:tcW w:w="5291" w:type="dxa"/>
          </w:tcPr>
          <w:p>
            <w:pPr>
              <w:pStyle w:val="TableParagraph"/>
              <w:spacing w:before="69"/>
              <w:ind w:left="7"/>
              <w:jc w:val="center"/>
              <w:rPr>
                <w:b/>
                <w:sz w:val="24"/>
              </w:rPr>
            </w:pPr>
            <w:r>
              <w:rPr>
                <w:b/>
                <w:sz w:val="24"/>
              </w:rPr>
              <w:t>合 计</w:t>
            </w:r>
          </w:p>
        </w:tc>
        <w:tc>
          <w:tcPr>
            <w:tcW w:w="2024" w:type="dxa"/>
          </w:tcPr>
          <w:p>
            <w:pPr>
              <w:pStyle w:val="TableParagraph"/>
              <w:spacing w:before="82"/>
              <w:ind w:right="99"/>
              <w:rPr>
                <w:b/>
                <w:sz w:val="22"/>
              </w:rPr>
            </w:pPr>
            <w:r>
              <w:rPr>
                <w:b/>
                <w:w w:val="95"/>
                <w:sz w:val="22"/>
              </w:rPr>
              <w:t>101910</w:t>
            </w:r>
          </w:p>
        </w:tc>
      </w:tr>
      <w:tr>
        <w:trPr>
          <w:trHeight w:val="453" w:hRule="atLeast"/>
        </w:trPr>
        <w:tc>
          <w:tcPr>
            <w:tcW w:w="5291" w:type="dxa"/>
          </w:tcPr>
          <w:p>
            <w:pPr>
              <w:pStyle w:val="TableParagraph"/>
              <w:spacing w:before="82"/>
              <w:ind w:left="107"/>
              <w:jc w:val="left"/>
              <w:rPr>
                <w:b/>
                <w:sz w:val="22"/>
              </w:rPr>
            </w:pPr>
            <w:r>
              <w:rPr>
                <w:b/>
                <w:sz w:val="22"/>
              </w:rPr>
              <w:t>一、税收收入</w:t>
            </w:r>
          </w:p>
        </w:tc>
        <w:tc>
          <w:tcPr>
            <w:tcW w:w="2024" w:type="dxa"/>
          </w:tcPr>
          <w:p>
            <w:pPr>
              <w:pStyle w:val="TableParagraph"/>
              <w:spacing w:before="82"/>
              <w:ind w:right="96"/>
              <w:rPr>
                <w:sz w:val="22"/>
              </w:rPr>
            </w:pPr>
            <w:r>
              <w:rPr>
                <w:sz w:val="22"/>
              </w:rPr>
              <w:t>51910</w:t>
            </w:r>
          </w:p>
        </w:tc>
      </w:tr>
      <w:tr>
        <w:trPr>
          <w:trHeight w:val="456" w:hRule="atLeast"/>
        </w:trPr>
        <w:tc>
          <w:tcPr>
            <w:tcW w:w="5291" w:type="dxa"/>
          </w:tcPr>
          <w:p>
            <w:pPr>
              <w:pStyle w:val="TableParagraph"/>
              <w:spacing w:before="84"/>
              <w:ind w:left="328"/>
              <w:jc w:val="left"/>
              <w:rPr>
                <w:sz w:val="22"/>
              </w:rPr>
            </w:pPr>
            <w:r>
              <w:rPr>
                <w:sz w:val="22"/>
              </w:rPr>
              <w:t>增值税</w:t>
            </w:r>
          </w:p>
        </w:tc>
        <w:tc>
          <w:tcPr>
            <w:tcW w:w="2024" w:type="dxa"/>
          </w:tcPr>
          <w:p>
            <w:pPr>
              <w:pStyle w:val="TableParagraph"/>
              <w:spacing w:before="92"/>
              <w:ind w:right="96"/>
              <w:rPr>
                <w:sz w:val="21"/>
              </w:rPr>
            </w:pPr>
            <w:r>
              <w:rPr>
                <w:sz w:val="21"/>
              </w:rPr>
              <w:t>18570</w:t>
            </w:r>
          </w:p>
        </w:tc>
      </w:tr>
      <w:tr>
        <w:trPr>
          <w:trHeight w:val="453" w:hRule="atLeast"/>
        </w:trPr>
        <w:tc>
          <w:tcPr>
            <w:tcW w:w="5291" w:type="dxa"/>
          </w:tcPr>
          <w:p>
            <w:pPr>
              <w:pStyle w:val="TableParagraph"/>
              <w:spacing w:before="82"/>
              <w:ind w:left="328"/>
              <w:jc w:val="left"/>
              <w:rPr>
                <w:sz w:val="22"/>
              </w:rPr>
            </w:pPr>
            <w:r>
              <w:rPr>
                <w:sz w:val="22"/>
              </w:rPr>
              <w:t>企业所得税</w:t>
            </w:r>
          </w:p>
        </w:tc>
        <w:tc>
          <w:tcPr>
            <w:tcW w:w="2024" w:type="dxa"/>
          </w:tcPr>
          <w:p>
            <w:pPr>
              <w:pStyle w:val="TableParagraph"/>
              <w:spacing w:before="92"/>
              <w:ind w:right="96"/>
              <w:rPr>
                <w:sz w:val="21"/>
              </w:rPr>
            </w:pPr>
            <w:r>
              <w:rPr>
                <w:sz w:val="21"/>
              </w:rPr>
              <w:t>3750</w:t>
            </w:r>
          </w:p>
        </w:tc>
      </w:tr>
      <w:tr>
        <w:trPr>
          <w:trHeight w:val="453" w:hRule="atLeast"/>
        </w:trPr>
        <w:tc>
          <w:tcPr>
            <w:tcW w:w="5291" w:type="dxa"/>
          </w:tcPr>
          <w:p>
            <w:pPr>
              <w:pStyle w:val="TableParagraph"/>
              <w:spacing w:before="82"/>
              <w:ind w:left="328"/>
              <w:jc w:val="left"/>
              <w:rPr>
                <w:sz w:val="22"/>
              </w:rPr>
            </w:pPr>
            <w:r>
              <w:rPr>
                <w:sz w:val="22"/>
              </w:rPr>
              <w:t>个人所得税</w:t>
            </w:r>
          </w:p>
        </w:tc>
        <w:tc>
          <w:tcPr>
            <w:tcW w:w="2024" w:type="dxa"/>
          </w:tcPr>
          <w:p>
            <w:pPr>
              <w:pStyle w:val="TableParagraph"/>
              <w:spacing w:before="92"/>
              <w:ind w:right="96"/>
              <w:rPr>
                <w:sz w:val="21"/>
              </w:rPr>
            </w:pPr>
            <w:r>
              <w:rPr>
                <w:sz w:val="21"/>
              </w:rPr>
              <w:t>800</w:t>
            </w:r>
          </w:p>
        </w:tc>
      </w:tr>
      <w:tr>
        <w:trPr>
          <w:trHeight w:val="455" w:hRule="atLeast"/>
        </w:trPr>
        <w:tc>
          <w:tcPr>
            <w:tcW w:w="5291" w:type="dxa"/>
          </w:tcPr>
          <w:p>
            <w:pPr>
              <w:pStyle w:val="TableParagraph"/>
              <w:spacing w:before="84"/>
              <w:ind w:left="328"/>
              <w:jc w:val="left"/>
              <w:rPr>
                <w:sz w:val="22"/>
              </w:rPr>
            </w:pPr>
            <w:r>
              <w:rPr>
                <w:sz w:val="22"/>
              </w:rPr>
              <w:t>资源税</w:t>
            </w:r>
          </w:p>
        </w:tc>
        <w:tc>
          <w:tcPr>
            <w:tcW w:w="2024" w:type="dxa"/>
          </w:tcPr>
          <w:p>
            <w:pPr>
              <w:pStyle w:val="TableParagraph"/>
              <w:spacing w:before="92"/>
              <w:ind w:right="96"/>
              <w:rPr>
                <w:sz w:val="21"/>
              </w:rPr>
            </w:pPr>
            <w:r>
              <w:rPr>
                <w:sz w:val="21"/>
              </w:rPr>
              <w:t>900</w:t>
            </w:r>
          </w:p>
        </w:tc>
      </w:tr>
      <w:tr>
        <w:trPr>
          <w:trHeight w:val="453" w:hRule="atLeast"/>
        </w:trPr>
        <w:tc>
          <w:tcPr>
            <w:tcW w:w="5291" w:type="dxa"/>
          </w:tcPr>
          <w:p>
            <w:pPr>
              <w:pStyle w:val="TableParagraph"/>
              <w:spacing w:before="82"/>
              <w:ind w:left="328"/>
              <w:jc w:val="left"/>
              <w:rPr>
                <w:sz w:val="22"/>
              </w:rPr>
            </w:pPr>
            <w:r>
              <w:rPr>
                <w:sz w:val="22"/>
              </w:rPr>
              <w:t>城市维护建设税</w:t>
            </w:r>
          </w:p>
        </w:tc>
        <w:tc>
          <w:tcPr>
            <w:tcW w:w="2024" w:type="dxa"/>
          </w:tcPr>
          <w:p>
            <w:pPr>
              <w:pStyle w:val="TableParagraph"/>
              <w:spacing w:before="92"/>
              <w:ind w:right="96"/>
              <w:rPr>
                <w:sz w:val="21"/>
              </w:rPr>
            </w:pPr>
            <w:r>
              <w:rPr>
                <w:sz w:val="21"/>
              </w:rPr>
              <w:t>2170</w:t>
            </w:r>
          </w:p>
        </w:tc>
      </w:tr>
      <w:tr>
        <w:trPr>
          <w:trHeight w:val="453" w:hRule="atLeast"/>
        </w:trPr>
        <w:tc>
          <w:tcPr>
            <w:tcW w:w="5291" w:type="dxa"/>
          </w:tcPr>
          <w:p>
            <w:pPr>
              <w:pStyle w:val="TableParagraph"/>
              <w:spacing w:before="82"/>
              <w:ind w:left="328"/>
              <w:jc w:val="left"/>
              <w:rPr>
                <w:sz w:val="22"/>
              </w:rPr>
            </w:pPr>
            <w:r>
              <w:rPr>
                <w:sz w:val="22"/>
              </w:rPr>
              <w:t>房产税</w:t>
            </w:r>
          </w:p>
        </w:tc>
        <w:tc>
          <w:tcPr>
            <w:tcW w:w="2024" w:type="dxa"/>
          </w:tcPr>
          <w:p>
            <w:pPr>
              <w:pStyle w:val="TableParagraph"/>
              <w:spacing w:before="92"/>
              <w:ind w:right="96"/>
              <w:rPr>
                <w:sz w:val="21"/>
              </w:rPr>
            </w:pPr>
            <w:r>
              <w:rPr>
                <w:sz w:val="21"/>
              </w:rPr>
              <w:t>1230</w:t>
            </w:r>
          </w:p>
        </w:tc>
      </w:tr>
      <w:tr>
        <w:trPr>
          <w:trHeight w:val="455" w:hRule="atLeast"/>
        </w:trPr>
        <w:tc>
          <w:tcPr>
            <w:tcW w:w="5291" w:type="dxa"/>
          </w:tcPr>
          <w:p>
            <w:pPr>
              <w:pStyle w:val="TableParagraph"/>
              <w:spacing w:before="84"/>
              <w:ind w:left="328"/>
              <w:jc w:val="left"/>
              <w:rPr>
                <w:sz w:val="22"/>
              </w:rPr>
            </w:pPr>
            <w:r>
              <w:rPr>
                <w:sz w:val="22"/>
              </w:rPr>
              <w:t>印花税</w:t>
            </w:r>
          </w:p>
        </w:tc>
        <w:tc>
          <w:tcPr>
            <w:tcW w:w="2024" w:type="dxa"/>
          </w:tcPr>
          <w:p>
            <w:pPr>
              <w:pStyle w:val="TableParagraph"/>
              <w:spacing w:before="92"/>
              <w:ind w:right="96"/>
              <w:rPr>
                <w:sz w:val="21"/>
              </w:rPr>
            </w:pPr>
            <w:r>
              <w:rPr>
                <w:sz w:val="21"/>
              </w:rPr>
              <w:t>800</w:t>
            </w:r>
          </w:p>
        </w:tc>
      </w:tr>
      <w:tr>
        <w:trPr>
          <w:trHeight w:val="453" w:hRule="atLeast"/>
        </w:trPr>
        <w:tc>
          <w:tcPr>
            <w:tcW w:w="5291" w:type="dxa"/>
          </w:tcPr>
          <w:p>
            <w:pPr>
              <w:pStyle w:val="TableParagraph"/>
              <w:spacing w:before="82"/>
              <w:ind w:left="328"/>
              <w:jc w:val="left"/>
              <w:rPr>
                <w:sz w:val="22"/>
              </w:rPr>
            </w:pPr>
            <w:r>
              <w:rPr>
                <w:sz w:val="22"/>
              </w:rPr>
              <w:t>城镇土地使用税</w:t>
            </w:r>
          </w:p>
        </w:tc>
        <w:tc>
          <w:tcPr>
            <w:tcW w:w="2024" w:type="dxa"/>
          </w:tcPr>
          <w:p>
            <w:pPr>
              <w:pStyle w:val="TableParagraph"/>
              <w:spacing w:before="92"/>
              <w:ind w:right="96"/>
              <w:rPr>
                <w:sz w:val="21"/>
              </w:rPr>
            </w:pPr>
            <w:r>
              <w:rPr>
                <w:sz w:val="21"/>
              </w:rPr>
              <w:t>3500</w:t>
            </w:r>
          </w:p>
        </w:tc>
      </w:tr>
      <w:tr>
        <w:trPr>
          <w:trHeight w:val="453" w:hRule="atLeast"/>
        </w:trPr>
        <w:tc>
          <w:tcPr>
            <w:tcW w:w="5291" w:type="dxa"/>
          </w:tcPr>
          <w:p>
            <w:pPr>
              <w:pStyle w:val="TableParagraph"/>
              <w:spacing w:before="82"/>
              <w:ind w:left="328"/>
              <w:jc w:val="left"/>
              <w:rPr>
                <w:sz w:val="22"/>
              </w:rPr>
            </w:pPr>
            <w:r>
              <w:rPr>
                <w:sz w:val="22"/>
              </w:rPr>
              <w:t>土地增值税</w:t>
            </w:r>
          </w:p>
        </w:tc>
        <w:tc>
          <w:tcPr>
            <w:tcW w:w="2024" w:type="dxa"/>
          </w:tcPr>
          <w:p>
            <w:pPr>
              <w:pStyle w:val="TableParagraph"/>
              <w:spacing w:before="92"/>
              <w:ind w:right="96"/>
              <w:rPr>
                <w:sz w:val="21"/>
              </w:rPr>
            </w:pPr>
            <w:r>
              <w:rPr>
                <w:sz w:val="21"/>
              </w:rPr>
              <w:t>3550</w:t>
            </w:r>
          </w:p>
        </w:tc>
      </w:tr>
      <w:tr>
        <w:trPr>
          <w:trHeight w:val="455" w:hRule="atLeast"/>
        </w:trPr>
        <w:tc>
          <w:tcPr>
            <w:tcW w:w="5291" w:type="dxa"/>
          </w:tcPr>
          <w:p>
            <w:pPr>
              <w:pStyle w:val="TableParagraph"/>
              <w:spacing w:before="84"/>
              <w:ind w:left="328"/>
              <w:jc w:val="left"/>
              <w:rPr>
                <w:sz w:val="22"/>
              </w:rPr>
            </w:pPr>
            <w:r>
              <w:rPr>
                <w:sz w:val="22"/>
              </w:rPr>
              <w:t>车船税</w:t>
            </w:r>
          </w:p>
        </w:tc>
        <w:tc>
          <w:tcPr>
            <w:tcW w:w="2024" w:type="dxa"/>
          </w:tcPr>
          <w:p>
            <w:pPr>
              <w:pStyle w:val="TableParagraph"/>
              <w:spacing w:before="92"/>
              <w:ind w:right="96"/>
              <w:rPr>
                <w:sz w:val="21"/>
              </w:rPr>
            </w:pPr>
            <w:r>
              <w:rPr>
                <w:sz w:val="21"/>
              </w:rPr>
              <w:t>2820</w:t>
            </w:r>
          </w:p>
        </w:tc>
      </w:tr>
      <w:tr>
        <w:trPr>
          <w:trHeight w:val="453" w:hRule="atLeast"/>
        </w:trPr>
        <w:tc>
          <w:tcPr>
            <w:tcW w:w="5291" w:type="dxa"/>
          </w:tcPr>
          <w:p>
            <w:pPr>
              <w:pStyle w:val="TableParagraph"/>
              <w:spacing w:before="82"/>
              <w:ind w:left="328"/>
              <w:jc w:val="left"/>
              <w:rPr>
                <w:sz w:val="22"/>
              </w:rPr>
            </w:pPr>
            <w:r>
              <w:rPr>
                <w:sz w:val="22"/>
              </w:rPr>
              <w:t>耕地占用税</w:t>
            </w:r>
          </w:p>
        </w:tc>
        <w:tc>
          <w:tcPr>
            <w:tcW w:w="2024" w:type="dxa"/>
          </w:tcPr>
          <w:p>
            <w:pPr>
              <w:pStyle w:val="TableParagraph"/>
              <w:spacing w:before="92"/>
              <w:ind w:right="96"/>
              <w:rPr>
                <w:sz w:val="21"/>
              </w:rPr>
            </w:pPr>
            <w:r>
              <w:rPr>
                <w:sz w:val="21"/>
              </w:rPr>
              <w:t>5660</w:t>
            </w:r>
          </w:p>
        </w:tc>
      </w:tr>
      <w:tr>
        <w:trPr>
          <w:trHeight w:val="453" w:hRule="atLeast"/>
        </w:trPr>
        <w:tc>
          <w:tcPr>
            <w:tcW w:w="5291" w:type="dxa"/>
          </w:tcPr>
          <w:p>
            <w:pPr>
              <w:pStyle w:val="TableParagraph"/>
              <w:spacing w:before="82"/>
              <w:ind w:left="328"/>
              <w:jc w:val="left"/>
              <w:rPr>
                <w:sz w:val="22"/>
              </w:rPr>
            </w:pPr>
            <w:r>
              <w:rPr>
                <w:sz w:val="22"/>
              </w:rPr>
              <w:t>契税</w:t>
            </w:r>
          </w:p>
        </w:tc>
        <w:tc>
          <w:tcPr>
            <w:tcW w:w="2024" w:type="dxa"/>
          </w:tcPr>
          <w:p>
            <w:pPr>
              <w:pStyle w:val="TableParagraph"/>
              <w:spacing w:before="92"/>
              <w:ind w:right="96"/>
              <w:rPr>
                <w:sz w:val="21"/>
              </w:rPr>
            </w:pPr>
            <w:r>
              <w:rPr>
                <w:sz w:val="21"/>
              </w:rPr>
              <w:t>7860</w:t>
            </w:r>
          </w:p>
        </w:tc>
      </w:tr>
      <w:tr>
        <w:trPr>
          <w:trHeight w:val="455" w:hRule="atLeast"/>
        </w:trPr>
        <w:tc>
          <w:tcPr>
            <w:tcW w:w="5291" w:type="dxa"/>
          </w:tcPr>
          <w:p>
            <w:pPr>
              <w:pStyle w:val="TableParagraph"/>
              <w:spacing w:before="84"/>
              <w:ind w:left="328"/>
              <w:jc w:val="left"/>
              <w:rPr>
                <w:sz w:val="22"/>
              </w:rPr>
            </w:pPr>
            <w:r>
              <w:rPr>
                <w:sz w:val="22"/>
              </w:rPr>
              <w:t>环境保护税</w:t>
            </w:r>
          </w:p>
        </w:tc>
        <w:tc>
          <w:tcPr>
            <w:tcW w:w="2024" w:type="dxa"/>
          </w:tcPr>
          <w:p>
            <w:pPr>
              <w:pStyle w:val="TableParagraph"/>
              <w:spacing w:before="84"/>
              <w:ind w:right="99"/>
              <w:rPr>
                <w:sz w:val="22"/>
              </w:rPr>
            </w:pPr>
            <w:r>
              <w:rPr>
                <w:sz w:val="22"/>
              </w:rPr>
              <w:t>300</w:t>
            </w:r>
          </w:p>
        </w:tc>
      </w:tr>
      <w:tr>
        <w:trPr>
          <w:trHeight w:val="453" w:hRule="atLeast"/>
        </w:trPr>
        <w:tc>
          <w:tcPr>
            <w:tcW w:w="5291" w:type="dxa"/>
          </w:tcPr>
          <w:p>
            <w:pPr>
              <w:pStyle w:val="TableParagraph"/>
              <w:spacing w:before="82"/>
              <w:ind w:left="107"/>
              <w:jc w:val="left"/>
              <w:rPr>
                <w:b/>
                <w:sz w:val="22"/>
              </w:rPr>
            </w:pPr>
            <w:r>
              <w:rPr>
                <w:b/>
                <w:sz w:val="22"/>
              </w:rPr>
              <w:t>二、非税收入</w:t>
            </w:r>
          </w:p>
        </w:tc>
        <w:tc>
          <w:tcPr>
            <w:tcW w:w="2024" w:type="dxa"/>
          </w:tcPr>
          <w:p>
            <w:pPr>
              <w:pStyle w:val="TableParagraph"/>
              <w:spacing w:before="82"/>
              <w:ind w:right="99"/>
              <w:rPr>
                <w:b/>
                <w:sz w:val="22"/>
              </w:rPr>
            </w:pPr>
            <w:r>
              <w:rPr>
                <w:b/>
                <w:w w:val="95"/>
                <w:sz w:val="22"/>
              </w:rPr>
              <w:t>50000</w:t>
            </w:r>
          </w:p>
        </w:tc>
      </w:tr>
      <w:tr>
        <w:trPr>
          <w:trHeight w:val="453" w:hRule="atLeast"/>
        </w:trPr>
        <w:tc>
          <w:tcPr>
            <w:tcW w:w="5291" w:type="dxa"/>
          </w:tcPr>
          <w:p>
            <w:pPr>
              <w:pStyle w:val="TableParagraph"/>
              <w:spacing w:before="82"/>
              <w:ind w:left="328"/>
              <w:jc w:val="left"/>
              <w:rPr>
                <w:sz w:val="22"/>
              </w:rPr>
            </w:pPr>
            <w:r>
              <w:rPr>
                <w:sz w:val="22"/>
              </w:rPr>
              <w:t>专项收入</w:t>
            </w:r>
          </w:p>
        </w:tc>
        <w:tc>
          <w:tcPr>
            <w:tcW w:w="2024" w:type="dxa"/>
          </w:tcPr>
          <w:p>
            <w:pPr>
              <w:pStyle w:val="TableParagraph"/>
              <w:spacing w:before="82"/>
              <w:ind w:right="96"/>
              <w:rPr>
                <w:sz w:val="22"/>
              </w:rPr>
            </w:pPr>
            <w:r>
              <w:rPr>
                <w:sz w:val="22"/>
              </w:rPr>
              <w:t>20367</w:t>
            </w:r>
          </w:p>
        </w:tc>
      </w:tr>
      <w:tr>
        <w:trPr>
          <w:trHeight w:val="455" w:hRule="atLeast"/>
        </w:trPr>
        <w:tc>
          <w:tcPr>
            <w:tcW w:w="5291" w:type="dxa"/>
          </w:tcPr>
          <w:p>
            <w:pPr>
              <w:pStyle w:val="TableParagraph"/>
              <w:spacing w:before="84"/>
              <w:ind w:left="328"/>
              <w:jc w:val="left"/>
              <w:rPr>
                <w:sz w:val="22"/>
              </w:rPr>
            </w:pPr>
            <w:r>
              <w:rPr>
                <w:sz w:val="22"/>
              </w:rPr>
              <w:t>行政事业性收费收入</w:t>
            </w:r>
          </w:p>
        </w:tc>
        <w:tc>
          <w:tcPr>
            <w:tcW w:w="2024" w:type="dxa"/>
          </w:tcPr>
          <w:p>
            <w:pPr>
              <w:pStyle w:val="TableParagraph"/>
              <w:spacing w:before="84"/>
              <w:ind w:right="96"/>
              <w:rPr>
                <w:sz w:val="22"/>
              </w:rPr>
            </w:pPr>
            <w:r>
              <w:rPr>
                <w:sz w:val="22"/>
              </w:rPr>
              <w:t>2225</w:t>
            </w:r>
          </w:p>
        </w:tc>
      </w:tr>
      <w:tr>
        <w:trPr>
          <w:trHeight w:val="453" w:hRule="atLeast"/>
        </w:trPr>
        <w:tc>
          <w:tcPr>
            <w:tcW w:w="5291" w:type="dxa"/>
          </w:tcPr>
          <w:p>
            <w:pPr>
              <w:pStyle w:val="TableParagraph"/>
              <w:spacing w:before="82"/>
              <w:ind w:left="328"/>
              <w:jc w:val="left"/>
              <w:rPr>
                <w:sz w:val="22"/>
              </w:rPr>
            </w:pPr>
            <w:r>
              <w:rPr>
                <w:sz w:val="22"/>
              </w:rPr>
              <w:t>罚没收入</w:t>
            </w:r>
          </w:p>
        </w:tc>
        <w:tc>
          <w:tcPr>
            <w:tcW w:w="2024" w:type="dxa"/>
          </w:tcPr>
          <w:p>
            <w:pPr>
              <w:pStyle w:val="TableParagraph"/>
              <w:spacing w:before="82"/>
              <w:ind w:right="96"/>
              <w:rPr>
                <w:sz w:val="22"/>
              </w:rPr>
            </w:pPr>
            <w:r>
              <w:rPr>
                <w:sz w:val="22"/>
              </w:rPr>
              <w:t>5425</w:t>
            </w:r>
          </w:p>
        </w:tc>
      </w:tr>
      <w:tr>
        <w:trPr>
          <w:trHeight w:val="453" w:hRule="atLeast"/>
        </w:trPr>
        <w:tc>
          <w:tcPr>
            <w:tcW w:w="5291" w:type="dxa"/>
          </w:tcPr>
          <w:p>
            <w:pPr>
              <w:pStyle w:val="TableParagraph"/>
              <w:spacing w:before="82"/>
              <w:ind w:left="328"/>
              <w:jc w:val="left"/>
              <w:rPr>
                <w:sz w:val="22"/>
              </w:rPr>
            </w:pPr>
            <w:r>
              <w:rPr>
                <w:sz w:val="22"/>
              </w:rPr>
              <w:t>国有资本经营收入</w:t>
            </w:r>
          </w:p>
        </w:tc>
        <w:tc>
          <w:tcPr>
            <w:tcW w:w="2024" w:type="dxa"/>
          </w:tcPr>
          <w:p>
            <w:pPr>
              <w:pStyle w:val="TableParagraph"/>
              <w:jc w:val="left"/>
              <w:rPr>
                <w:rFonts w:ascii="Times New Roman"/>
                <w:sz w:val="22"/>
              </w:rPr>
            </w:pPr>
          </w:p>
        </w:tc>
      </w:tr>
      <w:tr>
        <w:trPr>
          <w:trHeight w:val="455" w:hRule="atLeast"/>
        </w:trPr>
        <w:tc>
          <w:tcPr>
            <w:tcW w:w="5291" w:type="dxa"/>
          </w:tcPr>
          <w:p>
            <w:pPr>
              <w:pStyle w:val="TableParagraph"/>
              <w:spacing w:before="84"/>
              <w:ind w:left="328"/>
              <w:jc w:val="left"/>
              <w:rPr>
                <w:sz w:val="22"/>
              </w:rPr>
            </w:pPr>
            <w:r>
              <w:rPr>
                <w:sz w:val="22"/>
              </w:rPr>
              <w:t>国有资源（资产）有偿使用收入</w:t>
            </w:r>
          </w:p>
        </w:tc>
        <w:tc>
          <w:tcPr>
            <w:tcW w:w="2024" w:type="dxa"/>
          </w:tcPr>
          <w:p>
            <w:pPr>
              <w:pStyle w:val="TableParagraph"/>
              <w:spacing w:before="84"/>
              <w:ind w:right="96"/>
              <w:rPr>
                <w:sz w:val="22"/>
              </w:rPr>
            </w:pPr>
            <w:r>
              <w:rPr>
                <w:sz w:val="22"/>
              </w:rPr>
              <w:t>21729</w:t>
            </w:r>
          </w:p>
        </w:tc>
      </w:tr>
      <w:tr>
        <w:trPr>
          <w:trHeight w:val="453" w:hRule="atLeast"/>
        </w:trPr>
        <w:tc>
          <w:tcPr>
            <w:tcW w:w="5291" w:type="dxa"/>
          </w:tcPr>
          <w:p>
            <w:pPr>
              <w:pStyle w:val="TableParagraph"/>
              <w:spacing w:before="82"/>
              <w:ind w:left="328"/>
              <w:jc w:val="left"/>
              <w:rPr>
                <w:sz w:val="22"/>
              </w:rPr>
            </w:pPr>
            <w:r>
              <w:rPr>
                <w:sz w:val="22"/>
              </w:rPr>
              <w:t>捐赠收入</w:t>
            </w:r>
          </w:p>
        </w:tc>
        <w:tc>
          <w:tcPr>
            <w:tcW w:w="2024" w:type="dxa"/>
          </w:tcPr>
          <w:p>
            <w:pPr>
              <w:pStyle w:val="TableParagraph"/>
              <w:jc w:val="left"/>
              <w:rPr>
                <w:rFonts w:ascii="Times New Roman"/>
                <w:sz w:val="22"/>
              </w:rPr>
            </w:pPr>
          </w:p>
        </w:tc>
      </w:tr>
      <w:tr>
        <w:trPr>
          <w:trHeight w:val="453" w:hRule="atLeast"/>
        </w:trPr>
        <w:tc>
          <w:tcPr>
            <w:tcW w:w="5291" w:type="dxa"/>
          </w:tcPr>
          <w:p>
            <w:pPr>
              <w:pStyle w:val="TableParagraph"/>
              <w:spacing w:before="82"/>
              <w:ind w:left="328"/>
              <w:jc w:val="left"/>
              <w:rPr>
                <w:sz w:val="22"/>
              </w:rPr>
            </w:pPr>
            <w:r>
              <w:rPr>
                <w:sz w:val="22"/>
              </w:rPr>
              <w:t>政府住房基金收入</w:t>
            </w:r>
          </w:p>
        </w:tc>
        <w:tc>
          <w:tcPr>
            <w:tcW w:w="2024" w:type="dxa"/>
          </w:tcPr>
          <w:p>
            <w:pPr>
              <w:pStyle w:val="TableParagraph"/>
              <w:spacing w:before="82"/>
              <w:ind w:right="99"/>
              <w:rPr>
                <w:sz w:val="22"/>
              </w:rPr>
            </w:pPr>
            <w:r>
              <w:rPr>
                <w:sz w:val="22"/>
              </w:rPr>
              <w:t>140</w:t>
            </w:r>
          </w:p>
        </w:tc>
      </w:tr>
    </w:tbl>
    <w:p>
      <w:pPr>
        <w:spacing w:after="0"/>
        <w:rPr>
          <w:sz w:val="22"/>
        </w:rPr>
        <w:sectPr>
          <w:pgSz w:w="11910" w:h="16850"/>
          <w:pgMar w:header="0" w:footer="1561" w:top="1600" w:bottom="1760" w:left="1360" w:right="1100"/>
        </w:sectPr>
      </w:pPr>
    </w:p>
    <w:p>
      <w:pPr>
        <w:pStyle w:val="BodyText"/>
        <w:spacing w:before="3"/>
        <w:rPr>
          <w:rFonts w:ascii="宋体"/>
          <w:sz w:val="19"/>
        </w:rPr>
      </w:pPr>
    </w:p>
    <w:p>
      <w:pPr>
        <w:pStyle w:val="Heading3"/>
        <w:tabs>
          <w:tab w:pos="2956" w:val="left" w:leader="none"/>
        </w:tabs>
        <w:ind w:left="2385"/>
      </w:pPr>
      <w:r>
        <w:rPr/>
        <w:t>4</w:t>
        <w:tab/>
        <w:t>高阳县一般公共支出预算</w:t>
      </w:r>
    </w:p>
    <w:p>
      <w:pPr>
        <w:spacing w:before="79"/>
        <w:ind w:left="0" w:right="1622" w:firstLine="0"/>
        <w:jc w:val="right"/>
        <w:rPr>
          <w:rFonts w:ascii="宋体" w:eastAsia="宋体" w:hint="eastAsia"/>
          <w:sz w:val="21"/>
        </w:rPr>
      </w:pPr>
      <w:r>
        <w:rPr>
          <w:rFonts w:ascii="宋体" w:eastAsia="宋体" w:hint="eastAsia"/>
          <w:sz w:val="21"/>
        </w:rPr>
        <w:t>单位：万元</w:t>
      </w:r>
    </w:p>
    <w:p>
      <w:pPr>
        <w:pStyle w:val="BodyText"/>
        <w:spacing w:before="4"/>
        <w:rPr>
          <w:rFonts w:ascii="宋体"/>
          <w:sz w:val="8"/>
        </w:rPr>
      </w:pPr>
    </w:p>
    <w:tbl>
      <w:tblPr>
        <w:tblW w:w="0" w:type="auto"/>
        <w:jc w:val="left"/>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91"/>
        <w:gridCol w:w="2024"/>
      </w:tblGrid>
      <w:tr>
        <w:trPr>
          <w:trHeight w:val="482" w:hRule="atLeast"/>
        </w:trPr>
        <w:tc>
          <w:tcPr>
            <w:tcW w:w="5291" w:type="dxa"/>
          </w:tcPr>
          <w:p>
            <w:pPr>
              <w:pStyle w:val="TableParagraph"/>
              <w:tabs>
                <w:tab w:pos="1089" w:val="left" w:leader="none"/>
              </w:tabs>
              <w:spacing w:before="83"/>
              <w:ind w:left="4"/>
              <w:jc w:val="center"/>
              <w:rPr>
                <w:b/>
                <w:sz w:val="24"/>
              </w:rPr>
            </w:pPr>
            <w:r>
              <w:rPr>
                <w:b/>
                <w:sz w:val="24"/>
              </w:rPr>
              <w:t>项</w:t>
              <w:tab/>
              <w:t>目</w:t>
            </w:r>
          </w:p>
        </w:tc>
        <w:tc>
          <w:tcPr>
            <w:tcW w:w="2024" w:type="dxa"/>
          </w:tcPr>
          <w:p>
            <w:pPr>
              <w:pStyle w:val="TableParagraph"/>
              <w:spacing w:before="83"/>
              <w:ind w:left="525"/>
              <w:jc w:val="left"/>
              <w:rPr>
                <w:b/>
                <w:sz w:val="24"/>
              </w:rPr>
            </w:pPr>
            <w:r>
              <w:rPr>
                <w:b/>
                <w:sz w:val="24"/>
              </w:rPr>
              <w:t>预算安排</w:t>
            </w:r>
          </w:p>
        </w:tc>
      </w:tr>
      <w:tr>
        <w:trPr>
          <w:trHeight w:val="481" w:hRule="atLeast"/>
        </w:trPr>
        <w:tc>
          <w:tcPr>
            <w:tcW w:w="5291" w:type="dxa"/>
          </w:tcPr>
          <w:p>
            <w:pPr>
              <w:pStyle w:val="TableParagraph"/>
              <w:tabs>
                <w:tab w:pos="489" w:val="left" w:leader="none"/>
              </w:tabs>
              <w:spacing w:before="84"/>
              <w:ind w:left="7"/>
              <w:jc w:val="center"/>
              <w:rPr>
                <w:b/>
                <w:sz w:val="24"/>
              </w:rPr>
            </w:pPr>
            <w:r>
              <w:rPr>
                <w:b/>
                <w:sz w:val="24"/>
              </w:rPr>
              <w:t>合</w:t>
              <w:tab/>
              <w:t>计</w:t>
            </w:r>
          </w:p>
        </w:tc>
        <w:tc>
          <w:tcPr>
            <w:tcW w:w="2024" w:type="dxa"/>
          </w:tcPr>
          <w:p>
            <w:pPr>
              <w:pStyle w:val="TableParagraph"/>
              <w:spacing w:before="106"/>
              <w:ind w:right="99"/>
              <w:rPr>
                <w:b/>
                <w:sz w:val="21"/>
              </w:rPr>
            </w:pPr>
            <w:r>
              <w:rPr>
                <w:b/>
                <w:sz w:val="21"/>
              </w:rPr>
              <w:t>305360</w:t>
            </w:r>
          </w:p>
        </w:tc>
      </w:tr>
      <w:tr>
        <w:trPr>
          <w:trHeight w:val="482" w:hRule="atLeast"/>
        </w:trPr>
        <w:tc>
          <w:tcPr>
            <w:tcW w:w="5291" w:type="dxa"/>
          </w:tcPr>
          <w:p>
            <w:pPr>
              <w:pStyle w:val="TableParagraph"/>
              <w:spacing w:before="96"/>
              <w:ind w:left="107"/>
              <w:jc w:val="left"/>
              <w:rPr>
                <w:sz w:val="22"/>
              </w:rPr>
            </w:pPr>
            <w:r>
              <w:rPr>
                <w:sz w:val="22"/>
              </w:rPr>
              <w:t>一般公共服务支出</w:t>
            </w:r>
          </w:p>
        </w:tc>
        <w:tc>
          <w:tcPr>
            <w:tcW w:w="2024" w:type="dxa"/>
          </w:tcPr>
          <w:p>
            <w:pPr>
              <w:pStyle w:val="TableParagraph"/>
              <w:spacing w:before="109"/>
              <w:ind w:right="96"/>
              <w:rPr>
                <w:rFonts w:ascii="Times New Roman"/>
                <w:sz w:val="22"/>
              </w:rPr>
            </w:pPr>
            <w:r>
              <w:rPr>
                <w:rFonts w:ascii="Times New Roman"/>
                <w:sz w:val="22"/>
              </w:rPr>
              <w:t>32522</w:t>
            </w:r>
          </w:p>
        </w:tc>
      </w:tr>
      <w:tr>
        <w:trPr>
          <w:trHeight w:val="482" w:hRule="atLeast"/>
        </w:trPr>
        <w:tc>
          <w:tcPr>
            <w:tcW w:w="5291" w:type="dxa"/>
          </w:tcPr>
          <w:p>
            <w:pPr>
              <w:pStyle w:val="TableParagraph"/>
              <w:spacing w:before="96"/>
              <w:ind w:left="107"/>
              <w:jc w:val="left"/>
              <w:rPr>
                <w:sz w:val="22"/>
              </w:rPr>
            </w:pPr>
            <w:r>
              <w:rPr>
                <w:sz w:val="22"/>
              </w:rPr>
              <w:t>公共安全支出</w:t>
            </w:r>
          </w:p>
        </w:tc>
        <w:tc>
          <w:tcPr>
            <w:tcW w:w="2024" w:type="dxa"/>
          </w:tcPr>
          <w:p>
            <w:pPr>
              <w:pStyle w:val="TableParagraph"/>
              <w:spacing w:before="109"/>
              <w:ind w:right="96"/>
              <w:rPr>
                <w:rFonts w:ascii="Times New Roman"/>
                <w:sz w:val="22"/>
              </w:rPr>
            </w:pPr>
            <w:r>
              <w:rPr>
                <w:rFonts w:ascii="Times New Roman"/>
                <w:sz w:val="22"/>
              </w:rPr>
              <w:t>9400</w:t>
            </w:r>
          </w:p>
        </w:tc>
      </w:tr>
      <w:tr>
        <w:trPr>
          <w:trHeight w:val="481" w:hRule="atLeast"/>
        </w:trPr>
        <w:tc>
          <w:tcPr>
            <w:tcW w:w="5291" w:type="dxa"/>
          </w:tcPr>
          <w:p>
            <w:pPr>
              <w:pStyle w:val="TableParagraph"/>
              <w:spacing w:before="96"/>
              <w:ind w:left="107"/>
              <w:jc w:val="left"/>
              <w:rPr>
                <w:sz w:val="22"/>
              </w:rPr>
            </w:pPr>
            <w:r>
              <w:rPr>
                <w:sz w:val="22"/>
              </w:rPr>
              <w:t>教育支出</w:t>
            </w:r>
          </w:p>
        </w:tc>
        <w:tc>
          <w:tcPr>
            <w:tcW w:w="2024" w:type="dxa"/>
          </w:tcPr>
          <w:p>
            <w:pPr>
              <w:pStyle w:val="TableParagraph"/>
              <w:spacing w:before="109"/>
              <w:ind w:right="96"/>
              <w:rPr>
                <w:rFonts w:ascii="Times New Roman"/>
                <w:sz w:val="22"/>
              </w:rPr>
            </w:pPr>
            <w:r>
              <w:rPr>
                <w:rFonts w:ascii="Times New Roman"/>
                <w:sz w:val="22"/>
              </w:rPr>
              <w:t>65235</w:t>
            </w:r>
          </w:p>
        </w:tc>
      </w:tr>
      <w:tr>
        <w:trPr>
          <w:trHeight w:val="482" w:hRule="atLeast"/>
        </w:trPr>
        <w:tc>
          <w:tcPr>
            <w:tcW w:w="5291" w:type="dxa"/>
          </w:tcPr>
          <w:p>
            <w:pPr>
              <w:pStyle w:val="TableParagraph"/>
              <w:spacing w:before="96"/>
              <w:ind w:left="107"/>
              <w:jc w:val="left"/>
              <w:rPr>
                <w:sz w:val="22"/>
              </w:rPr>
            </w:pPr>
            <w:r>
              <w:rPr>
                <w:sz w:val="22"/>
              </w:rPr>
              <w:t>科学技术支出</w:t>
            </w:r>
          </w:p>
        </w:tc>
        <w:tc>
          <w:tcPr>
            <w:tcW w:w="2024" w:type="dxa"/>
          </w:tcPr>
          <w:p>
            <w:pPr>
              <w:pStyle w:val="TableParagraph"/>
              <w:spacing w:before="109"/>
              <w:ind w:right="96"/>
              <w:rPr>
                <w:rFonts w:ascii="Times New Roman"/>
                <w:sz w:val="22"/>
              </w:rPr>
            </w:pPr>
            <w:r>
              <w:rPr>
                <w:rFonts w:ascii="Times New Roman"/>
                <w:sz w:val="22"/>
              </w:rPr>
              <w:t>4344</w:t>
            </w:r>
          </w:p>
        </w:tc>
      </w:tr>
      <w:tr>
        <w:trPr>
          <w:trHeight w:val="481" w:hRule="atLeast"/>
        </w:trPr>
        <w:tc>
          <w:tcPr>
            <w:tcW w:w="5291" w:type="dxa"/>
          </w:tcPr>
          <w:p>
            <w:pPr>
              <w:pStyle w:val="TableParagraph"/>
              <w:spacing w:before="96"/>
              <w:ind w:left="107"/>
              <w:jc w:val="left"/>
              <w:rPr>
                <w:sz w:val="22"/>
              </w:rPr>
            </w:pPr>
            <w:r>
              <w:rPr>
                <w:sz w:val="22"/>
              </w:rPr>
              <w:t>文化旅游体育与传媒支出</w:t>
            </w:r>
          </w:p>
        </w:tc>
        <w:tc>
          <w:tcPr>
            <w:tcW w:w="2024" w:type="dxa"/>
          </w:tcPr>
          <w:p>
            <w:pPr>
              <w:pStyle w:val="TableParagraph"/>
              <w:spacing w:before="109"/>
              <w:ind w:right="96"/>
              <w:rPr>
                <w:rFonts w:ascii="Times New Roman"/>
                <w:sz w:val="22"/>
              </w:rPr>
            </w:pPr>
            <w:r>
              <w:rPr>
                <w:rFonts w:ascii="Times New Roman"/>
                <w:sz w:val="22"/>
              </w:rPr>
              <w:t>6481</w:t>
            </w:r>
          </w:p>
        </w:tc>
      </w:tr>
      <w:tr>
        <w:trPr>
          <w:trHeight w:val="481" w:hRule="atLeast"/>
        </w:trPr>
        <w:tc>
          <w:tcPr>
            <w:tcW w:w="5291" w:type="dxa"/>
          </w:tcPr>
          <w:p>
            <w:pPr>
              <w:pStyle w:val="TableParagraph"/>
              <w:spacing w:before="96"/>
              <w:ind w:left="107"/>
              <w:jc w:val="left"/>
              <w:rPr>
                <w:sz w:val="22"/>
              </w:rPr>
            </w:pPr>
            <w:r>
              <w:rPr>
                <w:sz w:val="22"/>
              </w:rPr>
              <w:t>社会保障和就业支出</w:t>
            </w:r>
          </w:p>
        </w:tc>
        <w:tc>
          <w:tcPr>
            <w:tcW w:w="2024" w:type="dxa"/>
          </w:tcPr>
          <w:p>
            <w:pPr>
              <w:pStyle w:val="TableParagraph"/>
              <w:spacing w:before="109"/>
              <w:ind w:right="96"/>
              <w:rPr>
                <w:rFonts w:ascii="Times New Roman"/>
                <w:sz w:val="22"/>
              </w:rPr>
            </w:pPr>
            <w:r>
              <w:rPr>
                <w:rFonts w:ascii="Times New Roman"/>
                <w:sz w:val="22"/>
              </w:rPr>
              <w:t>42692</w:t>
            </w:r>
          </w:p>
        </w:tc>
      </w:tr>
      <w:tr>
        <w:trPr>
          <w:trHeight w:val="481" w:hRule="atLeast"/>
        </w:trPr>
        <w:tc>
          <w:tcPr>
            <w:tcW w:w="5291" w:type="dxa"/>
          </w:tcPr>
          <w:p>
            <w:pPr>
              <w:pStyle w:val="TableParagraph"/>
              <w:spacing w:before="96"/>
              <w:ind w:left="107"/>
              <w:jc w:val="left"/>
              <w:rPr>
                <w:sz w:val="22"/>
              </w:rPr>
            </w:pPr>
            <w:r>
              <w:rPr>
                <w:sz w:val="22"/>
              </w:rPr>
              <w:t>卫生健康支出</w:t>
            </w:r>
          </w:p>
        </w:tc>
        <w:tc>
          <w:tcPr>
            <w:tcW w:w="2024" w:type="dxa"/>
          </w:tcPr>
          <w:p>
            <w:pPr>
              <w:pStyle w:val="TableParagraph"/>
              <w:spacing w:before="109"/>
              <w:ind w:right="96"/>
              <w:rPr>
                <w:rFonts w:ascii="Times New Roman"/>
                <w:sz w:val="22"/>
              </w:rPr>
            </w:pPr>
            <w:r>
              <w:rPr>
                <w:rFonts w:ascii="Times New Roman"/>
                <w:sz w:val="22"/>
              </w:rPr>
              <w:t>19202</w:t>
            </w:r>
          </w:p>
        </w:tc>
      </w:tr>
      <w:tr>
        <w:trPr>
          <w:trHeight w:val="482" w:hRule="atLeast"/>
        </w:trPr>
        <w:tc>
          <w:tcPr>
            <w:tcW w:w="5291" w:type="dxa"/>
          </w:tcPr>
          <w:p>
            <w:pPr>
              <w:pStyle w:val="TableParagraph"/>
              <w:spacing w:before="96"/>
              <w:ind w:left="107"/>
              <w:jc w:val="left"/>
              <w:rPr>
                <w:sz w:val="22"/>
              </w:rPr>
            </w:pPr>
            <w:r>
              <w:rPr>
                <w:sz w:val="22"/>
              </w:rPr>
              <w:t>节能环保支出</w:t>
            </w:r>
          </w:p>
        </w:tc>
        <w:tc>
          <w:tcPr>
            <w:tcW w:w="2024" w:type="dxa"/>
          </w:tcPr>
          <w:p>
            <w:pPr>
              <w:pStyle w:val="TableParagraph"/>
              <w:spacing w:before="109"/>
              <w:ind w:right="96"/>
              <w:rPr>
                <w:rFonts w:ascii="Times New Roman"/>
                <w:sz w:val="22"/>
              </w:rPr>
            </w:pPr>
            <w:r>
              <w:rPr>
                <w:rFonts w:ascii="Times New Roman"/>
                <w:sz w:val="22"/>
              </w:rPr>
              <w:t>29801</w:t>
            </w:r>
          </w:p>
        </w:tc>
      </w:tr>
      <w:tr>
        <w:trPr>
          <w:trHeight w:val="482" w:hRule="atLeast"/>
        </w:trPr>
        <w:tc>
          <w:tcPr>
            <w:tcW w:w="5291" w:type="dxa"/>
          </w:tcPr>
          <w:p>
            <w:pPr>
              <w:pStyle w:val="TableParagraph"/>
              <w:spacing w:before="97"/>
              <w:ind w:left="107"/>
              <w:jc w:val="left"/>
              <w:rPr>
                <w:sz w:val="22"/>
              </w:rPr>
            </w:pPr>
            <w:r>
              <w:rPr>
                <w:sz w:val="22"/>
              </w:rPr>
              <w:t>城乡社区支出</w:t>
            </w:r>
          </w:p>
        </w:tc>
        <w:tc>
          <w:tcPr>
            <w:tcW w:w="2024" w:type="dxa"/>
          </w:tcPr>
          <w:p>
            <w:pPr>
              <w:pStyle w:val="TableParagraph"/>
              <w:spacing w:before="109"/>
              <w:ind w:right="96"/>
              <w:rPr>
                <w:rFonts w:ascii="Times New Roman"/>
                <w:sz w:val="22"/>
              </w:rPr>
            </w:pPr>
            <w:r>
              <w:rPr>
                <w:rFonts w:ascii="Times New Roman"/>
                <w:sz w:val="22"/>
              </w:rPr>
              <w:t>13234</w:t>
            </w:r>
          </w:p>
        </w:tc>
      </w:tr>
      <w:tr>
        <w:trPr>
          <w:trHeight w:val="481" w:hRule="atLeast"/>
        </w:trPr>
        <w:tc>
          <w:tcPr>
            <w:tcW w:w="5291" w:type="dxa"/>
          </w:tcPr>
          <w:p>
            <w:pPr>
              <w:pStyle w:val="TableParagraph"/>
              <w:spacing w:before="96"/>
              <w:ind w:left="107"/>
              <w:jc w:val="left"/>
              <w:rPr>
                <w:sz w:val="22"/>
              </w:rPr>
            </w:pPr>
            <w:r>
              <w:rPr>
                <w:sz w:val="22"/>
              </w:rPr>
              <w:t>农林水支出</w:t>
            </w:r>
          </w:p>
        </w:tc>
        <w:tc>
          <w:tcPr>
            <w:tcW w:w="2024" w:type="dxa"/>
          </w:tcPr>
          <w:p>
            <w:pPr>
              <w:pStyle w:val="TableParagraph"/>
              <w:spacing w:before="109"/>
              <w:ind w:right="96"/>
              <w:rPr>
                <w:rFonts w:ascii="Times New Roman"/>
                <w:sz w:val="22"/>
              </w:rPr>
            </w:pPr>
            <w:r>
              <w:rPr>
                <w:rFonts w:ascii="Times New Roman"/>
                <w:sz w:val="22"/>
              </w:rPr>
              <w:t>48788</w:t>
            </w:r>
          </w:p>
        </w:tc>
      </w:tr>
      <w:tr>
        <w:trPr>
          <w:trHeight w:val="482" w:hRule="atLeast"/>
        </w:trPr>
        <w:tc>
          <w:tcPr>
            <w:tcW w:w="5291" w:type="dxa"/>
          </w:tcPr>
          <w:p>
            <w:pPr>
              <w:pStyle w:val="TableParagraph"/>
              <w:spacing w:before="96"/>
              <w:ind w:left="107"/>
              <w:jc w:val="left"/>
              <w:rPr>
                <w:sz w:val="22"/>
              </w:rPr>
            </w:pPr>
            <w:r>
              <w:rPr>
                <w:sz w:val="22"/>
              </w:rPr>
              <w:t>交通运输支出</w:t>
            </w:r>
          </w:p>
        </w:tc>
        <w:tc>
          <w:tcPr>
            <w:tcW w:w="2024" w:type="dxa"/>
          </w:tcPr>
          <w:p>
            <w:pPr>
              <w:pStyle w:val="TableParagraph"/>
              <w:spacing w:before="109"/>
              <w:ind w:right="96"/>
              <w:rPr>
                <w:rFonts w:ascii="Times New Roman"/>
                <w:sz w:val="22"/>
              </w:rPr>
            </w:pPr>
            <w:r>
              <w:rPr>
                <w:rFonts w:ascii="Times New Roman"/>
                <w:sz w:val="22"/>
              </w:rPr>
              <w:t>3668</w:t>
            </w:r>
          </w:p>
        </w:tc>
      </w:tr>
      <w:tr>
        <w:trPr>
          <w:trHeight w:val="482" w:hRule="atLeast"/>
        </w:trPr>
        <w:tc>
          <w:tcPr>
            <w:tcW w:w="5291" w:type="dxa"/>
          </w:tcPr>
          <w:p>
            <w:pPr>
              <w:pStyle w:val="TableParagraph"/>
              <w:spacing w:before="96"/>
              <w:ind w:left="107"/>
              <w:jc w:val="left"/>
              <w:rPr>
                <w:sz w:val="22"/>
              </w:rPr>
            </w:pPr>
            <w:r>
              <w:rPr>
                <w:sz w:val="22"/>
              </w:rPr>
              <w:t>资源勘探信息支出</w:t>
            </w:r>
          </w:p>
        </w:tc>
        <w:tc>
          <w:tcPr>
            <w:tcW w:w="2024" w:type="dxa"/>
          </w:tcPr>
          <w:p>
            <w:pPr>
              <w:pStyle w:val="TableParagraph"/>
              <w:spacing w:before="109"/>
              <w:ind w:right="99"/>
              <w:rPr>
                <w:rFonts w:ascii="Times New Roman"/>
                <w:sz w:val="22"/>
              </w:rPr>
            </w:pPr>
            <w:r>
              <w:rPr>
                <w:rFonts w:ascii="Times New Roman"/>
                <w:sz w:val="22"/>
              </w:rPr>
              <w:t>63</w:t>
            </w:r>
          </w:p>
        </w:tc>
      </w:tr>
      <w:tr>
        <w:trPr>
          <w:trHeight w:val="482" w:hRule="atLeast"/>
        </w:trPr>
        <w:tc>
          <w:tcPr>
            <w:tcW w:w="5291" w:type="dxa"/>
          </w:tcPr>
          <w:p>
            <w:pPr>
              <w:pStyle w:val="TableParagraph"/>
              <w:spacing w:before="96"/>
              <w:ind w:left="107"/>
              <w:jc w:val="left"/>
              <w:rPr>
                <w:sz w:val="22"/>
              </w:rPr>
            </w:pPr>
            <w:r>
              <w:rPr>
                <w:sz w:val="22"/>
              </w:rPr>
              <w:t>商业服务业支出</w:t>
            </w:r>
          </w:p>
        </w:tc>
        <w:tc>
          <w:tcPr>
            <w:tcW w:w="2024" w:type="dxa"/>
          </w:tcPr>
          <w:p>
            <w:pPr>
              <w:pStyle w:val="TableParagraph"/>
              <w:spacing w:before="109"/>
              <w:ind w:right="99"/>
              <w:rPr>
                <w:rFonts w:ascii="Times New Roman"/>
                <w:sz w:val="22"/>
              </w:rPr>
            </w:pPr>
            <w:r>
              <w:rPr>
                <w:rFonts w:ascii="Times New Roman"/>
                <w:sz w:val="22"/>
              </w:rPr>
              <w:t>162</w:t>
            </w:r>
          </w:p>
        </w:tc>
      </w:tr>
      <w:tr>
        <w:trPr>
          <w:trHeight w:val="482" w:hRule="atLeast"/>
        </w:trPr>
        <w:tc>
          <w:tcPr>
            <w:tcW w:w="5291" w:type="dxa"/>
          </w:tcPr>
          <w:p>
            <w:pPr>
              <w:pStyle w:val="TableParagraph"/>
              <w:spacing w:before="96"/>
              <w:ind w:left="107"/>
              <w:jc w:val="left"/>
              <w:rPr>
                <w:sz w:val="22"/>
              </w:rPr>
            </w:pPr>
            <w:r>
              <w:rPr>
                <w:sz w:val="22"/>
              </w:rPr>
              <w:t>金融支出</w:t>
            </w:r>
          </w:p>
        </w:tc>
        <w:tc>
          <w:tcPr>
            <w:tcW w:w="2024" w:type="dxa"/>
          </w:tcPr>
          <w:p>
            <w:pPr>
              <w:pStyle w:val="TableParagraph"/>
              <w:spacing w:before="109"/>
              <w:ind w:right="99"/>
              <w:rPr>
                <w:rFonts w:ascii="Times New Roman"/>
                <w:sz w:val="22"/>
              </w:rPr>
            </w:pPr>
            <w:r>
              <w:rPr>
                <w:rFonts w:ascii="Times New Roman"/>
                <w:sz w:val="22"/>
              </w:rPr>
              <w:t>15</w:t>
            </w:r>
          </w:p>
        </w:tc>
      </w:tr>
      <w:tr>
        <w:trPr>
          <w:trHeight w:val="481" w:hRule="atLeast"/>
        </w:trPr>
        <w:tc>
          <w:tcPr>
            <w:tcW w:w="5291" w:type="dxa"/>
          </w:tcPr>
          <w:p>
            <w:pPr>
              <w:pStyle w:val="TableParagraph"/>
              <w:spacing w:before="96"/>
              <w:ind w:left="107"/>
              <w:jc w:val="left"/>
              <w:rPr>
                <w:sz w:val="22"/>
              </w:rPr>
            </w:pPr>
            <w:r>
              <w:rPr>
                <w:sz w:val="22"/>
              </w:rPr>
              <w:t>自然资源海洋气等支出</w:t>
            </w:r>
          </w:p>
        </w:tc>
        <w:tc>
          <w:tcPr>
            <w:tcW w:w="2024" w:type="dxa"/>
          </w:tcPr>
          <w:p>
            <w:pPr>
              <w:pStyle w:val="TableParagraph"/>
              <w:spacing w:before="109"/>
              <w:ind w:right="96"/>
              <w:rPr>
                <w:rFonts w:ascii="Times New Roman"/>
                <w:sz w:val="22"/>
              </w:rPr>
            </w:pPr>
            <w:r>
              <w:rPr>
                <w:rFonts w:ascii="Times New Roman"/>
                <w:sz w:val="22"/>
              </w:rPr>
              <w:t>3781</w:t>
            </w:r>
          </w:p>
        </w:tc>
      </w:tr>
      <w:tr>
        <w:trPr>
          <w:trHeight w:val="482" w:hRule="atLeast"/>
        </w:trPr>
        <w:tc>
          <w:tcPr>
            <w:tcW w:w="5291" w:type="dxa"/>
          </w:tcPr>
          <w:p>
            <w:pPr>
              <w:pStyle w:val="TableParagraph"/>
              <w:spacing w:before="97"/>
              <w:ind w:left="107"/>
              <w:jc w:val="left"/>
              <w:rPr>
                <w:sz w:val="22"/>
              </w:rPr>
            </w:pPr>
            <w:r>
              <w:rPr>
                <w:sz w:val="22"/>
              </w:rPr>
              <w:t>住房保障支出</w:t>
            </w:r>
          </w:p>
        </w:tc>
        <w:tc>
          <w:tcPr>
            <w:tcW w:w="2024" w:type="dxa"/>
          </w:tcPr>
          <w:p>
            <w:pPr>
              <w:pStyle w:val="TableParagraph"/>
              <w:spacing w:before="109"/>
              <w:ind w:right="96"/>
              <w:rPr>
                <w:rFonts w:ascii="Times New Roman"/>
                <w:sz w:val="22"/>
              </w:rPr>
            </w:pPr>
            <w:r>
              <w:rPr>
                <w:rFonts w:ascii="Times New Roman"/>
                <w:sz w:val="22"/>
              </w:rPr>
              <w:t>14729</w:t>
            </w:r>
          </w:p>
        </w:tc>
      </w:tr>
      <w:tr>
        <w:trPr>
          <w:trHeight w:val="482" w:hRule="atLeast"/>
        </w:trPr>
        <w:tc>
          <w:tcPr>
            <w:tcW w:w="5291" w:type="dxa"/>
          </w:tcPr>
          <w:p>
            <w:pPr>
              <w:pStyle w:val="TableParagraph"/>
              <w:spacing w:before="96"/>
              <w:ind w:left="107"/>
              <w:jc w:val="left"/>
              <w:rPr>
                <w:sz w:val="22"/>
              </w:rPr>
            </w:pPr>
            <w:r>
              <w:rPr>
                <w:sz w:val="22"/>
              </w:rPr>
              <w:t>粮油物资储备支出</w:t>
            </w:r>
          </w:p>
        </w:tc>
        <w:tc>
          <w:tcPr>
            <w:tcW w:w="2024" w:type="dxa"/>
          </w:tcPr>
          <w:p>
            <w:pPr>
              <w:pStyle w:val="TableParagraph"/>
              <w:spacing w:before="109"/>
              <w:ind w:right="96"/>
              <w:rPr>
                <w:rFonts w:ascii="Times New Roman"/>
                <w:sz w:val="22"/>
              </w:rPr>
            </w:pPr>
            <w:r>
              <w:rPr>
                <w:rFonts w:ascii="Times New Roman"/>
                <w:sz w:val="22"/>
              </w:rPr>
              <w:t>311</w:t>
            </w:r>
          </w:p>
        </w:tc>
      </w:tr>
      <w:tr>
        <w:trPr>
          <w:trHeight w:val="481" w:hRule="atLeast"/>
        </w:trPr>
        <w:tc>
          <w:tcPr>
            <w:tcW w:w="5291" w:type="dxa"/>
          </w:tcPr>
          <w:p>
            <w:pPr>
              <w:pStyle w:val="TableParagraph"/>
              <w:spacing w:before="96"/>
              <w:ind w:left="107"/>
              <w:jc w:val="left"/>
              <w:rPr>
                <w:sz w:val="22"/>
              </w:rPr>
            </w:pPr>
            <w:r>
              <w:rPr>
                <w:sz w:val="22"/>
              </w:rPr>
              <w:t>灾害防治及应急管理支出</w:t>
            </w:r>
          </w:p>
        </w:tc>
        <w:tc>
          <w:tcPr>
            <w:tcW w:w="2024" w:type="dxa"/>
          </w:tcPr>
          <w:p>
            <w:pPr>
              <w:pStyle w:val="TableParagraph"/>
              <w:spacing w:before="109"/>
              <w:ind w:right="96"/>
              <w:rPr>
                <w:rFonts w:ascii="Times New Roman"/>
                <w:sz w:val="22"/>
              </w:rPr>
            </w:pPr>
            <w:r>
              <w:rPr>
                <w:rFonts w:ascii="Times New Roman"/>
                <w:sz w:val="22"/>
              </w:rPr>
              <w:t>2382</w:t>
            </w:r>
          </w:p>
        </w:tc>
      </w:tr>
      <w:tr>
        <w:trPr>
          <w:trHeight w:val="481" w:hRule="atLeast"/>
        </w:trPr>
        <w:tc>
          <w:tcPr>
            <w:tcW w:w="5291" w:type="dxa"/>
          </w:tcPr>
          <w:p>
            <w:pPr>
              <w:pStyle w:val="TableParagraph"/>
              <w:spacing w:before="96"/>
              <w:ind w:left="107"/>
              <w:jc w:val="left"/>
              <w:rPr>
                <w:sz w:val="22"/>
              </w:rPr>
            </w:pPr>
            <w:r>
              <w:rPr>
                <w:sz w:val="22"/>
              </w:rPr>
              <w:t>其他支出</w:t>
            </w:r>
          </w:p>
        </w:tc>
        <w:tc>
          <w:tcPr>
            <w:tcW w:w="2024" w:type="dxa"/>
          </w:tcPr>
          <w:p>
            <w:pPr>
              <w:pStyle w:val="TableParagraph"/>
              <w:jc w:val="left"/>
              <w:rPr>
                <w:rFonts w:ascii="Times New Roman"/>
                <w:sz w:val="22"/>
              </w:rPr>
            </w:pPr>
          </w:p>
        </w:tc>
      </w:tr>
      <w:tr>
        <w:trPr>
          <w:trHeight w:val="482" w:hRule="atLeast"/>
        </w:trPr>
        <w:tc>
          <w:tcPr>
            <w:tcW w:w="5291" w:type="dxa"/>
          </w:tcPr>
          <w:p>
            <w:pPr>
              <w:pStyle w:val="TableParagraph"/>
              <w:spacing w:before="96"/>
              <w:ind w:left="107"/>
              <w:jc w:val="left"/>
              <w:rPr>
                <w:sz w:val="22"/>
              </w:rPr>
            </w:pPr>
            <w:r>
              <w:rPr>
                <w:sz w:val="22"/>
              </w:rPr>
              <w:t>预备费</w:t>
            </w:r>
          </w:p>
        </w:tc>
        <w:tc>
          <w:tcPr>
            <w:tcW w:w="2024" w:type="dxa"/>
          </w:tcPr>
          <w:p>
            <w:pPr>
              <w:pStyle w:val="TableParagraph"/>
              <w:spacing w:before="109"/>
              <w:ind w:right="96"/>
              <w:rPr>
                <w:rFonts w:ascii="Times New Roman"/>
                <w:sz w:val="22"/>
              </w:rPr>
            </w:pPr>
            <w:r>
              <w:rPr>
                <w:rFonts w:ascii="Times New Roman"/>
                <w:sz w:val="22"/>
              </w:rPr>
              <w:t>4000</w:t>
            </w:r>
          </w:p>
        </w:tc>
      </w:tr>
      <w:tr>
        <w:trPr>
          <w:trHeight w:val="481" w:hRule="atLeast"/>
        </w:trPr>
        <w:tc>
          <w:tcPr>
            <w:tcW w:w="5291" w:type="dxa"/>
          </w:tcPr>
          <w:p>
            <w:pPr>
              <w:pStyle w:val="TableParagraph"/>
              <w:spacing w:before="96"/>
              <w:ind w:left="107"/>
              <w:jc w:val="left"/>
              <w:rPr>
                <w:sz w:val="22"/>
              </w:rPr>
            </w:pPr>
            <w:r>
              <w:rPr>
                <w:sz w:val="22"/>
              </w:rPr>
              <w:t>债务付息支出</w:t>
            </w:r>
          </w:p>
        </w:tc>
        <w:tc>
          <w:tcPr>
            <w:tcW w:w="2024" w:type="dxa"/>
          </w:tcPr>
          <w:p>
            <w:pPr>
              <w:pStyle w:val="TableParagraph"/>
              <w:spacing w:before="109"/>
              <w:ind w:right="96"/>
              <w:rPr>
                <w:rFonts w:ascii="Times New Roman"/>
                <w:sz w:val="22"/>
              </w:rPr>
            </w:pPr>
            <w:r>
              <w:rPr>
                <w:rFonts w:ascii="Times New Roman"/>
                <w:sz w:val="22"/>
              </w:rPr>
              <w:t>4500</w:t>
            </w:r>
          </w:p>
        </w:tc>
      </w:tr>
    </w:tbl>
    <w:p>
      <w:pPr>
        <w:spacing w:after="0"/>
        <w:rPr>
          <w:rFonts w:ascii="Times New Roman"/>
          <w:sz w:val="22"/>
        </w:rPr>
        <w:sectPr>
          <w:pgSz w:w="11910" w:h="16850"/>
          <w:pgMar w:header="0" w:footer="1561" w:top="1600" w:bottom="1760" w:left="1360" w:right="1100"/>
        </w:sectPr>
      </w:pPr>
    </w:p>
    <w:p>
      <w:pPr>
        <w:pStyle w:val="BodyText"/>
        <w:spacing w:before="2"/>
        <w:rPr>
          <w:rFonts w:ascii="宋体"/>
          <w:sz w:val="21"/>
        </w:rPr>
      </w:pPr>
    </w:p>
    <w:tbl>
      <w:tblPr>
        <w:tblW w:w="0" w:type="auto"/>
        <w:jc w:val="left"/>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91"/>
        <w:gridCol w:w="2024"/>
      </w:tblGrid>
      <w:tr>
        <w:trPr>
          <w:trHeight w:val="482" w:hRule="atLeast"/>
        </w:trPr>
        <w:tc>
          <w:tcPr>
            <w:tcW w:w="5291" w:type="dxa"/>
          </w:tcPr>
          <w:p>
            <w:pPr>
              <w:pStyle w:val="TableParagraph"/>
              <w:spacing w:before="96"/>
              <w:ind w:left="107"/>
              <w:jc w:val="left"/>
              <w:rPr>
                <w:sz w:val="22"/>
              </w:rPr>
            </w:pPr>
            <w:r>
              <w:rPr>
                <w:sz w:val="22"/>
              </w:rPr>
              <w:t>债务发行费用支出</w:t>
            </w:r>
          </w:p>
        </w:tc>
        <w:tc>
          <w:tcPr>
            <w:tcW w:w="2024" w:type="dxa"/>
          </w:tcPr>
          <w:p>
            <w:pPr>
              <w:pStyle w:val="TableParagraph"/>
              <w:spacing w:before="106"/>
              <w:ind w:right="99"/>
              <w:rPr>
                <w:rFonts w:ascii="Times New Roman"/>
                <w:sz w:val="22"/>
              </w:rPr>
            </w:pPr>
            <w:r>
              <w:rPr>
                <w:rFonts w:ascii="Times New Roman"/>
                <w:sz w:val="22"/>
              </w:rPr>
              <w:t>50</w:t>
            </w:r>
          </w:p>
        </w:tc>
      </w:tr>
    </w:tbl>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3"/>
        <w:rPr>
          <w:rFonts w:ascii="宋体"/>
          <w:sz w:val="24"/>
        </w:rPr>
      </w:pPr>
    </w:p>
    <w:p>
      <w:pPr>
        <w:pStyle w:val="Heading2"/>
      </w:pPr>
      <w:r>
        <w:rPr/>
        <w:t>第二部分</w:t>
      </w:r>
    </w:p>
    <w:p>
      <w:pPr>
        <w:spacing w:line="926" w:lineRule="exact" w:before="0"/>
        <w:ind w:left="176" w:right="60" w:firstLine="0"/>
        <w:jc w:val="center"/>
        <w:rPr>
          <w:rFonts w:ascii="微软雅黑" w:eastAsia="微软雅黑" w:hint="eastAsia"/>
          <w:sz w:val="52"/>
        </w:rPr>
      </w:pPr>
      <w:r>
        <w:rPr>
          <w:rFonts w:ascii="微软雅黑" w:eastAsia="微软雅黑" w:hint="eastAsia"/>
          <w:sz w:val="52"/>
        </w:rPr>
        <w:t>2023 年高阳县政府性基金预算（草案）</w:t>
      </w:r>
    </w:p>
    <w:p>
      <w:pPr>
        <w:spacing w:after="0" w:line="926" w:lineRule="exact"/>
        <w:jc w:val="center"/>
        <w:rPr>
          <w:rFonts w:ascii="微软雅黑" w:eastAsia="微软雅黑" w:hint="eastAsia"/>
          <w:sz w:val="52"/>
        </w:rPr>
        <w:sectPr>
          <w:pgSz w:w="11910" w:h="16850"/>
          <w:pgMar w:header="0" w:footer="1561" w:top="1600" w:bottom="1760" w:left="1360" w:right="1100"/>
        </w:sectPr>
      </w:pPr>
    </w:p>
    <w:p>
      <w:pPr>
        <w:pStyle w:val="BodyText"/>
        <w:rPr>
          <w:rFonts w:ascii="微软雅黑"/>
          <w:sz w:val="20"/>
        </w:rPr>
      </w:pPr>
    </w:p>
    <w:p>
      <w:pPr>
        <w:pStyle w:val="BodyText"/>
        <w:spacing w:before="16"/>
        <w:rPr>
          <w:rFonts w:ascii="微软雅黑"/>
          <w:sz w:val="15"/>
        </w:rPr>
      </w:pPr>
    </w:p>
    <w:p>
      <w:pPr>
        <w:pStyle w:val="Heading3"/>
        <w:tabs>
          <w:tab w:pos="2596" w:val="left" w:leader="none"/>
        </w:tabs>
        <w:ind w:left="2024"/>
      </w:pPr>
      <w:r>
        <w:rPr/>
        <w:t>1</w:t>
        <w:tab/>
        <w:t>高阳县政府性基金预算平衡表</w:t>
      </w:r>
    </w:p>
    <w:p>
      <w:pPr>
        <w:spacing w:before="91"/>
        <w:ind w:left="0" w:right="655" w:firstLine="0"/>
        <w:jc w:val="right"/>
        <w:rPr>
          <w:rFonts w:ascii="宋体" w:eastAsia="宋体" w:hint="eastAsia"/>
          <w:sz w:val="21"/>
        </w:rPr>
      </w:pPr>
      <w:r>
        <w:rPr>
          <w:rFonts w:ascii="宋体" w:eastAsia="宋体" w:hint="eastAsia"/>
          <w:sz w:val="21"/>
        </w:rPr>
        <w:t>单位：万元</w:t>
      </w:r>
    </w:p>
    <w:p>
      <w:pPr>
        <w:pStyle w:val="BodyText"/>
        <w:spacing w:before="6"/>
        <w:rPr>
          <w:rFonts w:ascii="宋体"/>
          <w:sz w:val="9"/>
        </w:rPr>
      </w:pPr>
    </w:p>
    <w:tbl>
      <w:tblPr>
        <w:tblW w:w="0" w:type="auto"/>
        <w:jc w:val="left"/>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2"/>
        <w:gridCol w:w="1215"/>
        <w:gridCol w:w="3033"/>
        <w:gridCol w:w="1213"/>
      </w:tblGrid>
      <w:tr>
        <w:trPr>
          <w:trHeight w:val="568" w:hRule="atLeast"/>
        </w:trPr>
        <w:tc>
          <w:tcPr>
            <w:tcW w:w="4247" w:type="dxa"/>
            <w:gridSpan w:val="2"/>
          </w:tcPr>
          <w:p>
            <w:pPr>
              <w:pStyle w:val="TableParagraph"/>
              <w:tabs>
                <w:tab w:pos="2604" w:val="left" w:leader="none"/>
              </w:tabs>
              <w:spacing w:before="129"/>
              <w:ind w:left="1398"/>
              <w:jc w:val="left"/>
              <w:rPr>
                <w:b/>
                <w:sz w:val="24"/>
              </w:rPr>
            </w:pPr>
            <w:r>
              <w:rPr>
                <w:b/>
                <w:sz w:val="24"/>
              </w:rPr>
              <w:t>收</w:t>
              <w:tab/>
              <w:t>入</w:t>
            </w:r>
          </w:p>
        </w:tc>
        <w:tc>
          <w:tcPr>
            <w:tcW w:w="4246" w:type="dxa"/>
            <w:gridSpan w:val="2"/>
          </w:tcPr>
          <w:p>
            <w:pPr>
              <w:pStyle w:val="TableParagraph"/>
              <w:tabs>
                <w:tab w:pos="2601" w:val="left" w:leader="none"/>
              </w:tabs>
              <w:spacing w:before="129"/>
              <w:ind w:left="1396"/>
              <w:jc w:val="left"/>
              <w:rPr>
                <w:b/>
                <w:sz w:val="24"/>
              </w:rPr>
            </w:pPr>
            <w:r>
              <w:rPr>
                <w:b/>
                <w:sz w:val="24"/>
              </w:rPr>
              <w:t>支</w:t>
              <w:tab/>
              <w:t>出</w:t>
            </w:r>
          </w:p>
        </w:tc>
      </w:tr>
      <w:tr>
        <w:trPr>
          <w:trHeight w:val="566" w:hRule="atLeast"/>
        </w:trPr>
        <w:tc>
          <w:tcPr>
            <w:tcW w:w="3032" w:type="dxa"/>
          </w:tcPr>
          <w:p>
            <w:pPr>
              <w:pStyle w:val="TableParagraph"/>
              <w:tabs>
                <w:tab w:pos="490" w:val="left" w:leader="none"/>
              </w:tabs>
              <w:spacing w:before="127"/>
              <w:ind w:left="8"/>
              <w:jc w:val="center"/>
              <w:rPr>
                <w:b/>
                <w:sz w:val="24"/>
              </w:rPr>
            </w:pPr>
            <w:r>
              <w:rPr>
                <w:b/>
                <w:sz w:val="24"/>
              </w:rPr>
              <w:t>项</w:t>
              <w:tab/>
              <w:t>目</w:t>
            </w:r>
          </w:p>
        </w:tc>
        <w:tc>
          <w:tcPr>
            <w:tcW w:w="1215" w:type="dxa"/>
          </w:tcPr>
          <w:p>
            <w:pPr>
              <w:pStyle w:val="TableParagraph"/>
              <w:spacing w:before="127"/>
              <w:ind w:left="244"/>
              <w:jc w:val="left"/>
              <w:rPr>
                <w:b/>
                <w:sz w:val="24"/>
              </w:rPr>
            </w:pPr>
            <w:r>
              <w:rPr>
                <w:b/>
                <w:sz w:val="24"/>
              </w:rPr>
              <w:t>预算数</w:t>
            </w:r>
          </w:p>
        </w:tc>
        <w:tc>
          <w:tcPr>
            <w:tcW w:w="3033" w:type="dxa"/>
          </w:tcPr>
          <w:p>
            <w:pPr>
              <w:pStyle w:val="TableParagraph"/>
              <w:tabs>
                <w:tab w:pos="484" w:val="left" w:leader="none"/>
              </w:tabs>
              <w:spacing w:before="127"/>
              <w:ind w:left="2"/>
              <w:jc w:val="center"/>
              <w:rPr>
                <w:b/>
                <w:sz w:val="24"/>
              </w:rPr>
            </w:pPr>
            <w:r>
              <w:rPr>
                <w:b/>
                <w:sz w:val="24"/>
              </w:rPr>
              <w:t>项</w:t>
              <w:tab/>
              <w:t>目</w:t>
            </w:r>
          </w:p>
        </w:tc>
        <w:tc>
          <w:tcPr>
            <w:tcW w:w="1213" w:type="dxa"/>
          </w:tcPr>
          <w:p>
            <w:pPr>
              <w:pStyle w:val="TableParagraph"/>
              <w:spacing w:before="127"/>
              <w:ind w:left="240"/>
              <w:jc w:val="left"/>
              <w:rPr>
                <w:b/>
                <w:sz w:val="24"/>
              </w:rPr>
            </w:pPr>
            <w:r>
              <w:rPr>
                <w:b/>
                <w:sz w:val="24"/>
              </w:rPr>
              <w:t>预算数</w:t>
            </w:r>
          </w:p>
        </w:tc>
      </w:tr>
      <w:tr>
        <w:trPr>
          <w:trHeight w:val="568" w:hRule="atLeast"/>
        </w:trPr>
        <w:tc>
          <w:tcPr>
            <w:tcW w:w="3032" w:type="dxa"/>
          </w:tcPr>
          <w:p>
            <w:pPr>
              <w:pStyle w:val="TableParagraph"/>
              <w:spacing w:before="140"/>
              <w:ind w:left="107"/>
              <w:jc w:val="left"/>
              <w:rPr>
                <w:sz w:val="22"/>
              </w:rPr>
            </w:pPr>
            <w:r>
              <w:rPr>
                <w:sz w:val="22"/>
              </w:rPr>
              <w:t>一、本年收入</w:t>
            </w:r>
          </w:p>
        </w:tc>
        <w:tc>
          <w:tcPr>
            <w:tcW w:w="1215" w:type="dxa"/>
          </w:tcPr>
          <w:p>
            <w:pPr>
              <w:pStyle w:val="TableParagraph"/>
              <w:spacing w:before="140"/>
              <w:ind w:right="97"/>
              <w:rPr>
                <w:sz w:val="22"/>
              </w:rPr>
            </w:pPr>
            <w:r>
              <w:rPr>
                <w:sz w:val="22"/>
              </w:rPr>
              <w:t>257284</w:t>
            </w:r>
          </w:p>
        </w:tc>
        <w:tc>
          <w:tcPr>
            <w:tcW w:w="3033" w:type="dxa"/>
          </w:tcPr>
          <w:p>
            <w:pPr>
              <w:pStyle w:val="TableParagraph"/>
              <w:spacing w:before="140"/>
              <w:ind w:left="104"/>
              <w:jc w:val="left"/>
              <w:rPr>
                <w:sz w:val="22"/>
              </w:rPr>
            </w:pPr>
            <w:r>
              <w:rPr>
                <w:sz w:val="22"/>
              </w:rPr>
              <w:t>一、本年支出</w:t>
            </w:r>
          </w:p>
        </w:tc>
        <w:tc>
          <w:tcPr>
            <w:tcW w:w="1213" w:type="dxa"/>
          </w:tcPr>
          <w:p>
            <w:pPr>
              <w:pStyle w:val="TableParagraph"/>
              <w:spacing w:before="140"/>
              <w:ind w:right="101"/>
              <w:rPr>
                <w:sz w:val="22"/>
              </w:rPr>
            </w:pPr>
            <w:r>
              <w:rPr>
                <w:sz w:val="22"/>
              </w:rPr>
              <w:t>216604</w:t>
            </w:r>
          </w:p>
        </w:tc>
      </w:tr>
      <w:tr>
        <w:trPr>
          <w:trHeight w:val="566" w:hRule="atLeast"/>
        </w:trPr>
        <w:tc>
          <w:tcPr>
            <w:tcW w:w="3032" w:type="dxa"/>
          </w:tcPr>
          <w:p>
            <w:pPr>
              <w:pStyle w:val="TableParagraph"/>
              <w:spacing w:before="137"/>
              <w:ind w:left="107"/>
              <w:jc w:val="left"/>
              <w:rPr>
                <w:sz w:val="22"/>
              </w:rPr>
            </w:pPr>
            <w:r>
              <w:rPr>
                <w:sz w:val="22"/>
              </w:rPr>
              <w:t>二、上级补助收入</w:t>
            </w:r>
          </w:p>
        </w:tc>
        <w:tc>
          <w:tcPr>
            <w:tcW w:w="1215" w:type="dxa"/>
          </w:tcPr>
          <w:p>
            <w:pPr>
              <w:pStyle w:val="TableParagraph"/>
              <w:spacing w:before="137"/>
              <w:ind w:right="99"/>
              <w:rPr>
                <w:sz w:val="22"/>
              </w:rPr>
            </w:pPr>
            <w:r>
              <w:rPr>
                <w:sz w:val="22"/>
              </w:rPr>
              <w:t>246</w:t>
            </w:r>
          </w:p>
        </w:tc>
        <w:tc>
          <w:tcPr>
            <w:tcW w:w="3033" w:type="dxa"/>
          </w:tcPr>
          <w:p>
            <w:pPr>
              <w:pStyle w:val="TableParagraph"/>
              <w:spacing w:before="137"/>
              <w:ind w:left="104"/>
              <w:jc w:val="left"/>
              <w:rPr>
                <w:sz w:val="22"/>
              </w:rPr>
            </w:pPr>
            <w:r>
              <w:rPr>
                <w:sz w:val="22"/>
              </w:rPr>
              <w:t>二、调出资金</w:t>
            </w:r>
          </w:p>
        </w:tc>
        <w:tc>
          <w:tcPr>
            <w:tcW w:w="1213" w:type="dxa"/>
          </w:tcPr>
          <w:p>
            <w:pPr>
              <w:pStyle w:val="TableParagraph"/>
              <w:spacing w:before="137"/>
              <w:ind w:right="101"/>
              <w:rPr>
                <w:sz w:val="22"/>
              </w:rPr>
            </w:pPr>
            <w:r>
              <w:rPr>
                <w:sz w:val="22"/>
              </w:rPr>
              <w:t>73823</w:t>
            </w:r>
          </w:p>
        </w:tc>
      </w:tr>
      <w:tr>
        <w:trPr>
          <w:trHeight w:val="566" w:hRule="atLeast"/>
        </w:trPr>
        <w:tc>
          <w:tcPr>
            <w:tcW w:w="3032" w:type="dxa"/>
          </w:tcPr>
          <w:p>
            <w:pPr>
              <w:pStyle w:val="TableParagraph"/>
              <w:spacing w:before="140"/>
              <w:ind w:left="107"/>
              <w:jc w:val="left"/>
              <w:rPr>
                <w:sz w:val="22"/>
              </w:rPr>
            </w:pPr>
            <w:r>
              <w:rPr>
                <w:sz w:val="22"/>
              </w:rPr>
              <w:t>三、调入资金</w:t>
            </w:r>
          </w:p>
        </w:tc>
        <w:tc>
          <w:tcPr>
            <w:tcW w:w="1215" w:type="dxa"/>
          </w:tcPr>
          <w:p>
            <w:pPr>
              <w:pStyle w:val="TableParagraph"/>
              <w:spacing w:before="140"/>
              <w:ind w:right="99"/>
              <w:rPr>
                <w:sz w:val="22"/>
              </w:rPr>
            </w:pPr>
            <w:r>
              <w:rPr>
                <w:w w:val="100"/>
                <w:sz w:val="22"/>
              </w:rPr>
              <w:t>0</w:t>
            </w:r>
          </w:p>
        </w:tc>
        <w:tc>
          <w:tcPr>
            <w:tcW w:w="3033" w:type="dxa"/>
          </w:tcPr>
          <w:p>
            <w:pPr>
              <w:pStyle w:val="TableParagraph"/>
              <w:spacing w:before="140"/>
              <w:ind w:left="104"/>
              <w:jc w:val="left"/>
              <w:rPr>
                <w:sz w:val="22"/>
              </w:rPr>
            </w:pPr>
            <w:r>
              <w:rPr>
                <w:sz w:val="22"/>
              </w:rPr>
              <w:t>三、结转下年支出</w:t>
            </w:r>
          </w:p>
        </w:tc>
        <w:tc>
          <w:tcPr>
            <w:tcW w:w="1213" w:type="dxa"/>
          </w:tcPr>
          <w:p>
            <w:pPr>
              <w:pStyle w:val="TableParagraph"/>
              <w:spacing w:before="140"/>
              <w:ind w:right="101"/>
              <w:rPr>
                <w:sz w:val="22"/>
              </w:rPr>
            </w:pPr>
            <w:r>
              <w:rPr>
                <w:w w:val="100"/>
                <w:sz w:val="22"/>
              </w:rPr>
              <w:t>0</w:t>
            </w:r>
          </w:p>
        </w:tc>
      </w:tr>
      <w:tr>
        <w:trPr>
          <w:trHeight w:val="568" w:hRule="atLeast"/>
        </w:trPr>
        <w:tc>
          <w:tcPr>
            <w:tcW w:w="3032" w:type="dxa"/>
          </w:tcPr>
          <w:p>
            <w:pPr>
              <w:pStyle w:val="TableParagraph"/>
              <w:spacing w:before="139"/>
              <w:ind w:left="107"/>
              <w:jc w:val="left"/>
              <w:rPr>
                <w:sz w:val="22"/>
              </w:rPr>
            </w:pPr>
            <w:r>
              <w:rPr>
                <w:sz w:val="22"/>
              </w:rPr>
              <w:t>四、上年结转收入</w:t>
            </w:r>
          </w:p>
        </w:tc>
        <w:tc>
          <w:tcPr>
            <w:tcW w:w="1215" w:type="dxa"/>
          </w:tcPr>
          <w:p>
            <w:pPr>
              <w:pStyle w:val="TableParagraph"/>
              <w:spacing w:before="139"/>
              <w:ind w:right="99"/>
              <w:rPr>
                <w:sz w:val="22"/>
              </w:rPr>
            </w:pPr>
            <w:r>
              <w:rPr>
                <w:sz w:val="22"/>
              </w:rPr>
              <w:t>49877</w:t>
            </w:r>
          </w:p>
        </w:tc>
        <w:tc>
          <w:tcPr>
            <w:tcW w:w="3033" w:type="dxa"/>
          </w:tcPr>
          <w:p>
            <w:pPr>
              <w:pStyle w:val="TableParagraph"/>
              <w:spacing w:before="139"/>
              <w:ind w:left="104"/>
              <w:jc w:val="left"/>
              <w:rPr>
                <w:sz w:val="22"/>
              </w:rPr>
            </w:pPr>
            <w:r>
              <w:rPr>
                <w:sz w:val="22"/>
              </w:rPr>
              <w:t>四、地方政府债券还本支出</w:t>
            </w:r>
          </w:p>
        </w:tc>
        <w:tc>
          <w:tcPr>
            <w:tcW w:w="1213" w:type="dxa"/>
          </w:tcPr>
          <w:p>
            <w:pPr>
              <w:pStyle w:val="TableParagraph"/>
              <w:spacing w:before="139"/>
              <w:ind w:right="98"/>
              <w:rPr>
                <w:sz w:val="22"/>
              </w:rPr>
            </w:pPr>
            <w:r>
              <w:rPr>
                <w:sz w:val="22"/>
              </w:rPr>
              <w:t>16980</w:t>
            </w:r>
          </w:p>
        </w:tc>
      </w:tr>
      <w:tr>
        <w:trPr>
          <w:trHeight w:val="566" w:hRule="atLeast"/>
        </w:trPr>
        <w:tc>
          <w:tcPr>
            <w:tcW w:w="3032" w:type="dxa"/>
          </w:tcPr>
          <w:p>
            <w:pPr>
              <w:pStyle w:val="TableParagraph"/>
              <w:spacing w:before="140"/>
              <w:ind w:left="107"/>
              <w:jc w:val="left"/>
              <w:rPr>
                <w:sz w:val="22"/>
              </w:rPr>
            </w:pPr>
            <w:r>
              <w:rPr>
                <w:sz w:val="22"/>
              </w:rPr>
              <w:t>五、新增地方政府债券收入</w:t>
            </w:r>
          </w:p>
        </w:tc>
        <w:tc>
          <w:tcPr>
            <w:tcW w:w="1215" w:type="dxa"/>
          </w:tcPr>
          <w:p>
            <w:pPr>
              <w:pStyle w:val="TableParagraph"/>
              <w:spacing w:before="140"/>
              <w:ind w:right="99"/>
              <w:rPr>
                <w:sz w:val="22"/>
              </w:rPr>
            </w:pPr>
            <w:r>
              <w:rPr>
                <w:w w:val="100"/>
                <w:sz w:val="22"/>
              </w:rPr>
              <w:t>0</w:t>
            </w:r>
          </w:p>
        </w:tc>
        <w:tc>
          <w:tcPr>
            <w:tcW w:w="3033" w:type="dxa"/>
          </w:tcPr>
          <w:p>
            <w:pPr>
              <w:pStyle w:val="TableParagraph"/>
              <w:jc w:val="left"/>
              <w:rPr>
                <w:rFonts w:ascii="Times New Roman"/>
                <w:sz w:val="28"/>
              </w:rPr>
            </w:pPr>
          </w:p>
        </w:tc>
        <w:tc>
          <w:tcPr>
            <w:tcW w:w="1213" w:type="dxa"/>
          </w:tcPr>
          <w:p>
            <w:pPr>
              <w:pStyle w:val="TableParagraph"/>
              <w:jc w:val="left"/>
              <w:rPr>
                <w:rFonts w:ascii="Times New Roman"/>
                <w:sz w:val="28"/>
              </w:rPr>
            </w:pPr>
          </w:p>
        </w:tc>
      </w:tr>
      <w:tr>
        <w:trPr>
          <w:trHeight w:val="568" w:hRule="atLeast"/>
        </w:trPr>
        <w:tc>
          <w:tcPr>
            <w:tcW w:w="3032" w:type="dxa"/>
          </w:tcPr>
          <w:p>
            <w:pPr>
              <w:pStyle w:val="TableParagraph"/>
              <w:tabs>
                <w:tab w:pos="447" w:val="left" w:leader="none"/>
              </w:tabs>
              <w:spacing w:before="139"/>
              <w:ind w:left="6"/>
              <w:jc w:val="center"/>
              <w:rPr>
                <w:b/>
                <w:sz w:val="22"/>
              </w:rPr>
            </w:pPr>
            <w:r>
              <w:rPr>
                <w:b/>
                <w:sz w:val="22"/>
              </w:rPr>
              <w:t>合</w:t>
              <w:tab/>
              <w:t>计</w:t>
            </w:r>
          </w:p>
        </w:tc>
        <w:tc>
          <w:tcPr>
            <w:tcW w:w="1215" w:type="dxa"/>
          </w:tcPr>
          <w:p>
            <w:pPr>
              <w:pStyle w:val="TableParagraph"/>
              <w:spacing w:before="139"/>
              <w:ind w:right="99"/>
              <w:rPr>
                <w:b/>
                <w:sz w:val="22"/>
              </w:rPr>
            </w:pPr>
            <w:r>
              <w:rPr>
                <w:b/>
                <w:w w:val="95"/>
                <w:sz w:val="22"/>
              </w:rPr>
              <w:t>307407</w:t>
            </w:r>
          </w:p>
        </w:tc>
        <w:tc>
          <w:tcPr>
            <w:tcW w:w="3033" w:type="dxa"/>
          </w:tcPr>
          <w:p>
            <w:pPr>
              <w:pStyle w:val="TableParagraph"/>
              <w:tabs>
                <w:tab w:pos="441" w:val="left" w:leader="none"/>
              </w:tabs>
              <w:spacing w:before="139"/>
              <w:jc w:val="center"/>
              <w:rPr>
                <w:b/>
                <w:sz w:val="22"/>
              </w:rPr>
            </w:pPr>
            <w:r>
              <w:rPr>
                <w:b/>
                <w:sz w:val="22"/>
              </w:rPr>
              <w:t>合</w:t>
              <w:tab/>
              <w:t>计</w:t>
            </w:r>
          </w:p>
        </w:tc>
        <w:tc>
          <w:tcPr>
            <w:tcW w:w="1213" w:type="dxa"/>
          </w:tcPr>
          <w:p>
            <w:pPr>
              <w:pStyle w:val="TableParagraph"/>
              <w:spacing w:before="139"/>
              <w:ind w:right="101"/>
              <w:rPr>
                <w:b/>
                <w:sz w:val="22"/>
              </w:rPr>
            </w:pPr>
            <w:r>
              <w:rPr>
                <w:b/>
                <w:w w:val="95"/>
                <w:sz w:val="22"/>
              </w:rPr>
              <w:t>307407</w:t>
            </w:r>
          </w:p>
        </w:tc>
      </w:tr>
    </w:tbl>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0"/>
        <w:rPr>
          <w:rFonts w:ascii="宋体"/>
          <w:sz w:val="27"/>
        </w:rPr>
      </w:pPr>
    </w:p>
    <w:p>
      <w:pPr>
        <w:pStyle w:val="Heading3"/>
        <w:tabs>
          <w:tab w:pos="2416" w:val="left" w:leader="none"/>
        </w:tabs>
        <w:spacing w:before="0"/>
      </w:pPr>
      <w:r>
        <w:rPr/>
        <w:t>2</w:t>
        <w:tab/>
        <w:t>高阳县政府性基金预算情况说明</w:t>
      </w:r>
    </w:p>
    <w:p>
      <w:pPr>
        <w:pStyle w:val="BodyText"/>
        <w:rPr>
          <w:rFonts w:ascii="微软雅黑"/>
          <w:sz w:val="28"/>
        </w:rPr>
      </w:pPr>
    </w:p>
    <w:p>
      <w:pPr>
        <w:pStyle w:val="BodyText"/>
        <w:ind w:right="371"/>
        <w:jc w:val="right"/>
      </w:pPr>
      <w:r>
        <w:rPr>
          <w:spacing w:val="-13"/>
        </w:rPr>
        <w:t>收入总计 </w:t>
      </w:r>
      <w:r>
        <w:rPr/>
        <w:t>307407</w:t>
      </w:r>
      <w:r>
        <w:rPr>
          <w:spacing w:val="-8"/>
        </w:rPr>
        <w:t> 万元，其构成：县级政府性基金预算收入</w:t>
      </w:r>
    </w:p>
    <w:p>
      <w:pPr>
        <w:pStyle w:val="BodyText"/>
        <w:spacing w:before="150"/>
        <w:ind w:right="369"/>
        <w:jc w:val="right"/>
      </w:pPr>
      <w:r>
        <w:rPr/>
        <w:t>257284</w:t>
      </w:r>
      <w:r>
        <w:rPr>
          <w:spacing w:val="-13"/>
        </w:rPr>
        <w:t> 万元、上级补助收入 </w:t>
      </w:r>
      <w:r>
        <w:rPr/>
        <w:t>246</w:t>
      </w:r>
      <w:r>
        <w:rPr>
          <w:spacing w:val="-13"/>
        </w:rPr>
        <w:t> 万元、上年结转收入 </w:t>
      </w:r>
      <w:r>
        <w:rPr/>
        <w:t>49877</w:t>
      </w:r>
      <w:r>
        <w:rPr>
          <w:spacing w:val="-29"/>
        </w:rPr>
        <w:t> 万</w:t>
      </w:r>
    </w:p>
    <w:p>
      <w:pPr>
        <w:pStyle w:val="BodyText"/>
        <w:spacing w:before="149"/>
        <w:ind w:right="366"/>
        <w:jc w:val="right"/>
      </w:pPr>
      <w:r>
        <w:rPr/>
        <w:t>元。按照收支平衡的原则，对应收入分类安排支出总计 307407</w:t>
      </w:r>
    </w:p>
    <w:p>
      <w:pPr>
        <w:pStyle w:val="BodyText"/>
        <w:spacing w:before="152"/>
        <w:ind w:right="369"/>
        <w:jc w:val="right"/>
      </w:pPr>
      <w:r>
        <w:rPr>
          <w:spacing w:val="-4"/>
        </w:rPr>
        <w:t>万元，其构成：县级政府性基金预算支出 </w:t>
      </w:r>
      <w:r>
        <w:rPr/>
        <w:t>216604</w:t>
      </w:r>
      <w:r>
        <w:rPr>
          <w:spacing w:val="-11"/>
        </w:rPr>
        <w:t> 万元、调出资</w:t>
      </w:r>
    </w:p>
    <w:p>
      <w:pPr>
        <w:pStyle w:val="BodyText"/>
        <w:spacing w:line="326" w:lineRule="auto" w:before="149"/>
        <w:ind w:left="229" w:right="257"/>
      </w:pPr>
      <w:r>
        <w:rPr>
          <w:spacing w:val="-42"/>
        </w:rPr>
        <w:t>金 </w:t>
      </w:r>
      <w:r>
        <w:rPr/>
        <w:t>73823</w:t>
      </w:r>
      <w:r>
        <w:rPr>
          <w:spacing w:val="-15"/>
        </w:rPr>
        <w:t> 万元、地方政府债券还本支出 </w:t>
      </w:r>
      <w:r>
        <w:rPr/>
        <w:t>16980</w:t>
      </w:r>
      <w:r>
        <w:rPr>
          <w:spacing w:val="-11"/>
        </w:rPr>
        <w:t> 万元。收支相抵， 政府性基金预算收支平衡。</w:t>
      </w:r>
    </w:p>
    <w:p>
      <w:pPr>
        <w:spacing w:after="0" w:line="326" w:lineRule="auto"/>
        <w:sectPr>
          <w:pgSz w:w="11910" w:h="16850"/>
          <w:pgMar w:header="0" w:footer="1561" w:top="1600" w:bottom="1760" w:left="1360" w:right="1100"/>
        </w:sectPr>
      </w:pPr>
    </w:p>
    <w:p>
      <w:pPr>
        <w:pStyle w:val="BodyText"/>
        <w:rPr>
          <w:sz w:val="20"/>
        </w:rPr>
      </w:pPr>
    </w:p>
    <w:p>
      <w:pPr>
        <w:pStyle w:val="BodyText"/>
        <w:rPr>
          <w:sz w:val="20"/>
        </w:rPr>
      </w:pPr>
    </w:p>
    <w:p>
      <w:pPr>
        <w:pStyle w:val="Heading3"/>
        <w:tabs>
          <w:tab w:pos="2776" w:val="left" w:leader="none"/>
        </w:tabs>
        <w:spacing w:before="152"/>
        <w:ind w:left="2204"/>
      </w:pPr>
      <w:r>
        <w:rPr/>
        <w:t>3</w:t>
        <w:tab/>
        <w:t>高阳县政府性基金收入预算</w:t>
      </w:r>
    </w:p>
    <w:p>
      <w:pPr>
        <w:spacing w:before="123"/>
        <w:ind w:left="0" w:right="1219" w:firstLine="0"/>
        <w:jc w:val="right"/>
        <w:rPr>
          <w:rFonts w:ascii="宋体" w:eastAsia="宋体" w:hint="eastAsia"/>
          <w:sz w:val="21"/>
        </w:rPr>
      </w:pPr>
      <w:r>
        <w:rPr>
          <w:rFonts w:ascii="宋体" w:eastAsia="宋体" w:hint="eastAsia"/>
          <w:sz w:val="21"/>
        </w:rPr>
        <w:t>单位：万元</w:t>
      </w:r>
    </w:p>
    <w:p>
      <w:pPr>
        <w:pStyle w:val="BodyText"/>
        <w:spacing w:before="8" w:after="1"/>
        <w:rPr>
          <w:rFonts w:ascii="宋体"/>
          <w:sz w:val="11"/>
        </w:rPr>
      </w:pPr>
    </w:p>
    <w:tbl>
      <w:tblPr>
        <w:tblW w:w="0" w:type="auto"/>
        <w:jc w:val="left"/>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97"/>
        <w:gridCol w:w="1784"/>
      </w:tblGrid>
      <w:tr>
        <w:trPr>
          <w:trHeight w:val="508" w:hRule="atLeast"/>
        </w:trPr>
        <w:tc>
          <w:tcPr>
            <w:tcW w:w="6097" w:type="dxa"/>
          </w:tcPr>
          <w:p>
            <w:pPr>
              <w:pStyle w:val="TableParagraph"/>
              <w:tabs>
                <w:tab w:pos="482" w:val="left" w:leader="none"/>
              </w:tabs>
              <w:spacing w:before="98"/>
              <w:ind w:right="2676"/>
              <w:rPr>
                <w:b/>
                <w:sz w:val="24"/>
              </w:rPr>
            </w:pPr>
            <w:r>
              <w:rPr>
                <w:b/>
                <w:sz w:val="24"/>
              </w:rPr>
              <w:t>项</w:t>
              <w:tab/>
            </w:r>
            <w:r>
              <w:rPr>
                <w:b/>
                <w:w w:val="95"/>
                <w:sz w:val="24"/>
              </w:rPr>
              <w:t>目</w:t>
            </w:r>
          </w:p>
        </w:tc>
        <w:tc>
          <w:tcPr>
            <w:tcW w:w="1784" w:type="dxa"/>
          </w:tcPr>
          <w:p>
            <w:pPr>
              <w:pStyle w:val="TableParagraph"/>
              <w:spacing w:before="98"/>
              <w:ind w:left="405"/>
              <w:jc w:val="left"/>
              <w:rPr>
                <w:b/>
                <w:sz w:val="24"/>
              </w:rPr>
            </w:pPr>
            <w:r>
              <w:rPr>
                <w:b/>
                <w:sz w:val="24"/>
              </w:rPr>
              <w:t>预算安排</w:t>
            </w:r>
          </w:p>
        </w:tc>
      </w:tr>
      <w:tr>
        <w:trPr>
          <w:trHeight w:val="510" w:hRule="atLeast"/>
        </w:trPr>
        <w:tc>
          <w:tcPr>
            <w:tcW w:w="6097" w:type="dxa"/>
          </w:tcPr>
          <w:p>
            <w:pPr>
              <w:pStyle w:val="TableParagraph"/>
              <w:tabs>
                <w:tab w:pos="482" w:val="left" w:leader="none"/>
              </w:tabs>
              <w:spacing w:before="100"/>
              <w:ind w:right="2676"/>
              <w:rPr>
                <w:b/>
                <w:sz w:val="24"/>
              </w:rPr>
            </w:pPr>
            <w:r>
              <w:rPr>
                <w:b/>
                <w:sz w:val="24"/>
              </w:rPr>
              <w:t>合</w:t>
              <w:tab/>
            </w:r>
            <w:r>
              <w:rPr>
                <w:b/>
                <w:w w:val="95"/>
                <w:sz w:val="24"/>
              </w:rPr>
              <w:t>计</w:t>
            </w:r>
          </w:p>
        </w:tc>
        <w:tc>
          <w:tcPr>
            <w:tcW w:w="1784" w:type="dxa"/>
          </w:tcPr>
          <w:p>
            <w:pPr>
              <w:pStyle w:val="TableParagraph"/>
              <w:spacing w:before="121"/>
              <w:ind w:right="99"/>
              <w:rPr>
                <w:b/>
                <w:sz w:val="21"/>
              </w:rPr>
            </w:pPr>
            <w:r>
              <w:rPr>
                <w:b/>
                <w:sz w:val="21"/>
              </w:rPr>
              <w:t>257284</w:t>
            </w:r>
          </w:p>
        </w:tc>
      </w:tr>
      <w:tr>
        <w:trPr>
          <w:trHeight w:val="511" w:hRule="atLeast"/>
        </w:trPr>
        <w:tc>
          <w:tcPr>
            <w:tcW w:w="6097" w:type="dxa"/>
          </w:tcPr>
          <w:p>
            <w:pPr>
              <w:pStyle w:val="TableParagraph"/>
              <w:spacing w:before="111"/>
              <w:ind w:left="328"/>
              <w:jc w:val="left"/>
              <w:rPr>
                <w:sz w:val="22"/>
              </w:rPr>
            </w:pPr>
            <w:r>
              <w:rPr>
                <w:sz w:val="22"/>
              </w:rPr>
              <w:t>国有土地收益基金</w:t>
            </w:r>
          </w:p>
        </w:tc>
        <w:tc>
          <w:tcPr>
            <w:tcW w:w="1784" w:type="dxa"/>
          </w:tcPr>
          <w:p>
            <w:pPr>
              <w:pStyle w:val="TableParagraph"/>
              <w:spacing w:before="111"/>
              <w:ind w:right="96"/>
              <w:rPr>
                <w:sz w:val="22"/>
              </w:rPr>
            </w:pPr>
            <w:r>
              <w:rPr>
                <w:sz w:val="22"/>
              </w:rPr>
              <w:t>9558</w:t>
            </w:r>
          </w:p>
        </w:tc>
      </w:tr>
      <w:tr>
        <w:trPr>
          <w:trHeight w:val="508" w:hRule="atLeast"/>
        </w:trPr>
        <w:tc>
          <w:tcPr>
            <w:tcW w:w="6097" w:type="dxa"/>
          </w:tcPr>
          <w:p>
            <w:pPr>
              <w:pStyle w:val="TableParagraph"/>
              <w:spacing w:before="111"/>
              <w:ind w:left="328"/>
              <w:jc w:val="left"/>
              <w:rPr>
                <w:sz w:val="22"/>
              </w:rPr>
            </w:pPr>
            <w:r>
              <w:rPr>
                <w:sz w:val="22"/>
              </w:rPr>
              <w:t>农业土地开发资金收入</w:t>
            </w:r>
          </w:p>
        </w:tc>
        <w:tc>
          <w:tcPr>
            <w:tcW w:w="1784" w:type="dxa"/>
          </w:tcPr>
          <w:p>
            <w:pPr>
              <w:pStyle w:val="TableParagraph"/>
              <w:spacing w:before="111"/>
              <w:ind w:right="98"/>
              <w:rPr>
                <w:sz w:val="22"/>
              </w:rPr>
            </w:pPr>
            <w:r>
              <w:rPr>
                <w:sz w:val="22"/>
              </w:rPr>
              <w:t>422</w:t>
            </w:r>
          </w:p>
        </w:tc>
      </w:tr>
      <w:tr>
        <w:trPr>
          <w:trHeight w:val="510" w:hRule="atLeast"/>
        </w:trPr>
        <w:tc>
          <w:tcPr>
            <w:tcW w:w="6097" w:type="dxa"/>
          </w:tcPr>
          <w:p>
            <w:pPr>
              <w:pStyle w:val="TableParagraph"/>
              <w:spacing w:before="111"/>
              <w:ind w:left="328"/>
              <w:jc w:val="left"/>
              <w:rPr>
                <w:sz w:val="22"/>
              </w:rPr>
            </w:pPr>
            <w:r>
              <w:rPr>
                <w:sz w:val="22"/>
              </w:rPr>
              <w:t>国有土地使用权出让收入</w:t>
            </w:r>
          </w:p>
        </w:tc>
        <w:tc>
          <w:tcPr>
            <w:tcW w:w="1784" w:type="dxa"/>
          </w:tcPr>
          <w:p>
            <w:pPr>
              <w:pStyle w:val="TableParagraph"/>
              <w:spacing w:before="111"/>
              <w:ind w:right="96"/>
              <w:rPr>
                <w:sz w:val="22"/>
              </w:rPr>
            </w:pPr>
            <w:r>
              <w:rPr>
                <w:sz w:val="22"/>
              </w:rPr>
              <w:t>231722</w:t>
            </w:r>
          </w:p>
        </w:tc>
      </w:tr>
      <w:tr>
        <w:trPr>
          <w:trHeight w:val="510" w:hRule="atLeast"/>
        </w:trPr>
        <w:tc>
          <w:tcPr>
            <w:tcW w:w="6097" w:type="dxa"/>
          </w:tcPr>
          <w:p>
            <w:pPr>
              <w:pStyle w:val="TableParagraph"/>
              <w:spacing w:before="111"/>
              <w:ind w:left="328"/>
              <w:jc w:val="left"/>
              <w:rPr>
                <w:sz w:val="22"/>
              </w:rPr>
            </w:pPr>
            <w:r>
              <w:rPr>
                <w:sz w:val="22"/>
              </w:rPr>
              <w:t>彩票公益金收入</w:t>
            </w:r>
          </w:p>
        </w:tc>
        <w:tc>
          <w:tcPr>
            <w:tcW w:w="1784" w:type="dxa"/>
          </w:tcPr>
          <w:p>
            <w:pPr>
              <w:pStyle w:val="TableParagraph"/>
              <w:spacing w:before="111"/>
              <w:ind w:right="98"/>
              <w:rPr>
                <w:sz w:val="22"/>
              </w:rPr>
            </w:pPr>
            <w:r>
              <w:rPr>
                <w:sz w:val="22"/>
              </w:rPr>
              <w:t>330</w:t>
            </w:r>
          </w:p>
        </w:tc>
      </w:tr>
      <w:tr>
        <w:trPr>
          <w:trHeight w:val="508" w:hRule="atLeast"/>
        </w:trPr>
        <w:tc>
          <w:tcPr>
            <w:tcW w:w="6097" w:type="dxa"/>
          </w:tcPr>
          <w:p>
            <w:pPr>
              <w:pStyle w:val="TableParagraph"/>
              <w:spacing w:before="111"/>
              <w:ind w:left="328"/>
              <w:jc w:val="left"/>
              <w:rPr>
                <w:sz w:val="22"/>
              </w:rPr>
            </w:pPr>
            <w:r>
              <w:rPr>
                <w:sz w:val="22"/>
              </w:rPr>
              <w:t>城市基础设施配套费收入</w:t>
            </w:r>
          </w:p>
        </w:tc>
        <w:tc>
          <w:tcPr>
            <w:tcW w:w="1784" w:type="dxa"/>
          </w:tcPr>
          <w:p>
            <w:pPr>
              <w:pStyle w:val="TableParagraph"/>
              <w:spacing w:before="111"/>
              <w:ind w:right="96"/>
              <w:rPr>
                <w:sz w:val="22"/>
              </w:rPr>
            </w:pPr>
            <w:r>
              <w:rPr>
                <w:sz w:val="22"/>
              </w:rPr>
              <w:t>8452</w:t>
            </w:r>
          </w:p>
        </w:tc>
      </w:tr>
      <w:tr>
        <w:trPr>
          <w:trHeight w:val="510" w:hRule="atLeast"/>
        </w:trPr>
        <w:tc>
          <w:tcPr>
            <w:tcW w:w="6097" w:type="dxa"/>
          </w:tcPr>
          <w:p>
            <w:pPr>
              <w:pStyle w:val="TableParagraph"/>
              <w:spacing w:before="111"/>
              <w:ind w:left="328"/>
              <w:jc w:val="left"/>
              <w:rPr>
                <w:sz w:val="22"/>
              </w:rPr>
            </w:pPr>
            <w:r>
              <w:rPr>
                <w:sz w:val="22"/>
              </w:rPr>
              <w:t>污水处理费收入</w:t>
            </w:r>
          </w:p>
        </w:tc>
        <w:tc>
          <w:tcPr>
            <w:tcW w:w="1784" w:type="dxa"/>
          </w:tcPr>
          <w:p>
            <w:pPr>
              <w:pStyle w:val="TableParagraph"/>
              <w:spacing w:before="111"/>
              <w:ind w:right="96"/>
              <w:rPr>
                <w:sz w:val="22"/>
              </w:rPr>
            </w:pPr>
            <w:r>
              <w:rPr>
                <w:sz w:val="22"/>
              </w:rPr>
              <w:t>6800</w:t>
            </w:r>
          </w:p>
        </w:tc>
      </w:tr>
    </w:tbl>
    <w:p>
      <w:pPr>
        <w:spacing w:after="0"/>
        <w:rPr>
          <w:sz w:val="22"/>
        </w:rPr>
        <w:sectPr>
          <w:pgSz w:w="11910" w:h="16850"/>
          <w:pgMar w:header="0" w:footer="1561" w:top="1600" w:bottom="1760" w:left="1360" w:right="1100"/>
        </w:sectPr>
      </w:pPr>
    </w:p>
    <w:p>
      <w:pPr>
        <w:pStyle w:val="BodyText"/>
        <w:spacing w:before="3"/>
        <w:rPr>
          <w:rFonts w:ascii="宋体"/>
          <w:sz w:val="19"/>
        </w:rPr>
      </w:pPr>
    </w:p>
    <w:p>
      <w:pPr>
        <w:pStyle w:val="Heading3"/>
        <w:tabs>
          <w:tab w:pos="2776" w:val="left" w:leader="none"/>
        </w:tabs>
        <w:ind w:left="2204"/>
      </w:pPr>
      <w:r>
        <w:rPr/>
        <w:t>4</w:t>
        <w:tab/>
        <w:t>高阳县政府性基金支出预算</w:t>
      </w:r>
    </w:p>
    <w:p>
      <w:pPr>
        <w:spacing w:before="120"/>
        <w:ind w:left="0" w:right="1409" w:firstLine="0"/>
        <w:jc w:val="right"/>
        <w:rPr>
          <w:rFonts w:ascii="宋体" w:eastAsia="宋体" w:hint="eastAsia"/>
          <w:sz w:val="21"/>
        </w:rPr>
      </w:pPr>
      <w:r>
        <w:rPr>
          <w:rFonts w:ascii="宋体" w:eastAsia="宋体" w:hint="eastAsia"/>
          <w:sz w:val="21"/>
        </w:rPr>
        <w:t>单位：万元</w:t>
      </w:r>
    </w:p>
    <w:p>
      <w:pPr>
        <w:pStyle w:val="BodyText"/>
        <w:spacing w:before="8"/>
        <w:rPr>
          <w:rFonts w:ascii="宋体"/>
          <w:sz w:val="11"/>
        </w:rPr>
      </w:pPr>
    </w:p>
    <w:tbl>
      <w:tblPr>
        <w:tblW w:w="0" w:type="auto"/>
        <w:jc w:val="left"/>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3"/>
        <w:gridCol w:w="2026"/>
      </w:tblGrid>
      <w:tr>
        <w:trPr>
          <w:trHeight w:val="568" w:hRule="atLeast"/>
        </w:trPr>
        <w:tc>
          <w:tcPr>
            <w:tcW w:w="5713" w:type="dxa"/>
          </w:tcPr>
          <w:p>
            <w:pPr>
              <w:pStyle w:val="TableParagraph"/>
              <w:tabs>
                <w:tab w:pos="482" w:val="left" w:leader="none"/>
              </w:tabs>
              <w:spacing w:before="129"/>
              <w:ind w:right="2488"/>
              <w:rPr>
                <w:b/>
                <w:sz w:val="24"/>
              </w:rPr>
            </w:pPr>
            <w:r>
              <w:rPr>
                <w:b/>
                <w:sz w:val="24"/>
              </w:rPr>
              <w:t>项</w:t>
              <w:tab/>
            </w:r>
            <w:r>
              <w:rPr>
                <w:b/>
                <w:w w:val="95"/>
                <w:sz w:val="24"/>
              </w:rPr>
              <w:t>目</w:t>
            </w:r>
          </w:p>
        </w:tc>
        <w:tc>
          <w:tcPr>
            <w:tcW w:w="2026" w:type="dxa"/>
          </w:tcPr>
          <w:p>
            <w:pPr>
              <w:pStyle w:val="TableParagraph"/>
              <w:spacing w:before="129"/>
              <w:ind w:left="527"/>
              <w:jc w:val="left"/>
              <w:rPr>
                <w:b/>
                <w:sz w:val="24"/>
              </w:rPr>
            </w:pPr>
            <w:r>
              <w:rPr>
                <w:b/>
                <w:sz w:val="24"/>
              </w:rPr>
              <w:t>预算安排</w:t>
            </w:r>
          </w:p>
        </w:tc>
      </w:tr>
      <w:tr>
        <w:trPr>
          <w:trHeight w:val="566" w:hRule="atLeast"/>
        </w:trPr>
        <w:tc>
          <w:tcPr>
            <w:tcW w:w="5713" w:type="dxa"/>
          </w:tcPr>
          <w:p>
            <w:pPr>
              <w:pStyle w:val="TableParagraph"/>
              <w:tabs>
                <w:tab w:pos="422" w:val="left" w:leader="none"/>
              </w:tabs>
              <w:spacing w:before="147"/>
              <w:ind w:right="2530"/>
              <w:rPr>
                <w:b/>
                <w:sz w:val="21"/>
              </w:rPr>
            </w:pPr>
            <w:r>
              <w:rPr>
                <w:b/>
                <w:sz w:val="21"/>
              </w:rPr>
              <w:t>合</w:t>
              <w:tab/>
              <w:t>计</w:t>
            </w:r>
          </w:p>
        </w:tc>
        <w:tc>
          <w:tcPr>
            <w:tcW w:w="2026" w:type="dxa"/>
          </w:tcPr>
          <w:p>
            <w:pPr>
              <w:pStyle w:val="TableParagraph"/>
              <w:spacing w:before="147"/>
              <w:ind w:right="98"/>
              <w:rPr>
                <w:b/>
                <w:sz w:val="21"/>
              </w:rPr>
            </w:pPr>
            <w:r>
              <w:rPr>
                <w:b/>
                <w:sz w:val="21"/>
              </w:rPr>
              <w:t>216604</w:t>
            </w:r>
          </w:p>
        </w:tc>
      </w:tr>
      <w:tr>
        <w:trPr>
          <w:trHeight w:val="510" w:hRule="atLeast"/>
        </w:trPr>
        <w:tc>
          <w:tcPr>
            <w:tcW w:w="5713" w:type="dxa"/>
          </w:tcPr>
          <w:p>
            <w:pPr>
              <w:pStyle w:val="TableParagraph"/>
              <w:spacing w:before="111"/>
              <w:ind w:left="215"/>
              <w:jc w:val="left"/>
              <w:rPr>
                <w:sz w:val="22"/>
              </w:rPr>
            </w:pPr>
            <w:r>
              <w:rPr>
                <w:sz w:val="22"/>
              </w:rPr>
              <w:t>一、文化体育与传媒支出</w:t>
            </w:r>
          </w:p>
        </w:tc>
        <w:tc>
          <w:tcPr>
            <w:tcW w:w="2026" w:type="dxa"/>
          </w:tcPr>
          <w:p>
            <w:pPr>
              <w:pStyle w:val="TableParagraph"/>
              <w:spacing w:before="111"/>
              <w:ind w:right="98"/>
              <w:rPr>
                <w:sz w:val="22"/>
              </w:rPr>
            </w:pPr>
            <w:r>
              <w:rPr>
                <w:sz w:val="22"/>
              </w:rPr>
              <w:t>33</w:t>
            </w:r>
          </w:p>
        </w:tc>
      </w:tr>
      <w:tr>
        <w:trPr>
          <w:trHeight w:val="509" w:hRule="atLeast"/>
        </w:trPr>
        <w:tc>
          <w:tcPr>
            <w:tcW w:w="5713" w:type="dxa"/>
          </w:tcPr>
          <w:p>
            <w:pPr>
              <w:pStyle w:val="TableParagraph"/>
              <w:spacing w:before="111"/>
              <w:ind w:left="105"/>
              <w:jc w:val="left"/>
              <w:rPr>
                <w:sz w:val="22"/>
              </w:rPr>
            </w:pPr>
            <w:r>
              <w:rPr>
                <w:sz w:val="22"/>
              </w:rPr>
              <w:t>二、社会保障和就业支出</w:t>
            </w:r>
          </w:p>
        </w:tc>
        <w:tc>
          <w:tcPr>
            <w:tcW w:w="2026" w:type="dxa"/>
          </w:tcPr>
          <w:p>
            <w:pPr>
              <w:pStyle w:val="TableParagraph"/>
              <w:spacing w:before="111"/>
              <w:ind w:right="98"/>
              <w:rPr>
                <w:sz w:val="22"/>
              </w:rPr>
            </w:pPr>
            <w:r>
              <w:rPr>
                <w:w w:val="100"/>
                <w:sz w:val="22"/>
              </w:rPr>
              <w:t>1</w:t>
            </w:r>
          </w:p>
        </w:tc>
      </w:tr>
      <w:tr>
        <w:trPr>
          <w:trHeight w:val="510" w:hRule="atLeast"/>
        </w:trPr>
        <w:tc>
          <w:tcPr>
            <w:tcW w:w="5713" w:type="dxa"/>
          </w:tcPr>
          <w:p>
            <w:pPr>
              <w:pStyle w:val="TableParagraph"/>
              <w:spacing w:before="111"/>
              <w:ind w:left="105"/>
              <w:jc w:val="left"/>
              <w:rPr>
                <w:sz w:val="22"/>
              </w:rPr>
            </w:pPr>
            <w:r>
              <w:rPr>
                <w:sz w:val="22"/>
              </w:rPr>
              <w:t>三、城乡社区支出</w:t>
            </w:r>
          </w:p>
        </w:tc>
        <w:tc>
          <w:tcPr>
            <w:tcW w:w="2026" w:type="dxa"/>
          </w:tcPr>
          <w:p>
            <w:pPr>
              <w:pStyle w:val="TableParagraph"/>
              <w:spacing w:before="111"/>
              <w:ind w:right="97"/>
              <w:rPr>
                <w:sz w:val="22"/>
              </w:rPr>
            </w:pPr>
            <w:r>
              <w:rPr>
                <w:sz w:val="22"/>
              </w:rPr>
              <w:t>154810</w:t>
            </w:r>
          </w:p>
        </w:tc>
      </w:tr>
      <w:tr>
        <w:trPr>
          <w:trHeight w:val="510" w:hRule="atLeast"/>
        </w:trPr>
        <w:tc>
          <w:tcPr>
            <w:tcW w:w="5713" w:type="dxa"/>
          </w:tcPr>
          <w:p>
            <w:pPr>
              <w:pStyle w:val="TableParagraph"/>
              <w:spacing w:before="111"/>
              <w:ind w:left="105"/>
              <w:jc w:val="left"/>
              <w:rPr>
                <w:sz w:val="22"/>
              </w:rPr>
            </w:pPr>
            <w:r>
              <w:rPr>
                <w:sz w:val="22"/>
              </w:rPr>
              <w:t>四、其他支出</w:t>
            </w:r>
          </w:p>
        </w:tc>
        <w:tc>
          <w:tcPr>
            <w:tcW w:w="2026" w:type="dxa"/>
          </w:tcPr>
          <w:p>
            <w:pPr>
              <w:pStyle w:val="TableParagraph"/>
              <w:spacing w:before="111"/>
              <w:ind w:right="97"/>
              <w:rPr>
                <w:sz w:val="22"/>
              </w:rPr>
            </w:pPr>
            <w:r>
              <w:rPr>
                <w:sz w:val="22"/>
              </w:rPr>
              <w:t>50419</w:t>
            </w:r>
          </w:p>
        </w:tc>
      </w:tr>
      <w:tr>
        <w:trPr>
          <w:trHeight w:val="508" w:hRule="atLeast"/>
        </w:trPr>
        <w:tc>
          <w:tcPr>
            <w:tcW w:w="5713" w:type="dxa"/>
          </w:tcPr>
          <w:p>
            <w:pPr>
              <w:pStyle w:val="TableParagraph"/>
              <w:spacing w:before="111"/>
              <w:ind w:left="105"/>
              <w:jc w:val="left"/>
              <w:rPr>
                <w:sz w:val="22"/>
              </w:rPr>
            </w:pPr>
            <w:r>
              <w:rPr>
                <w:sz w:val="22"/>
              </w:rPr>
              <w:t>五、债务付息支出</w:t>
            </w:r>
          </w:p>
        </w:tc>
        <w:tc>
          <w:tcPr>
            <w:tcW w:w="2026" w:type="dxa"/>
          </w:tcPr>
          <w:p>
            <w:pPr>
              <w:pStyle w:val="TableParagraph"/>
              <w:spacing w:before="111"/>
              <w:ind w:right="97"/>
              <w:rPr>
                <w:sz w:val="22"/>
              </w:rPr>
            </w:pPr>
            <w:r>
              <w:rPr>
                <w:sz w:val="22"/>
              </w:rPr>
              <w:t>11191</w:t>
            </w:r>
          </w:p>
        </w:tc>
      </w:tr>
      <w:tr>
        <w:trPr>
          <w:trHeight w:val="510" w:hRule="atLeast"/>
        </w:trPr>
        <w:tc>
          <w:tcPr>
            <w:tcW w:w="5713" w:type="dxa"/>
          </w:tcPr>
          <w:p>
            <w:pPr>
              <w:pStyle w:val="TableParagraph"/>
              <w:spacing w:before="111"/>
              <w:ind w:left="215"/>
              <w:jc w:val="left"/>
              <w:rPr>
                <w:sz w:val="22"/>
              </w:rPr>
            </w:pPr>
            <w:r>
              <w:rPr>
                <w:sz w:val="22"/>
              </w:rPr>
              <w:t>六、债务发行费用支出</w:t>
            </w:r>
          </w:p>
        </w:tc>
        <w:tc>
          <w:tcPr>
            <w:tcW w:w="2026" w:type="dxa"/>
          </w:tcPr>
          <w:p>
            <w:pPr>
              <w:pStyle w:val="TableParagraph"/>
              <w:spacing w:before="111"/>
              <w:ind w:right="98"/>
              <w:rPr>
                <w:sz w:val="22"/>
              </w:rPr>
            </w:pPr>
            <w:r>
              <w:rPr>
                <w:sz w:val="22"/>
              </w:rPr>
              <w:t>150</w:t>
            </w:r>
          </w:p>
        </w:tc>
      </w:tr>
    </w:tbl>
    <w:p>
      <w:pPr>
        <w:spacing w:after="0"/>
        <w:rPr>
          <w:sz w:val="22"/>
        </w:rPr>
        <w:sectPr>
          <w:pgSz w:w="11910" w:h="16850"/>
          <w:pgMar w:header="0" w:footer="1561" w:top="1600" w:bottom="1760" w:left="1360" w:right="1100"/>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3"/>
        <w:rPr>
          <w:rFonts w:ascii="宋体"/>
          <w:sz w:val="19"/>
        </w:rPr>
      </w:pPr>
    </w:p>
    <w:p>
      <w:pPr>
        <w:pStyle w:val="Heading2"/>
      </w:pPr>
      <w:r>
        <w:rPr/>
        <w:t>第三部分</w:t>
      </w:r>
    </w:p>
    <w:p>
      <w:pPr>
        <w:spacing w:line="892" w:lineRule="exact" w:before="0"/>
        <w:ind w:left="0" w:right="140" w:firstLine="0"/>
        <w:jc w:val="center"/>
        <w:rPr>
          <w:rFonts w:ascii="微软雅黑" w:eastAsia="微软雅黑" w:hint="eastAsia"/>
          <w:sz w:val="52"/>
        </w:rPr>
      </w:pPr>
      <w:r>
        <w:rPr>
          <w:rFonts w:ascii="微软雅黑" w:eastAsia="微软雅黑" w:hint="eastAsia"/>
          <w:sz w:val="52"/>
        </w:rPr>
        <w:t>2023 年高阳县国有资本经营预算</w:t>
      </w:r>
    </w:p>
    <w:p>
      <w:pPr>
        <w:spacing w:line="926" w:lineRule="exact" w:before="0"/>
        <w:ind w:left="0" w:right="138" w:firstLine="0"/>
        <w:jc w:val="center"/>
        <w:rPr>
          <w:rFonts w:ascii="微软雅黑" w:eastAsia="微软雅黑" w:hint="eastAsia"/>
          <w:sz w:val="52"/>
        </w:rPr>
      </w:pPr>
      <w:r>
        <w:rPr>
          <w:rFonts w:ascii="微软雅黑" w:eastAsia="微软雅黑" w:hint="eastAsia"/>
          <w:sz w:val="52"/>
        </w:rPr>
        <w:t>（草案）</w:t>
      </w:r>
    </w:p>
    <w:p>
      <w:pPr>
        <w:spacing w:after="0" w:line="926" w:lineRule="exact"/>
        <w:jc w:val="center"/>
        <w:rPr>
          <w:rFonts w:ascii="微软雅黑" w:eastAsia="微软雅黑" w:hint="eastAsia"/>
          <w:sz w:val="52"/>
        </w:rPr>
        <w:sectPr>
          <w:pgSz w:w="11910" w:h="16850"/>
          <w:pgMar w:header="0" w:footer="1561" w:top="1600" w:bottom="1760" w:left="1360" w:right="1100"/>
        </w:sectPr>
      </w:pPr>
    </w:p>
    <w:p>
      <w:pPr>
        <w:pStyle w:val="BodyText"/>
        <w:rPr>
          <w:rFonts w:ascii="微软雅黑"/>
          <w:sz w:val="20"/>
        </w:rPr>
      </w:pPr>
    </w:p>
    <w:p>
      <w:pPr>
        <w:pStyle w:val="BodyText"/>
        <w:rPr>
          <w:rFonts w:ascii="微软雅黑"/>
          <w:sz w:val="20"/>
        </w:rPr>
      </w:pPr>
    </w:p>
    <w:p>
      <w:pPr>
        <w:pStyle w:val="BodyText"/>
        <w:spacing w:before="5"/>
        <w:rPr>
          <w:rFonts w:ascii="微软雅黑"/>
          <w:sz w:val="18"/>
        </w:rPr>
      </w:pPr>
    </w:p>
    <w:p>
      <w:pPr>
        <w:pStyle w:val="Heading3"/>
        <w:tabs>
          <w:tab w:pos="2416" w:val="left" w:leader="none"/>
        </w:tabs>
      </w:pPr>
      <w:r>
        <w:rPr/>
        <w:t>1</w:t>
        <w:tab/>
        <w:t>高阳县国有资本经营预算平衡表</w:t>
      </w:r>
    </w:p>
    <w:p>
      <w:pPr>
        <w:pStyle w:val="BodyText"/>
        <w:spacing w:before="13"/>
        <w:rPr>
          <w:rFonts w:ascii="微软雅黑"/>
          <w:sz w:val="7"/>
        </w:rPr>
      </w:pPr>
    </w:p>
    <w:p>
      <w:pPr>
        <w:spacing w:before="72"/>
        <w:ind w:left="0" w:right="655" w:firstLine="0"/>
        <w:jc w:val="right"/>
        <w:rPr>
          <w:rFonts w:ascii="宋体" w:eastAsia="宋体" w:hint="eastAsia"/>
          <w:sz w:val="21"/>
        </w:rPr>
      </w:pPr>
      <w:r>
        <w:rPr>
          <w:rFonts w:ascii="宋体" w:eastAsia="宋体" w:hint="eastAsia"/>
          <w:sz w:val="21"/>
        </w:rPr>
        <w:t>单位：万元</w:t>
      </w:r>
    </w:p>
    <w:tbl>
      <w:tblPr>
        <w:tblW w:w="0" w:type="auto"/>
        <w:jc w:val="left"/>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2"/>
        <w:gridCol w:w="1215"/>
        <w:gridCol w:w="3033"/>
        <w:gridCol w:w="1213"/>
      </w:tblGrid>
      <w:tr>
        <w:trPr>
          <w:trHeight w:val="568" w:hRule="atLeast"/>
        </w:trPr>
        <w:tc>
          <w:tcPr>
            <w:tcW w:w="4247" w:type="dxa"/>
            <w:gridSpan w:val="2"/>
          </w:tcPr>
          <w:p>
            <w:pPr>
              <w:pStyle w:val="TableParagraph"/>
              <w:tabs>
                <w:tab w:pos="1062" w:val="left" w:leader="none"/>
              </w:tabs>
              <w:spacing w:before="149"/>
              <w:ind w:left="6"/>
              <w:jc w:val="center"/>
              <w:rPr>
                <w:b/>
                <w:sz w:val="21"/>
              </w:rPr>
            </w:pPr>
            <w:r>
              <w:rPr>
                <w:b/>
                <w:sz w:val="21"/>
              </w:rPr>
              <w:t>收</w:t>
              <w:tab/>
              <w:t>入</w:t>
            </w:r>
          </w:p>
        </w:tc>
        <w:tc>
          <w:tcPr>
            <w:tcW w:w="4246" w:type="dxa"/>
            <w:gridSpan w:val="2"/>
          </w:tcPr>
          <w:p>
            <w:pPr>
              <w:pStyle w:val="TableParagraph"/>
              <w:tabs>
                <w:tab w:pos="1062" w:val="left" w:leader="none"/>
              </w:tabs>
              <w:spacing w:before="149"/>
              <w:ind w:left="6"/>
              <w:jc w:val="center"/>
              <w:rPr>
                <w:b/>
                <w:sz w:val="21"/>
              </w:rPr>
            </w:pPr>
            <w:r>
              <w:rPr>
                <w:b/>
                <w:sz w:val="21"/>
              </w:rPr>
              <w:t>支</w:t>
              <w:tab/>
              <w:t>出</w:t>
            </w:r>
          </w:p>
        </w:tc>
      </w:tr>
      <w:tr>
        <w:trPr>
          <w:trHeight w:val="566" w:hRule="atLeast"/>
        </w:trPr>
        <w:tc>
          <w:tcPr>
            <w:tcW w:w="3032" w:type="dxa"/>
          </w:tcPr>
          <w:p>
            <w:pPr>
              <w:pStyle w:val="TableParagraph"/>
              <w:tabs>
                <w:tab w:pos="411" w:val="left" w:leader="none"/>
              </w:tabs>
              <w:spacing w:before="155"/>
              <w:ind w:left="8"/>
              <w:jc w:val="center"/>
              <w:rPr>
                <w:b/>
                <w:sz w:val="20"/>
              </w:rPr>
            </w:pPr>
            <w:r>
              <w:rPr>
                <w:b/>
                <w:sz w:val="20"/>
              </w:rPr>
              <w:t>项</w:t>
              <w:tab/>
              <w:t>目</w:t>
            </w:r>
          </w:p>
        </w:tc>
        <w:tc>
          <w:tcPr>
            <w:tcW w:w="1215" w:type="dxa"/>
          </w:tcPr>
          <w:p>
            <w:pPr>
              <w:pStyle w:val="TableParagraph"/>
              <w:spacing w:before="155"/>
              <w:ind w:left="304"/>
              <w:jc w:val="left"/>
              <w:rPr>
                <w:b/>
                <w:sz w:val="20"/>
              </w:rPr>
            </w:pPr>
            <w:r>
              <w:rPr>
                <w:b/>
                <w:sz w:val="20"/>
              </w:rPr>
              <w:t>预算数</w:t>
            </w:r>
          </w:p>
        </w:tc>
        <w:tc>
          <w:tcPr>
            <w:tcW w:w="3033" w:type="dxa"/>
          </w:tcPr>
          <w:p>
            <w:pPr>
              <w:pStyle w:val="TableParagraph"/>
              <w:tabs>
                <w:tab w:pos="405" w:val="left" w:leader="none"/>
              </w:tabs>
              <w:spacing w:before="155"/>
              <w:ind w:left="2"/>
              <w:jc w:val="center"/>
              <w:rPr>
                <w:b/>
                <w:sz w:val="20"/>
              </w:rPr>
            </w:pPr>
            <w:r>
              <w:rPr>
                <w:b/>
                <w:sz w:val="20"/>
              </w:rPr>
              <w:t>项</w:t>
              <w:tab/>
              <w:t>目</w:t>
            </w:r>
          </w:p>
        </w:tc>
        <w:tc>
          <w:tcPr>
            <w:tcW w:w="1213" w:type="dxa"/>
          </w:tcPr>
          <w:p>
            <w:pPr>
              <w:pStyle w:val="TableParagraph"/>
              <w:spacing w:before="155"/>
              <w:ind w:left="300"/>
              <w:jc w:val="left"/>
              <w:rPr>
                <w:b/>
                <w:sz w:val="20"/>
              </w:rPr>
            </w:pPr>
            <w:r>
              <w:rPr>
                <w:b/>
                <w:sz w:val="20"/>
              </w:rPr>
              <w:t>预算数</w:t>
            </w:r>
          </w:p>
        </w:tc>
      </w:tr>
      <w:tr>
        <w:trPr>
          <w:trHeight w:val="566" w:hRule="atLeast"/>
        </w:trPr>
        <w:tc>
          <w:tcPr>
            <w:tcW w:w="3032" w:type="dxa"/>
          </w:tcPr>
          <w:p>
            <w:pPr>
              <w:pStyle w:val="TableParagraph"/>
              <w:spacing w:before="155"/>
              <w:ind w:left="306"/>
              <w:jc w:val="left"/>
              <w:rPr>
                <w:sz w:val="20"/>
              </w:rPr>
            </w:pPr>
            <w:r>
              <w:rPr>
                <w:sz w:val="20"/>
              </w:rPr>
              <w:t>一、利润收入</w:t>
            </w:r>
          </w:p>
        </w:tc>
        <w:tc>
          <w:tcPr>
            <w:tcW w:w="1215" w:type="dxa"/>
          </w:tcPr>
          <w:p>
            <w:pPr>
              <w:pStyle w:val="TableParagraph"/>
              <w:spacing w:before="155"/>
              <w:ind w:right="100"/>
              <w:rPr>
                <w:sz w:val="20"/>
              </w:rPr>
            </w:pPr>
            <w:r>
              <w:rPr>
                <w:w w:val="99"/>
                <w:sz w:val="20"/>
              </w:rPr>
              <w:t>0</w:t>
            </w:r>
          </w:p>
        </w:tc>
        <w:tc>
          <w:tcPr>
            <w:tcW w:w="3033" w:type="dxa"/>
          </w:tcPr>
          <w:p>
            <w:pPr>
              <w:pStyle w:val="TableParagraph"/>
              <w:spacing w:line="242" w:lineRule="auto" w:before="25"/>
              <w:ind w:left="104" w:right="118" w:firstLine="199"/>
              <w:jc w:val="left"/>
              <w:rPr>
                <w:sz w:val="20"/>
              </w:rPr>
            </w:pPr>
            <w:r>
              <w:rPr>
                <w:sz w:val="20"/>
              </w:rPr>
              <w:t>一、解决历史遗留问题及改革成本支出</w:t>
            </w:r>
          </w:p>
        </w:tc>
        <w:tc>
          <w:tcPr>
            <w:tcW w:w="1213" w:type="dxa"/>
          </w:tcPr>
          <w:p>
            <w:pPr>
              <w:pStyle w:val="TableParagraph"/>
              <w:spacing w:before="155"/>
              <w:ind w:right="98"/>
              <w:rPr>
                <w:sz w:val="20"/>
              </w:rPr>
            </w:pPr>
            <w:r>
              <w:rPr>
                <w:sz w:val="20"/>
              </w:rPr>
              <w:t>12</w:t>
            </w:r>
          </w:p>
        </w:tc>
      </w:tr>
      <w:tr>
        <w:trPr>
          <w:trHeight w:val="568" w:hRule="atLeast"/>
        </w:trPr>
        <w:tc>
          <w:tcPr>
            <w:tcW w:w="3032" w:type="dxa"/>
          </w:tcPr>
          <w:p>
            <w:pPr>
              <w:pStyle w:val="TableParagraph"/>
              <w:spacing w:before="157"/>
              <w:ind w:left="306"/>
              <w:jc w:val="left"/>
              <w:rPr>
                <w:sz w:val="20"/>
              </w:rPr>
            </w:pPr>
            <w:r>
              <w:rPr>
                <w:sz w:val="20"/>
              </w:rPr>
              <w:t>二、股利、股息收入</w:t>
            </w:r>
          </w:p>
        </w:tc>
        <w:tc>
          <w:tcPr>
            <w:tcW w:w="1215" w:type="dxa"/>
          </w:tcPr>
          <w:p>
            <w:pPr>
              <w:pStyle w:val="TableParagraph"/>
              <w:spacing w:before="157"/>
              <w:ind w:right="100"/>
              <w:rPr>
                <w:sz w:val="20"/>
              </w:rPr>
            </w:pPr>
            <w:r>
              <w:rPr>
                <w:w w:val="99"/>
                <w:sz w:val="20"/>
              </w:rPr>
              <w:t>0</w:t>
            </w:r>
          </w:p>
        </w:tc>
        <w:tc>
          <w:tcPr>
            <w:tcW w:w="3033" w:type="dxa"/>
          </w:tcPr>
          <w:p>
            <w:pPr>
              <w:pStyle w:val="TableParagraph"/>
              <w:spacing w:before="157"/>
              <w:ind w:left="304"/>
              <w:jc w:val="left"/>
              <w:rPr>
                <w:sz w:val="20"/>
              </w:rPr>
            </w:pPr>
            <w:r>
              <w:rPr>
                <w:sz w:val="20"/>
              </w:rPr>
              <w:t>二、国有企业资本金注入</w:t>
            </w:r>
          </w:p>
        </w:tc>
        <w:tc>
          <w:tcPr>
            <w:tcW w:w="1213" w:type="dxa"/>
          </w:tcPr>
          <w:p>
            <w:pPr>
              <w:pStyle w:val="TableParagraph"/>
              <w:spacing w:before="157"/>
              <w:ind w:right="102"/>
              <w:rPr>
                <w:sz w:val="20"/>
              </w:rPr>
            </w:pPr>
            <w:r>
              <w:rPr>
                <w:w w:val="99"/>
                <w:sz w:val="20"/>
              </w:rPr>
              <w:t>0</w:t>
            </w:r>
          </w:p>
        </w:tc>
      </w:tr>
      <w:tr>
        <w:trPr>
          <w:trHeight w:val="565" w:hRule="atLeast"/>
        </w:trPr>
        <w:tc>
          <w:tcPr>
            <w:tcW w:w="3032" w:type="dxa"/>
          </w:tcPr>
          <w:p>
            <w:pPr>
              <w:pStyle w:val="TableParagraph"/>
              <w:spacing w:before="155"/>
              <w:ind w:left="306"/>
              <w:jc w:val="left"/>
              <w:rPr>
                <w:sz w:val="20"/>
              </w:rPr>
            </w:pPr>
            <w:r>
              <w:rPr>
                <w:sz w:val="20"/>
              </w:rPr>
              <w:t>三、产权转让收入</w:t>
            </w:r>
          </w:p>
        </w:tc>
        <w:tc>
          <w:tcPr>
            <w:tcW w:w="1215" w:type="dxa"/>
          </w:tcPr>
          <w:p>
            <w:pPr>
              <w:pStyle w:val="TableParagraph"/>
              <w:spacing w:before="155"/>
              <w:ind w:right="100"/>
              <w:rPr>
                <w:sz w:val="20"/>
              </w:rPr>
            </w:pPr>
            <w:r>
              <w:rPr>
                <w:w w:val="99"/>
                <w:sz w:val="20"/>
              </w:rPr>
              <w:t>0</w:t>
            </w:r>
          </w:p>
        </w:tc>
        <w:tc>
          <w:tcPr>
            <w:tcW w:w="3033" w:type="dxa"/>
          </w:tcPr>
          <w:p>
            <w:pPr>
              <w:pStyle w:val="TableParagraph"/>
              <w:spacing w:before="155"/>
              <w:ind w:left="304"/>
              <w:jc w:val="left"/>
              <w:rPr>
                <w:sz w:val="20"/>
              </w:rPr>
            </w:pPr>
            <w:r>
              <w:rPr>
                <w:sz w:val="20"/>
              </w:rPr>
              <w:t>三、国有企业政策性补贴</w:t>
            </w:r>
          </w:p>
        </w:tc>
        <w:tc>
          <w:tcPr>
            <w:tcW w:w="1213" w:type="dxa"/>
          </w:tcPr>
          <w:p>
            <w:pPr>
              <w:pStyle w:val="TableParagraph"/>
              <w:spacing w:before="155"/>
              <w:ind w:right="102"/>
              <w:rPr>
                <w:sz w:val="20"/>
              </w:rPr>
            </w:pPr>
            <w:r>
              <w:rPr>
                <w:w w:val="99"/>
                <w:sz w:val="20"/>
              </w:rPr>
              <w:t>0</w:t>
            </w:r>
          </w:p>
        </w:tc>
      </w:tr>
      <w:tr>
        <w:trPr>
          <w:trHeight w:val="568" w:hRule="atLeast"/>
        </w:trPr>
        <w:tc>
          <w:tcPr>
            <w:tcW w:w="3032" w:type="dxa"/>
          </w:tcPr>
          <w:p>
            <w:pPr>
              <w:pStyle w:val="TableParagraph"/>
              <w:spacing w:before="157"/>
              <w:ind w:left="306"/>
              <w:jc w:val="left"/>
              <w:rPr>
                <w:sz w:val="20"/>
              </w:rPr>
            </w:pPr>
            <w:r>
              <w:rPr>
                <w:sz w:val="20"/>
              </w:rPr>
              <w:t>四、清算收入</w:t>
            </w:r>
          </w:p>
        </w:tc>
        <w:tc>
          <w:tcPr>
            <w:tcW w:w="1215" w:type="dxa"/>
          </w:tcPr>
          <w:p>
            <w:pPr>
              <w:pStyle w:val="TableParagraph"/>
              <w:spacing w:before="157"/>
              <w:ind w:right="100"/>
              <w:rPr>
                <w:sz w:val="20"/>
              </w:rPr>
            </w:pPr>
            <w:r>
              <w:rPr>
                <w:w w:val="99"/>
                <w:sz w:val="20"/>
              </w:rPr>
              <w:t>0</w:t>
            </w:r>
          </w:p>
        </w:tc>
        <w:tc>
          <w:tcPr>
            <w:tcW w:w="3033" w:type="dxa"/>
          </w:tcPr>
          <w:p>
            <w:pPr>
              <w:pStyle w:val="TableParagraph"/>
              <w:spacing w:line="242" w:lineRule="auto" w:before="28"/>
              <w:ind w:left="104" w:right="118" w:firstLine="199"/>
              <w:jc w:val="left"/>
              <w:rPr>
                <w:sz w:val="20"/>
              </w:rPr>
            </w:pPr>
            <w:r>
              <w:rPr>
                <w:sz w:val="20"/>
              </w:rPr>
              <w:t>四、金融国有资本经营预算支出</w:t>
            </w:r>
          </w:p>
        </w:tc>
        <w:tc>
          <w:tcPr>
            <w:tcW w:w="1213" w:type="dxa"/>
          </w:tcPr>
          <w:p>
            <w:pPr>
              <w:pStyle w:val="TableParagraph"/>
              <w:spacing w:before="157"/>
              <w:ind w:right="102"/>
              <w:rPr>
                <w:sz w:val="20"/>
              </w:rPr>
            </w:pPr>
            <w:r>
              <w:rPr>
                <w:w w:val="99"/>
                <w:sz w:val="20"/>
              </w:rPr>
              <w:t>0</w:t>
            </w:r>
          </w:p>
        </w:tc>
      </w:tr>
      <w:tr>
        <w:trPr>
          <w:trHeight w:val="566" w:hRule="atLeast"/>
        </w:trPr>
        <w:tc>
          <w:tcPr>
            <w:tcW w:w="3032" w:type="dxa"/>
          </w:tcPr>
          <w:p>
            <w:pPr>
              <w:pStyle w:val="TableParagraph"/>
              <w:spacing w:line="242" w:lineRule="auto" w:before="25"/>
              <w:ind w:left="107" w:right="114" w:firstLine="199"/>
              <w:jc w:val="left"/>
              <w:rPr>
                <w:sz w:val="20"/>
              </w:rPr>
            </w:pPr>
            <w:r>
              <w:rPr>
                <w:sz w:val="20"/>
              </w:rPr>
              <w:t>五、其他国有资本经营预算收入</w:t>
            </w:r>
          </w:p>
        </w:tc>
        <w:tc>
          <w:tcPr>
            <w:tcW w:w="1215" w:type="dxa"/>
          </w:tcPr>
          <w:p>
            <w:pPr>
              <w:pStyle w:val="TableParagraph"/>
              <w:spacing w:before="155"/>
              <w:ind w:right="100"/>
              <w:rPr>
                <w:sz w:val="20"/>
              </w:rPr>
            </w:pPr>
            <w:r>
              <w:rPr>
                <w:w w:val="99"/>
                <w:sz w:val="20"/>
              </w:rPr>
              <w:t>0</w:t>
            </w:r>
          </w:p>
        </w:tc>
        <w:tc>
          <w:tcPr>
            <w:tcW w:w="3033" w:type="dxa"/>
          </w:tcPr>
          <w:p>
            <w:pPr>
              <w:pStyle w:val="TableParagraph"/>
              <w:spacing w:line="242" w:lineRule="auto" w:before="25"/>
              <w:ind w:left="104" w:right="117" w:firstLine="199"/>
              <w:jc w:val="left"/>
              <w:rPr>
                <w:sz w:val="20"/>
              </w:rPr>
            </w:pPr>
            <w:r>
              <w:rPr>
                <w:sz w:val="20"/>
              </w:rPr>
              <w:t>五、其他国有资本经营预算支出</w:t>
            </w:r>
          </w:p>
        </w:tc>
        <w:tc>
          <w:tcPr>
            <w:tcW w:w="1213" w:type="dxa"/>
          </w:tcPr>
          <w:p>
            <w:pPr>
              <w:pStyle w:val="TableParagraph"/>
              <w:spacing w:before="155"/>
              <w:ind w:right="102"/>
              <w:rPr>
                <w:sz w:val="20"/>
              </w:rPr>
            </w:pPr>
            <w:r>
              <w:rPr>
                <w:w w:val="99"/>
                <w:sz w:val="20"/>
              </w:rPr>
              <w:t>0</w:t>
            </w:r>
          </w:p>
        </w:tc>
      </w:tr>
      <w:tr>
        <w:trPr>
          <w:trHeight w:val="568" w:hRule="atLeast"/>
        </w:trPr>
        <w:tc>
          <w:tcPr>
            <w:tcW w:w="3032" w:type="dxa"/>
          </w:tcPr>
          <w:p>
            <w:pPr>
              <w:pStyle w:val="TableParagraph"/>
              <w:tabs>
                <w:tab w:pos="613" w:val="left" w:leader="none"/>
              </w:tabs>
              <w:spacing w:before="155"/>
              <w:ind w:left="210"/>
              <w:jc w:val="center"/>
              <w:rPr>
                <w:b/>
                <w:sz w:val="20"/>
              </w:rPr>
            </w:pPr>
            <w:r>
              <w:rPr>
                <w:b/>
                <w:sz w:val="20"/>
              </w:rPr>
              <w:t>小</w:t>
              <w:tab/>
              <w:t>计</w:t>
            </w:r>
          </w:p>
        </w:tc>
        <w:tc>
          <w:tcPr>
            <w:tcW w:w="1215" w:type="dxa"/>
          </w:tcPr>
          <w:p>
            <w:pPr>
              <w:pStyle w:val="TableParagraph"/>
              <w:spacing w:before="155"/>
              <w:ind w:right="100"/>
              <w:rPr>
                <w:b/>
                <w:sz w:val="20"/>
              </w:rPr>
            </w:pPr>
            <w:r>
              <w:rPr>
                <w:b/>
                <w:w w:val="98"/>
                <w:sz w:val="20"/>
              </w:rPr>
              <w:t>0</w:t>
            </w:r>
          </w:p>
        </w:tc>
        <w:tc>
          <w:tcPr>
            <w:tcW w:w="3033" w:type="dxa"/>
          </w:tcPr>
          <w:p>
            <w:pPr>
              <w:pStyle w:val="TableParagraph"/>
              <w:tabs>
                <w:tab w:pos="606" w:val="left" w:leader="none"/>
              </w:tabs>
              <w:spacing w:before="155"/>
              <w:ind w:left="203"/>
              <w:jc w:val="center"/>
              <w:rPr>
                <w:b/>
                <w:sz w:val="20"/>
              </w:rPr>
            </w:pPr>
            <w:r>
              <w:rPr>
                <w:b/>
                <w:sz w:val="20"/>
              </w:rPr>
              <w:t>小</w:t>
              <w:tab/>
              <w:t>计</w:t>
            </w:r>
          </w:p>
        </w:tc>
        <w:tc>
          <w:tcPr>
            <w:tcW w:w="1213" w:type="dxa"/>
          </w:tcPr>
          <w:p>
            <w:pPr>
              <w:pStyle w:val="TableParagraph"/>
              <w:spacing w:before="155"/>
              <w:ind w:right="101"/>
              <w:rPr>
                <w:b/>
                <w:sz w:val="20"/>
              </w:rPr>
            </w:pPr>
            <w:r>
              <w:rPr>
                <w:b/>
                <w:w w:val="95"/>
                <w:sz w:val="20"/>
              </w:rPr>
              <w:t>12</w:t>
            </w:r>
          </w:p>
        </w:tc>
      </w:tr>
      <w:tr>
        <w:trPr>
          <w:trHeight w:val="565" w:hRule="atLeast"/>
        </w:trPr>
        <w:tc>
          <w:tcPr>
            <w:tcW w:w="3032" w:type="dxa"/>
          </w:tcPr>
          <w:p>
            <w:pPr>
              <w:pStyle w:val="TableParagraph"/>
              <w:spacing w:before="155"/>
              <w:ind w:left="306"/>
              <w:jc w:val="left"/>
              <w:rPr>
                <w:sz w:val="20"/>
              </w:rPr>
            </w:pPr>
            <w:r>
              <w:rPr>
                <w:sz w:val="20"/>
              </w:rPr>
              <w:t>上级补助收入</w:t>
            </w:r>
          </w:p>
        </w:tc>
        <w:tc>
          <w:tcPr>
            <w:tcW w:w="1215" w:type="dxa"/>
          </w:tcPr>
          <w:p>
            <w:pPr>
              <w:pStyle w:val="TableParagraph"/>
              <w:spacing w:before="155"/>
              <w:ind w:right="100"/>
              <w:rPr>
                <w:sz w:val="20"/>
              </w:rPr>
            </w:pPr>
            <w:r>
              <w:rPr>
                <w:w w:val="99"/>
                <w:sz w:val="20"/>
              </w:rPr>
              <w:t>6</w:t>
            </w:r>
          </w:p>
        </w:tc>
        <w:tc>
          <w:tcPr>
            <w:tcW w:w="3033" w:type="dxa"/>
          </w:tcPr>
          <w:p>
            <w:pPr>
              <w:pStyle w:val="TableParagraph"/>
              <w:spacing w:before="155"/>
              <w:ind w:left="304"/>
              <w:jc w:val="left"/>
              <w:rPr>
                <w:sz w:val="20"/>
              </w:rPr>
            </w:pPr>
            <w:r>
              <w:rPr>
                <w:sz w:val="20"/>
              </w:rPr>
              <w:t>补助下级支出</w:t>
            </w:r>
          </w:p>
        </w:tc>
        <w:tc>
          <w:tcPr>
            <w:tcW w:w="1213" w:type="dxa"/>
          </w:tcPr>
          <w:p>
            <w:pPr>
              <w:pStyle w:val="TableParagraph"/>
              <w:spacing w:before="155"/>
              <w:ind w:right="102"/>
              <w:rPr>
                <w:sz w:val="20"/>
              </w:rPr>
            </w:pPr>
            <w:r>
              <w:rPr>
                <w:w w:val="99"/>
                <w:sz w:val="20"/>
              </w:rPr>
              <w:t>0</w:t>
            </w:r>
          </w:p>
        </w:tc>
      </w:tr>
      <w:tr>
        <w:trPr>
          <w:trHeight w:val="566" w:hRule="atLeast"/>
        </w:trPr>
        <w:tc>
          <w:tcPr>
            <w:tcW w:w="3032" w:type="dxa"/>
          </w:tcPr>
          <w:p>
            <w:pPr>
              <w:pStyle w:val="TableParagraph"/>
              <w:spacing w:before="155"/>
              <w:ind w:left="306"/>
              <w:jc w:val="left"/>
              <w:rPr>
                <w:sz w:val="20"/>
              </w:rPr>
            </w:pPr>
            <w:r>
              <w:rPr>
                <w:sz w:val="20"/>
              </w:rPr>
              <w:t>上年结转</w:t>
            </w:r>
          </w:p>
        </w:tc>
        <w:tc>
          <w:tcPr>
            <w:tcW w:w="1215" w:type="dxa"/>
          </w:tcPr>
          <w:p>
            <w:pPr>
              <w:pStyle w:val="TableParagraph"/>
              <w:spacing w:before="155"/>
              <w:ind w:right="100"/>
              <w:rPr>
                <w:sz w:val="20"/>
              </w:rPr>
            </w:pPr>
            <w:r>
              <w:rPr>
                <w:w w:val="99"/>
                <w:sz w:val="20"/>
              </w:rPr>
              <w:t>6</w:t>
            </w:r>
          </w:p>
        </w:tc>
        <w:tc>
          <w:tcPr>
            <w:tcW w:w="3033" w:type="dxa"/>
          </w:tcPr>
          <w:p>
            <w:pPr>
              <w:pStyle w:val="TableParagraph"/>
              <w:spacing w:before="155"/>
              <w:ind w:left="304"/>
              <w:jc w:val="left"/>
              <w:rPr>
                <w:sz w:val="20"/>
              </w:rPr>
            </w:pPr>
            <w:r>
              <w:rPr>
                <w:sz w:val="20"/>
              </w:rPr>
              <w:t>调出资金</w:t>
            </w:r>
          </w:p>
        </w:tc>
        <w:tc>
          <w:tcPr>
            <w:tcW w:w="1213" w:type="dxa"/>
          </w:tcPr>
          <w:p>
            <w:pPr>
              <w:pStyle w:val="TableParagraph"/>
              <w:spacing w:before="155"/>
              <w:ind w:right="102"/>
              <w:rPr>
                <w:sz w:val="20"/>
              </w:rPr>
            </w:pPr>
            <w:r>
              <w:rPr>
                <w:w w:val="99"/>
                <w:sz w:val="20"/>
              </w:rPr>
              <w:t>0</w:t>
            </w:r>
          </w:p>
        </w:tc>
      </w:tr>
      <w:tr>
        <w:trPr>
          <w:trHeight w:val="568" w:hRule="atLeast"/>
        </w:trPr>
        <w:tc>
          <w:tcPr>
            <w:tcW w:w="3032" w:type="dxa"/>
          </w:tcPr>
          <w:p>
            <w:pPr>
              <w:pStyle w:val="TableParagraph"/>
              <w:tabs>
                <w:tab w:pos="613" w:val="left" w:leader="none"/>
              </w:tabs>
              <w:spacing w:before="157"/>
              <w:ind w:left="210"/>
              <w:jc w:val="center"/>
              <w:rPr>
                <w:b/>
                <w:sz w:val="20"/>
              </w:rPr>
            </w:pPr>
            <w:r>
              <w:rPr>
                <w:b/>
                <w:sz w:val="20"/>
              </w:rPr>
              <w:t>合</w:t>
              <w:tab/>
              <w:t>计</w:t>
            </w:r>
          </w:p>
        </w:tc>
        <w:tc>
          <w:tcPr>
            <w:tcW w:w="1215" w:type="dxa"/>
          </w:tcPr>
          <w:p>
            <w:pPr>
              <w:pStyle w:val="TableParagraph"/>
              <w:spacing w:before="157"/>
              <w:ind w:right="99"/>
              <w:rPr>
                <w:b/>
                <w:sz w:val="20"/>
              </w:rPr>
            </w:pPr>
            <w:r>
              <w:rPr>
                <w:b/>
                <w:w w:val="95"/>
                <w:sz w:val="20"/>
              </w:rPr>
              <w:t>12</w:t>
            </w:r>
          </w:p>
        </w:tc>
        <w:tc>
          <w:tcPr>
            <w:tcW w:w="3033" w:type="dxa"/>
          </w:tcPr>
          <w:p>
            <w:pPr>
              <w:pStyle w:val="TableParagraph"/>
              <w:tabs>
                <w:tab w:pos="606" w:val="left" w:leader="none"/>
              </w:tabs>
              <w:spacing w:before="157"/>
              <w:ind w:left="203"/>
              <w:jc w:val="center"/>
              <w:rPr>
                <w:b/>
                <w:sz w:val="20"/>
              </w:rPr>
            </w:pPr>
            <w:r>
              <w:rPr>
                <w:b/>
                <w:sz w:val="20"/>
              </w:rPr>
              <w:t>合</w:t>
              <w:tab/>
              <w:t>计</w:t>
            </w:r>
          </w:p>
        </w:tc>
        <w:tc>
          <w:tcPr>
            <w:tcW w:w="1213" w:type="dxa"/>
          </w:tcPr>
          <w:p>
            <w:pPr>
              <w:pStyle w:val="TableParagraph"/>
              <w:spacing w:before="157"/>
              <w:ind w:right="101"/>
              <w:rPr>
                <w:b/>
                <w:sz w:val="20"/>
              </w:rPr>
            </w:pPr>
            <w:r>
              <w:rPr>
                <w:b/>
                <w:w w:val="95"/>
                <w:sz w:val="20"/>
              </w:rPr>
              <w:t>12</w:t>
            </w:r>
          </w:p>
        </w:tc>
      </w:tr>
    </w:tbl>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2"/>
        <w:rPr>
          <w:rFonts w:ascii="宋体"/>
          <w:sz w:val="15"/>
        </w:rPr>
      </w:pPr>
    </w:p>
    <w:p>
      <w:pPr>
        <w:pStyle w:val="Heading3"/>
        <w:numPr>
          <w:ilvl w:val="0"/>
          <w:numId w:val="8"/>
        </w:numPr>
        <w:tabs>
          <w:tab w:pos="2596" w:val="left" w:leader="none"/>
          <w:tab w:pos="2597" w:val="left" w:leader="none"/>
        </w:tabs>
        <w:spacing w:line="240" w:lineRule="auto" w:before="0" w:after="0"/>
        <w:ind w:left="2596" w:right="0" w:hanging="573"/>
        <w:jc w:val="left"/>
      </w:pPr>
      <w:r>
        <w:rPr/>
        <w:t>高阳县国有资本经营预算情况说明</w:t>
      </w:r>
    </w:p>
    <w:p>
      <w:pPr>
        <w:pStyle w:val="BodyText"/>
        <w:spacing w:line="326" w:lineRule="auto" w:before="294"/>
        <w:ind w:left="229" w:right="257" w:firstLine="640"/>
      </w:pPr>
      <w:r>
        <w:rPr/>
        <w:t>县级因国有企业规模较小，除上级补助专款及结转专款外， 县级国有资本经营收支预算均为 0 万元。</w:t>
      </w:r>
    </w:p>
    <w:p>
      <w:pPr>
        <w:spacing w:after="0" w:line="326" w:lineRule="auto"/>
        <w:sectPr>
          <w:pgSz w:w="11910" w:h="16850"/>
          <w:pgMar w:header="0" w:footer="1561" w:top="1600" w:bottom="1760" w:left="1360" w:right="1100"/>
        </w:sectPr>
      </w:pPr>
    </w:p>
    <w:p>
      <w:pPr>
        <w:pStyle w:val="BodyText"/>
        <w:rPr>
          <w:sz w:val="20"/>
        </w:rPr>
      </w:pPr>
    </w:p>
    <w:p>
      <w:pPr>
        <w:pStyle w:val="BodyText"/>
        <w:rPr>
          <w:sz w:val="20"/>
        </w:rPr>
      </w:pPr>
    </w:p>
    <w:p>
      <w:pPr>
        <w:pStyle w:val="BodyText"/>
        <w:rPr>
          <w:sz w:val="20"/>
        </w:rPr>
      </w:pPr>
    </w:p>
    <w:p>
      <w:pPr>
        <w:pStyle w:val="BodyText"/>
        <w:spacing w:before="8"/>
        <w:rPr>
          <w:sz w:val="26"/>
        </w:rPr>
      </w:pPr>
    </w:p>
    <w:p>
      <w:pPr>
        <w:spacing w:after="0"/>
        <w:rPr>
          <w:sz w:val="26"/>
        </w:rPr>
        <w:sectPr>
          <w:pgSz w:w="11910" w:h="16850"/>
          <w:pgMar w:header="0" w:footer="1561" w:top="1600" w:bottom="1760" w:left="1360" w:right="1100"/>
        </w:sectPr>
      </w:pPr>
    </w:p>
    <w:p>
      <w:pPr>
        <w:pStyle w:val="Heading3"/>
        <w:numPr>
          <w:ilvl w:val="0"/>
          <w:numId w:val="8"/>
        </w:numPr>
        <w:tabs>
          <w:tab w:pos="2574" w:val="left" w:leader="none"/>
          <w:tab w:pos="2575" w:val="left" w:leader="none"/>
        </w:tabs>
        <w:spacing w:line="240" w:lineRule="auto" w:before="6" w:after="0"/>
        <w:ind w:left="2574" w:right="0" w:hanging="573"/>
        <w:jc w:val="left"/>
      </w:pPr>
      <w:r>
        <w:rPr>
          <w:spacing w:val="-2"/>
        </w:rPr>
        <w:t>高阳县国有资本经营收入预算</w:t>
      </w:r>
    </w:p>
    <w:p>
      <w:pPr>
        <w:pStyle w:val="BodyText"/>
        <w:rPr>
          <w:rFonts w:ascii="微软雅黑"/>
          <w:sz w:val="20"/>
        </w:rPr>
      </w:pPr>
      <w:r>
        <w:rPr/>
        <w:br w:type="column"/>
      </w:r>
      <w:r>
        <w:rPr>
          <w:rFonts w:ascii="微软雅黑"/>
          <w:sz w:val="20"/>
        </w:rPr>
      </w:r>
    </w:p>
    <w:p>
      <w:pPr>
        <w:pStyle w:val="BodyText"/>
        <w:spacing w:before="12"/>
        <w:rPr>
          <w:rFonts w:ascii="微软雅黑"/>
          <w:sz w:val="17"/>
        </w:rPr>
      </w:pPr>
    </w:p>
    <w:p>
      <w:pPr>
        <w:spacing w:before="0"/>
        <w:ind w:left="155" w:right="0" w:firstLine="0"/>
        <w:jc w:val="left"/>
        <w:rPr>
          <w:rFonts w:ascii="宋体" w:eastAsia="宋体" w:hint="eastAsia"/>
          <w:sz w:val="21"/>
        </w:rPr>
      </w:pPr>
      <w:r>
        <w:rPr>
          <w:rFonts w:ascii="宋体" w:eastAsia="宋体" w:hint="eastAsia"/>
          <w:sz w:val="21"/>
        </w:rPr>
        <w:t>单位：万元</w:t>
      </w:r>
    </w:p>
    <w:p>
      <w:pPr>
        <w:spacing w:after="0"/>
        <w:jc w:val="left"/>
        <w:rPr>
          <w:rFonts w:ascii="宋体" w:eastAsia="宋体" w:hint="eastAsia"/>
          <w:sz w:val="21"/>
        </w:rPr>
        <w:sectPr>
          <w:type w:val="continuous"/>
          <w:pgSz w:w="11910" w:h="16850"/>
          <w:pgMar w:top="1580" w:bottom="2100" w:left="1360" w:right="1100"/>
          <w:cols w:num="2" w:equalWidth="0">
            <w:col w:w="7255" w:space="40"/>
            <w:col w:w="2155"/>
          </w:cols>
        </w:sectPr>
      </w:pPr>
    </w:p>
    <w:p>
      <w:pPr>
        <w:pStyle w:val="BodyText"/>
        <w:spacing w:before="8" w:after="1"/>
        <w:rPr>
          <w:rFonts w:ascii="宋体"/>
          <w:sz w:val="14"/>
        </w:rPr>
      </w:pPr>
    </w:p>
    <w:tbl>
      <w:tblPr>
        <w:tblW w:w="0" w:type="auto"/>
        <w:jc w:val="left"/>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06"/>
        <w:gridCol w:w="2000"/>
      </w:tblGrid>
      <w:tr>
        <w:trPr>
          <w:trHeight w:val="568" w:hRule="atLeast"/>
        </w:trPr>
        <w:tc>
          <w:tcPr>
            <w:tcW w:w="6006" w:type="dxa"/>
          </w:tcPr>
          <w:p>
            <w:pPr>
              <w:pStyle w:val="TableParagraph"/>
              <w:tabs>
                <w:tab w:pos="489" w:val="left" w:leader="none"/>
              </w:tabs>
              <w:spacing w:before="129"/>
              <w:ind w:left="7"/>
              <w:jc w:val="center"/>
              <w:rPr>
                <w:b/>
                <w:sz w:val="24"/>
              </w:rPr>
            </w:pPr>
            <w:r>
              <w:rPr>
                <w:b/>
                <w:sz w:val="24"/>
              </w:rPr>
              <w:t>项</w:t>
              <w:tab/>
              <w:t>目</w:t>
            </w:r>
          </w:p>
        </w:tc>
        <w:tc>
          <w:tcPr>
            <w:tcW w:w="2000" w:type="dxa"/>
          </w:tcPr>
          <w:p>
            <w:pPr>
              <w:pStyle w:val="TableParagraph"/>
              <w:spacing w:before="129"/>
              <w:ind w:left="516"/>
              <w:jc w:val="left"/>
              <w:rPr>
                <w:b/>
                <w:sz w:val="24"/>
              </w:rPr>
            </w:pPr>
            <w:r>
              <w:rPr>
                <w:b/>
                <w:sz w:val="24"/>
              </w:rPr>
              <w:t>预算安排</w:t>
            </w:r>
          </w:p>
        </w:tc>
      </w:tr>
      <w:tr>
        <w:trPr>
          <w:trHeight w:val="566" w:hRule="atLeast"/>
        </w:trPr>
        <w:tc>
          <w:tcPr>
            <w:tcW w:w="6006" w:type="dxa"/>
          </w:tcPr>
          <w:p>
            <w:pPr>
              <w:pStyle w:val="TableParagraph"/>
              <w:tabs>
                <w:tab w:pos="489" w:val="left" w:leader="none"/>
              </w:tabs>
              <w:spacing w:before="127"/>
              <w:ind w:left="7"/>
              <w:jc w:val="center"/>
              <w:rPr>
                <w:b/>
                <w:sz w:val="24"/>
              </w:rPr>
            </w:pPr>
            <w:r>
              <w:rPr>
                <w:b/>
                <w:sz w:val="24"/>
              </w:rPr>
              <w:t>合</w:t>
              <w:tab/>
              <w:t>计</w:t>
            </w:r>
          </w:p>
        </w:tc>
        <w:tc>
          <w:tcPr>
            <w:tcW w:w="2000" w:type="dxa"/>
          </w:tcPr>
          <w:p>
            <w:pPr>
              <w:pStyle w:val="TableParagraph"/>
              <w:spacing w:before="127"/>
              <w:ind w:right="96"/>
              <w:rPr>
                <w:b/>
                <w:sz w:val="24"/>
              </w:rPr>
            </w:pPr>
            <w:r>
              <w:rPr>
                <w:b/>
                <w:w w:val="99"/>
                <w:sz w:val="24"/>
              </w:rPr>
              <w:t>0</w:t>
            </w:r>
          </w:p>
        </w:tc>
      </w:tr>
      <w:tr>
        <w:trPr>
          <w:trHeight w:val="568" w:hRule="atLeast"/>
        </w:trPr>
        <w:tc>
          <w:tcPr>
            <w:tcW w:w="6006" w:type="dxa"/>
          </w:tcPr>
          <w:p>
            <w:pPr>
              <w:pStyle w:val="TableParagraph"/>
              <w:spacing w:before="129"/>
              <w:ind w:left="107"/>
              <w:jc w:val="left"/>
              <w:rPr>
                <w:sz w:val="24"/>
              </w:rPr>
            </w:pPr>
            <w:r>
              <w:rPr>
                <w:sz w:val="24"/>
              </w:rPr>
              <w:t>利润收入</w:t>
            </w:r>
          </w:p>
        </w:tc>
        <w:tc>
          <w:tcPr>
            <w:tcW w:w="2000" w:type="dxa"/>
          </w:tcPr>
          <w:p>
            <w:pPr>
              <w:pStyle w:val="TableParagraph"/>
              <w:spacing w:before="129"/>
              <w:ind w:right="96"/>
              <w:rPr>
                <w:sz w:val="24"/>
              </w:rPr>
            </w:pPr>
            <w:r>
              <w:rPr>
                <w:sz w:val="24"/>
              </w:rPr>
              <w:t>0</w:t>
            </w:r>
          </w:p>
        </w:tc>
      </w:tr>
      <w:tr>
        <w:trPr>
          <w:trHeight w:val="565" w:hRule="atLeast"/>
        </w:trPr>
        <w:tc>
          <w:tcPr>
            <w:tcW w:w="6006" w:type="dxa"/>
          </w:tcPr>
          <w:p>
            <w:pPr>
              <w:pStyle w:val="TableParagraph"/>
              <w:spacing w:before="127"/>
              <w:ind w:left="587"/>
              <w:jc w:val="left"/>
              <w:rPr>
                <w:sz w:val="24"/>
              </w:rPr>
            </w:pPr>
            <w:r>
              <w:rPr>
                <w:sz w:val="24"/>
              </w:rPr>
              <w:t>农林牧渔企业利润收入</w:t>
            </w:r>
          </w:p>
        </w:tc>
        <w:tc>
          <w:tcPr>
            <w:tcW w:w="2000" w:type="dxa"/>
          </w:tcPr>
          <w:p>
            <w:pPr>
              <w:pStyle w:val="TableParagraph"/>
              <w:spacing w:before="127"/>
              <w:ind w:right="96"/>
              <w:rPr>
                <w:sz w:val="24"/>
              </w:rPr>
            </w:pPr>
            <w:r>
              <w:rPr>
                <w:sz w:val="24"/>
              </w:rPr>
              <w:t>0</w:t>
            </w:r>
          </w:p>
        </w:tc>
      </w:tr>
      <w:tr>
        <w:trPr>
          <w:trHeight w:val="566" w:hRule="atLeast"/>
        </w:trPr>
        <w:tc>
          <w:tcPr>
            <w:tcW w:w="6006" w:type="dxa"/>
          </w:tcPr>
          <w:p>
            <w:pPr>
              <w:pStyle w:val="TableParagraph"/>
              <w:spacing w:before="127"/>
              <w:ind w:left="587"/>
              <w:jc w:val="left"/>
              <w:rPr>
                <w:sz w:val="24"/>
              </w:rPr>
            </w:pPr>
            <w:r>
              <w:rPr>
                <w:sz w:val="24"/>
              </w:rPr>
              <w:t>金融企业利润收入</w:t>
            </w:r>
          </w:p>
        </w:tc>
        <w:tc>
          <w:tcPr>
            <w:tcW w:w="2000" w:type="dxa"/>
          </w:tcPr>
          <w:p>
            <w:pPr>
              <w:pStyle w:val="TableParagraph"/>
              <w:spacing w:before="127"/>
              <w:ind w:right="96"/>
              <w:rPr>
                <w:sz w:val="24"/>
              </w:rPr>
            </w:pPr>
            <w:r>
              <w:rPr>
                <w:sz w:val="24"/>
              </w:rPr>
              <w:t>0</w:t>
            </w:r>
          </w:p>
        </w:tc>
      </w:tr>
      <w:tr>
        <w:trPr>
          <w:trHeight w:val="568" w:hRule="atLeast"/>
        </w:trPr>
        <w:tc>
          <w:tcPr>
            <w:tcW w:w="6006" w:type="dxa"/>
          </w:tcPr>
          <w:p>
            <w:pPr>
              <w:pStyle w:val="TableParagraph"/>
              <w:spacing w:before="129"/>
              <w:ind w:left="587"/>
              <w:jc w:val="left"/>
              <w:rPr>
                <w:sz w:val="24"/>
              </w:rPr>
            </w:pPr>
            <w:r>
              <w:rPr>
                <w:sz w:val="24"/>
              </w:rPr>
              <w:t>其他国有资本经营预算企业利润收入</w:t>
            </w:r>
          </w:p>
        </w:tc>
        <w:tc>
          <w:tcPr>
            <w:tcW w:w="2000" w:type="dxa"/>
          </w:tcPr>
          <w:p>
            <w:pPr>
              <w:pStyle w:val="TableParagraph"/>
              <w:spacing w:before="129"/>
              <w:ind w:right="96"/>
              <w:rPr>
                <w:sz w:val="24"/>
              </w:rPr>
            </w:pPr>
            <w:r>
              <w:rPr>
                <w:sz w:val="24"/>
              </w:rPr>
              <w:t>0</w:t>
            </w:r>
          </w:p>
        </w:tc>
      </w:tr>
      <w:tr>
        <w:trPr>
          <w:trHeight w:val="566" w:hRule="atLeast"/>
        </w:trPr>
        <w:tc>
          <w:tcPr>
            <w:tcW w:w="6006" w:type="dxa"/>
          </w:tcPr>
          <w:p>
            <w:pPr>
              <w:pStyle w:val="TableParagraph"/>
              <w:spacing w:before="127"/>
              <w:ind w:left="107"/>
              <w:jc w:val="left"/>
              <w:rPr>
                <w:sz w:val="24"/>
              </w:rPr>
            </w:pPr>
            <w:r>
              <w:rPr>
                <w:sz w:val="24"/>
              </w:rPr>
              <w:t>股利、股息收入</w:t>
            </w:r>
          </w:p>
        </w:tc>
        <w:tc>
          <w:tcPr>
            <w:tcW w:w="2000" w:type="dxa"/>
          </w:tcPr>
          <w:p>
            <w:pPr>
              <w:pStyle w:val="TableParagraph"/>
              <w:spacing w:before="127"/>
              <w:ind w:right="96"/>
              <w:rPr>
                <w:sz w:val="24"/>
              </w:rPr>
            </w:pPr>
            <w:r>
              <w:rPr>
                <w:sz w:val="24"/>
              </w:rPr>
              <w:t>0</w:t>
            </w:r>
          </w:p>
        </w:tc>
      </w:tr>
      <w:tr>
        <w:trPr>
          <w:trHeight w:val="568" w:hRule="atLeast"/>
        </w:trPr>
        <w:tc>
          <w:tcPr>
            <w:tcW w:w="6006" w:type="dxa"/>
          </w:tcPr>
          <w:p>
            <w:pPr>
              <w:pStyle w:val="TableParagraph"/>
              <w:spacing w:before="129"/>
              <w:ind w:left="107"/>
              <w:jc w:val="left"/>
              <w:rPr>
                <w:sz w:val="24"/>
              </w:rPr>
            </w:pPr>
            <w:r>
              <w:rPr>
                <w:sz w:val="24"/>
              </w:rPr>
              <w:t>金融企业股利、股息收入</w:t>
            </w:r>
          </w:p>
        </w:tc>
        <w:tc>
          <w:tcPr>
            <w:tcW w:w="2000" w:type="dxa"/>
          </w:tcPr>
          <w:p>
            <w:pPr>
              <w:pStyle w:val="TableParagraph"/>
              <w:spacing w:before="129"/>
              <w:ind w:right="96"/>
              <w:rPr>
                <w:sz w:val="24"/>
              </w:rPr>
            </w:pPr>
            <w:r>
              <w:rPr>
                <w:sz w:val="24"/>
              </w:rPr>
              <w:t>0</w:t>
            </w:r>
          </w:p>
        </w:tc>
      </w:tr>
      <w:tr>
        <w:trPr>
          <w:trHeight w:val="565" w:hRule="atLeast"/>
        </w:trPr>
        <w:tc>
          <w:tcPr>
            <w:tcW w:w="6006" w:type="dxa"/>
          </w:tcPr>
          <w:p>
            <w:pPr>
              <w:pStyle w:val="TableParagraph"/>
              <w:spacing w:before="127"/>
              <w:ind w:left="107"/>
              <w:jc w:val="left"/>
              <w:rPr>
                <w:sz w:val="24"/>
              </w:rPr>
            </w:pPr>
            <w:r>
              <w:rPr>
                <w:sz w:val="24"/>
              </w:rPr>
              <w:t>产权转让收入</w:t>
            </w:r>
          </w:p>
        </w:tc>
        <w:tc>
          <w:tcPr>
            <w:tcW w:w="2000" w:type="dxa"/>
          </w:tcPr>
          <w:p>
            <w:pPr>
              <w:pStyle w:val="TableParagraph"/>
              <w:spacing w:before="127"/>
              <w:ind w:right="96"/>
              <w:rPr>
                <w:sz w:val="24"/>
              </w:rPr>
            </w:pPr>
            <w:r>
              <w:rPr>
                <w:sz w:val="24"/>
              </w:rPr>
              <w:t>0</w:t>
            </w:r>
          </w:p>
        </w:tc>
      </w:tr>
      <w:tr>
        <w:trPr>
          <w:trHeight w:val="568" w:hRule="atLeast"/>
        </w:trPr>
        <w:tc>
          <w:tcPr>
            <w:tcW w:w="6006" w:type="dxa"/>
          </w:tcPr>
          <w:p>
            <w:pPr>
              <w:pStyle w:val="TableParagraph"/>
              <w:spacing w:before="129"/>
              <w:ind w:left="107"/>
              <w:jc w:val="left"/>
              <w:rPr>
                <w:sz w:val="24"/>
              </w:rPr>
            </w:pPr>
            <w:r>
              <w:rPr>
                <w:sz w:val="24"/>
              </w:rPr>
              <w:t>其他国有资本经营预算产权转让收入</w:t>
            </w:r>
          </w:p>
        </w:tc>
        <w:tc>
          <w:tcPr>
            <w:tcW w:w="2000" w:type="dxa"/>
          </w:tcPr>
          <w:p>
            <w:pPr>
              <w:pStyle w:val="TableParagraph"/>
              <w:spacing w:before="129"/>
              <w:ind w:right="96"/>
              <w:rPr>
                <w:sz w:val="24"/>
              </w:rPr>
            </w:pPr>
            <w:r>
              <w:rPr>
                <w:sz w:val="24"/>
              </w:rPr>
              <w:t>0</w:t>
            </w:r>
          </w:p>
        </w:tc>
      </w:tr>
    </w:tbl>
    <w:p>
      <w:pPr>
        <w:spacing w:after="0"/>
        <w:rPr>
          <w:sz w:val="24"/>
        </w:rPr>
        <w:sectPr>
          <w:type w:val="continuous"/>
          <w:pgSz w:w="11910" w:h="16850"/>
          <w:pgMar w:top="1580" w:bottom="2100" w:left="1360" w:right="1100"/>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1"/>
        <w:rPr>
          <w:rFonts w:ascii="宋体"/>
          <w:sz w:val="23"/>
        </w:rPr>
      </w:pPr>
    </w:p>
    <w:p>
      <w:pPr>
        <w:pStyle w:val="Heading3"/>
        <w:numPr>
          <w:ilvl w:val="0"/>
          <w:numId w:val="8"/>
        </w:numPr>
        <w:tabs>
          <w:tab w:pos="2574" w:val="left" w:leader="none"/>
          <w:tab w:pos="2575" w:val="left" w:leader="none"/>
        </w:tabs>
        <w:spacing w:line="240" w:lineRule="auto" w:before="6" w:after="0"/>
        <w:ind w:left="2574" w:right="0" w:hanging="573"/>
        <w:jc w:val="left"/>
      </w:pPr>
      <w:r>
        <w:rPr/>
        <w:t>高阳县国有资本经营支出预算</w:t>
      </w:r>
    </w:p>
    <w:p>
      <w:pPr>
        <w:spacing w:before="93"/>
        <w:ind w:left="0" w:right="940" w:firstLine="0"/>
        <w:jc w:val="right"/>
        <w:rPr>
          <w:rFonts w:ascii="宋体" w:eastAsia="宋体" w:hint="eastAsia"/>
          <w:sz w:val="21"/>
        </w:rPr>
      </w:pPr>
      <w:r>
        <w:rPr>
          <w:rFonts w:ascii="宋体" w:eastAsia="宋体" w:hint="eastAsia"/>
          <w:sz w:val="21"/>
        </w:rPr>
        <w:t>单位：万元</w:t>
      </w:r>
    </w:p>
    <w:p>
      <w:pPr>
        <w:pStyle w:val="BodyText"/>
        <w:spacing w:before="6"/>
        <w:rPr>
          <w:rFonts w:ascii="宋体"/>
          <w:sz w:val="9"/>
        </w:rPr>
      </w:pPr>
    </w:p>
    <w:tbl>
      <w:tblPr>
        <w:tblW w:w="0" w:type="auto"/>
        <w:jc w:val="left"/>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06"/>
        <w:gridCol w:w="2000"/>
      </w:tblGrid>
      <w:tr>
        <w:trPr>
          <w:trHeight w:val="568" w:hRule="atLeast"/>
        </w:trPr>
        <w:tc>
          <w:tcPr>
            <w:tcW w:w="6006" w:type="dxa"/>
          </w:tcPr>
          <w:p>
            <w:pPr>
              <w:pStyle w:val="TableParagraph"/>
              <w:tabs>
                <w:tab w:pos="489" w:val="left" w:leader="none"/>
              </w:tabs>
              <w:spacing w:before="129"/>
              <w:ind w:left="7"/>
              <w:jc w:val="center"/>
              <w:rPr>
                <w:b/>
                <w:sz w:val="24"/>
              </w:rPr>
            </w:pPr>
            <w:r>
              <w:rPr>
                <w:b/>
                <w:sz w:val="24"/>
              </w:rPr>
              <w:t>项</w:t>
              <w:tab/>
              <w:t>目</w:t>
            </w:r>
          </w:p>
        </w:tc>
        <w:tc>
          <w:tcPr>
            <w:tcW w:w="2000" w:type="dxa"/>
          </w:tcPr>
          <w:p>
            <w:pPr>
              <w:pStyle w:val="TableParagraph"/>
              <w:spacing w:before="129"/>
              <w:ind w:left="516"/>
              <w:jc w:val="left"/>
              <w:rPr>
                <w:b/>
                <w:sz w:val="24"/>
              </w:rPr>
            </w:pPr>
            <w:r>
              <w:rPr>
                <w:b/>
                <w:sz w:val="24"/>
              </w:rPr>
              <w:t>预算安排</w:t>
            </w:r>
          </w:p>
        </w:tc>
      </w:tr>
      <w:tr>
        <w:trPr>
          <w:trHeight w:val="566" w:hRule="atLeast"/>
        </w:trPr>
        <w:tc>
          <w:tcPr>
            <w:tcW w:w="6006" w:type="dxa"/>
          </w:tcPr>
          <w:p>
            <w:pPr>
              <w:pStyle w:val="TableParagraph"/>
              <w:tabs>
                <w:tab w:pos="489" w:val="left" w:leader="none"/>
              </w:tabs>
              <w:spacing w:before="127"/>
              <w:ind w:left="7"/>
              <w:jc w:val="center"/>
              <w:rPr>
                <w:b/>
                <w:sz w:val="24"/>
              </w:rPr>
            </w:pPr>
            <w:r>
              <w:rPr>
                <w:b/>
                <w:sz w:val="24"/>
              </w:rPr>
              <w:t>合</w:t>
              <w:tab/>
              <w:t>计</w:t>
            </w:r>
          </w:p>
        </w:tc>
        <w:tc>
          <w:tcPr>
            <w:tcW w:w="2000" w:type="dxa"/>
          </w:tcPr>
          <w:p>
            <w:pPr>
              <w:pStyle w:val="TableParagraph"/>
              <w:spacing w:before="127"/>
              <w:ind w:right="96"/>
              <w:rPr>
                <w:sz w:val="24"/>
              </w:rPr>
            </w:pPr>
            <w:r>
              <w:rPr>
                <w:sz w:val="24"/>
              </w:rPr>
              <w:t>12</w:t>
            </w:r>
          </w:p>
        </w:tc>
      </w:tr>
      <w:tr>
        <w:trPr>
          <w:trHeight w:val="566" w:hRule="atLeast"/>
        </w:trPr>
        <w:tc>
          <w:tcPr>
            <w:tcW w:w="6006" w:type="dxa"/>
          </w:tcPr>
          <w:p>
            <w:pPr>
              <w:pStyle w:val="TableParagraph"/>
              <w:spacing w:before="129"/>
              <w:ind w:left="347"/>
              <w:jc w:val="left"/>
              <w:rPr>
                <w:sz w:val="24"/>
              </w:rPr>
            </w:pPr>
            <w:r>
              <w:rPr>
                <w:sz w:val="24"/>
              </w:rPr>
              <w:t>解决历史遗留问题及改革成本支出</w:t>
            </w:r>
          </w:p>
        </w:tc>
        <w:tc>
          <w:tcPr>
            <w:tcW w:w="2000" w:type="dxa"/>
          </w:tcPr>
          <w:p>
            <w:pPr>
              <w:pStyle w:val="TableParagraph"/>
              <w:spacing w:before="129"/>
              <w:ind w:right="96"/>
              <w:rPr>
                <w:sz w:val="24"/>
              </w:rPr>
            </w:pPr>
            <w:r>
              <w:rPr>
                <w:sz w:val="24"/>
              </w:rPr>
              <w:t>12</w:t>
            </w:r>
          </w:p>
        </w:tc>
      </w:tr>
      <w:tr>
        <w:trPr>
          <w:trHeight w:val="568" w:hRule="atLeast"/>
        </w:trPr>
        <w:tc>
          <w:tcPr>
            <w:tcW w:w="6006" w:type="dxa"/>
          </w:tcPr>
          <w:p>
            <w:pPr>
              <w:pStyle w:val="TableParagraph"/>
              <w:spacing w:before="129"/>
              <w:ind w:left="707"/>
              <w:jc w:val="left"/>
              <w:rPr>
                <w:sz w:val="24"/>
              </w:rPr>
            </w:pPr>
            <w:r>
              <w:rPr>
                <w:sz w:val="24"/>
              </w:rPr>
              <w:t>国有企业退休人员社会化管理支出</w:t>
            </w:r>
          </w:p>
        </w:tc>
        <w:tc>
          <w:tcPr>
            <w:tcW w:w="2000" w:type="dxa"/>
          </w:tcPr>
          <w:p>
            <w:pPr>
              <w:pStyle w:val="TableParagraph"/>
              <w:spacing w:before="129"/>
              <w:ind w:right="96"/>
              <w:rPr>
                <w:sz w:val="24"/>
              </w:rPr>
            </w:pPr>
            <w:r>
              <w:rPr>
                <w:sz w:val="24"/>
              </w:rPr>
              <w:t>12</w:t>
            </w:r>
          </w:p>
        </w:tc>
      </w:tr>
      <w:tr>
        <w:trPr>
          <w:trHeight w:val="565" w:hRule="atLeast"/>
        </w:trPr>
        <w:tc>
          <w:tcPr>
            <w:tcW w:w="6006" w:type="dxa"/>
          </w:tcPr>
          <w:p>
            <w:pPr>
              <w:pStyle w:val="TableParagraph"/>
              <w:spacing w:before="127"/>
              <w:ind w:left="707"/>
              <w:jc w:val="left"/>
              <w:rPr>
                <w:sz w:val="24"/>
              </w:rPr>
            </w:pPr>
            <w:r>
              <w:rPr>
                <w:sz w:val="24"/>
              </w:rPr>
              <w:t>国有企业改革成本支出</w:t>
            </w:r>
          </w:p>
        </w:tc>
        <w:tc>
          <w:tcPr>
            <w:tcW w:w="2000" w:type="dxa"/>
          </w:tcPr>
          <w:p>
            <w:pPr>
              <w:pStyle w:val="TableParagraph"/>
              <w:spacing w:before="127"/>
              <w:ind w:right="96"/>
              <w:rPr>
                <w:sz w:val="24"/>
              </w:rPr>
            </w:pPr>
            <w:r>
              <w:rPr>
                <w:sz w:val="24"/>
              </w:rPr>
              <w:t>0</w:t>
            </w:r>
          </w:p>
        </w:tc>
      </w:tr>
      <w:tr>
        <w:trPr>
          <w:trHeight w:val="568" w:hRule="atLeast"/>
        </w:trPr>
        <w:tc>
          <w:tcPr>
            <w:tcW w:w="6006" w:type="dxa"/>
          </w:tcPr>
          <w:p>
            <w:pPr>
              <w:pStyle w:val="TableParagraph"/>
              <w:spacing w:before="129"/>
              <w:ind w:left="347"/>
              <w:jc w:val="left"/>
              <w:rPr>
                <w:sz w:val="24"/>
              </w:rPr>
            </w:pPr>
            <w:r>
              <w:rPr>
                <w:sz w:val="24"/>
              </w:rPr>
              <w:t>国有企业资本金注入</w:t>
            </w:r>
          </w:p>
        </w:tc>
        <w:tc>
          <w:tcPr>
            <w:tcW w:w="2000" w:type="dxa"/>
          </w:tcPr>
          <w:p>
            <w:pPr>
              <w:pStyle w:val="TableParagraph"/>
              <w:spacing w:before="129"/>
              <w:ind w:right="96"/>
              <w:rPr>
                <w:sz w:val="24"/>
              </w:rPr>
            </w:pPr>
            <w:r>
              <w:rPr>
                <w:sz w:val="24"/>
              </w:rPr>
              <w:t>0</w:t>
            </w:r>
          </w:p>
        </w:tc>
      </w:tr>
      <w:tr>
        <w:trPr>
          <w:trHeight w:val="566" w:hRule="atLeast"/>
        </w:trPr>
        <w:tc>
          <w:tcPr>
            <w:tcW w:w="6006" w:type="dxa"/>
          </w:tcPr>
          <w:p>
            <w:pPr>
              <w:pStyle w:val="TableParagraph"/>
              <w:spacing w:before="127"/>
              <w:ind w:left="707"/>
              <w:jc w:val="left"/>
              <w:rPr>
                <w:sz w:val="24"/>
              </w:rPr>
            </w:pPr>
            <w:r>
              <w:rPr>
                <w:sz w:val="24"/>
              </w:rPr>
              <w:t>其他国有企业资本金注入</w:t>
            </w:r>
          </w:p>
        </w:tc>
        <w:tc>
          <w:tcPr>
            <w:tcW w:w="2000" w:type="dxa"/>
          </w:tcPr>
          <w:p>
            <w:pPr>
              <w:pStyle w:val="TableParagraph"/>
              <w:spacing w:before="127"/>
              <w:ind w:right="96"/>
              <w:rPr>
                <w:sz w:val="24"/>
              </w:rPr>
            </w:pPr>
            <w:r>
              <w:rPr>
                <w:sz w:val="24"/>
              </w:rPr>
              <w:t>0</w:t>
            </w:r>
          </w:p>
        </w:tc>
      </w:tr>
    </w:tbl>
    <w:p>
      <w:pPr>
        <w:spacing w:after="0"/>
        <w:rPr>
          <w:sz w:val="24"/>
        </w:rPr>
        <w:sectPr>
          <w:pgSz w:w="11910" w:h="16850"/>
          <w:pgMar w:header="0" w:footer="1561" w:top="1600" w:bottom="1760" w:left="1360" w:right="1100"/>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0"/>
        <w:rPr>
          <w:rFonts w:ascii="宋体"/>
          <w:sz w:val="17"/>
        </w:rPr>
      </w:pPr>
    </w:p>
    <w:p>
      <w:pPr>
        <w:pStyle w:val="Heading2"/>
      </w:pPr>
      <w:r>
        <w:rPr/>
        <w:t>第四部分</w:t>
      </w:r>
    </w:p>
    <w:p>
      <w:pPr>
        <w:spacing w:line="892" w:lineRule="exact" w:before="0"/>
        <w:ind w:left="0" w:right="139" w:firstLine="0"/>
        <w:jc w:val="center"/>
        <w:rPr>
          <w:rFonts w:ascii="微软雅黑" w:eastAsia="微软雅黑" w:hint="eastAsia"/>
          <w:sz w:val="52"/>
        </w:rPr>
      </w:pPr>
      <w:r>
        <w:rPr>
          <w:rFonts w:ascii="微软雅黑" w:eastAsia="微软雅黑" w:hint="eastAsia"/>
          <w:sz w:val="52"/>
        </w:rPr>
        <w:t>2023 年高阳县社会保险基金预算</w:t>
      </w:r>
    </w:p>
    <w:p>
      <w:pPr>
        <w:spacing w:line="926" w:lineRule="exact" w:before="0"/>
        <w:ind w:left="0" w:right="138" w:firstLine="0"/>
        <w:jc w:val="center"/>
        <w:rPr>
          <w:rFonts w:ascii="微软雅黑" w:eastAsia="微软雅黑" w:hint="eastAsia"/>
          <w:sz w:val="52"/>
        </w:rPr>
      </w:pPr>
      <w:r>
        <w:rPr>
          <w:rFonts w:ascii="微软雅黑" w:eastAsia="微软雅黑" w:hint="eastAsia"/>
          <w:sz w:val="52"/>
        </w:rPr>
        <w:t>（草案）</w:t>
      </w:r>
    </w:p>
    <w:p>
      <w:pPr>
        <w:spacing w:after="0" w:line="926" w:lineRule="exact"/>
        <w:jc w:val="center"/>
        <w:rPr>
          <w:rFonts w:ascii="微软雅黑" w:eastAsia="微软雅黑" w:hint="eastAsia"/>
          <w:sz w:val="52"/>
        </w:rPr>
        <w:sectPr>
          <w:pgSz w:w="11910" w:h="16850"/>
          <w:pgMar w:header="0" w:footer="1561" w:top="1600" w:bottom="1760" w:left="1360" w:right="1100"/>
        </w:sectPr>
      </w:pPr>
    </w:p>
    <w:p>
      <w:pPr>
        <w:pStyle w:val="BodyText"/>
        <w:rPr>
          <w:rFonts w:ascii="微软雅黑"/>
          <w:sz w:val="20"/>
        </w:rPr>
      </w:pPr>
    </w:p>
    <w:p>
      <w:pPr>
        <w:pStyle w:val="BodyText"/>
        <w:spacing w:before="16"/>
        <w:rPr>
          <w:rFonts w:ascii="微软雅黑"/>
          <w:sz w:val="15"/>
        </w:rPr>
      </w:pPr>
    </w:p>
    <w:p>
      <w:pPr>
        <w:pStyle w:val="Heading3"/>
        <w:tabs>
          <w:tab w:pos="2416" w:val="left" w:leader="none"/>
        </w:tabs>
      </w:pPr>
      <w:r>
        <w:rPr/>
        <w:t>1</w:t>
        <w:tab/>
        <w:t>高阳县社会保险基金预算平衡表</w:t>
      </w:r>
    </w:p>
    <w:p>
      <w:pPr>
        <w:spacing w:before="91"/>
        <w:ind w:left="0" w:right="371" w:firstLine="0"/>
        <w:jc w:val="right"/>
        <w:rPr>
          <w:rFonts w:ascii="宋体" w:eastAsia="宋体" w:hint="eastAsia"/>
          <w:sz w:val="21"/>
        </w:rPr>
      </w:pPr>
      <w:r>
        <w:rPr>
          <w:rFonts w:ascii="宋体" w:eastAsia="宋体" w:hint="eastAsia"/>
          <w:sz w:val="21"/>
        </w:rPr>
        <w:t>单位：万元</w:t>
      </w:r>
    </w:p>
    <w:p>
      <w:pPr>
        <w:pStyle w:val="BodyText"/>
        <w:spacing w:before="6"/>
        <w:rPr>
          <w:rFonts w:ascii="宋体"/>
          <w:sz w:val="9"/>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0"/>
        <w:gridCol w:w="1558"/>
        <w:gridCol w:w="1561"/>
        <w:gridCol w:w="1548"/>
      </w:tblGrid>
      <w:tr>
        <w:trPr>
          <w:trHeight w:val="568" w:hRule="atLeast"/>
        </w:trPr>
        <w:tc>
          <w:tcPr>
            <w:tcW w:w="4390" w:type="dxa"/>
          </w:tcPr>
          <w:p>
            <w:pPr>
              <w:pStyle w:val="TableParagraph"/>
              <w:tabs>
                <w:tab w:pos="487" w:val="left" w:leader="none"/>
              </w:tabs>
              <w:spacing w:before="129"/>
              <w:ind w:left="4"/>
              <w:jc w:val="center"/>
              <w:rPr>
                <w:b/>
                <w:sz w:val="24"/>
              </w:rPr>
            </w:pPr>
            <w:r>
              <w:rPr>
                <w:b/>
                <w:sz w:val="24"/>
              </w:rPr>
              <w:t>项</w:t>
              <w:tab/>
              <w:t>目</w:t>
            </w:r>
          </w:p>
        </w:tc>
        <w:tc>
          <w:tcPr>
            <w:tcW w:w="1558" w:type="dxa"/>
          </w:tcPr>
          <w:p>
            <w:pPr>
              <w:pStyle w:val="TableParagraph"/>
              <w:spacing w:before="129"/>
              <w:ind w:left="516" w:right="509"/>
              <w:jc w:val="center"/>
              <w:rPr>
                <w:b/>
                <w:sz w:val="24"/>
              </w:rPr>
            </w:pPr>
            <w:r>
              <w:rPr>
                <w:b/>
                <w:sz w:val="24"/>
              </w:rPr>
              <w:t>收入</w:t>
            </w:r>
          </w:p>
        </w:tc>
        <w:tc>
          <w:tcPr>
            <w:tcW w:w="1561" w:type="dxa"/>
          </w:tcPr>
          <w:p>
            <w:pPr>
              <w:pStyle w:val="TableParagraph"/>
              <w:spacing w:before="129"/>
              <w:ind w:left="518" w:right="510"/>
              <w:jc w:val="center"/>
              <w:rPr>
                <w:b/>
                <w:sz w:val="24"/>
              </w:rPr>
            </w:pPr>
            <w:r>
              <w:rPr>
                <w:b/>
                <w:sz w:val="24"/>
              </w:rPr>
              <w:t>支出</w:t>
            </w:r>
          </w:p>
        </w:tc>
        <w:tc>
          <w:tcPr>
            <w:tcW w:w="1548" w:type="dxa"/>
          </w:tcPr>
          <w:p>
            <w:pPr>
              <w:pStyle w:val="TableParagraph"/>
              <w:spacing w:before="129"/>
              <w:ind w:left="287"/>
              <w:jc w:val="left"/>
              <w:rPr>
                <w:b/>
                <w:sz w:val="24"/>
              </w:rPr>
            </w:pPr>
            <w:r>
              <w:rPr>
                <w:b/>
                <w:sz w:val="24"/>
              </w:rPr>
              <w:t>当期结余</w:t>
            </w:r>
          </w:p>
        </w:tc>
      </w:tr>
      <w:tr>
        <w:trPr>
          <w:trHeight w:val="566" w:hRule="atLeast"/>
        </w:trPr>
        <w:tc>
          <w:tcPr>
            <w:tcW w:w="4390" w:type="dxa"/>
          </w:tcPr>
          <w:p>
            <w:pPr>
              <w:pStyle w:val="TableParagraph"/>
              <w:tabs>
                <w:tab w:pos="487" w:val="left" w:leader="none"/>
              </w:tabs>
              <w:spacing w:before="127"/>
              <w:ind w:left="4"/>
              <w:jc w:val="center"/>
              <w:rPr>
                <w:b/>
                <w:sz w:val="24"/>
              </w:rPr>
            </w:pPr>
            <w:r>
              <w:rPr>
                <w:b/>
                <w:sz w:val="24"/>
              </w:rPr>
              <w:t>合</w:t>
              <w:tab/>
              <w:t>计</w:t>
            </w:r>
          </w:p>
        </w:tc>
        <w:tc>
          <w:tcPr>
            <w:tcW w:w="1558" w:type="dxa"/>
          </w:tcPr>
          <w:p>
            <w:pPr>
              <w:pStyle w:val="TableParagraph"/>
              <w:spacing w:before="127"/>
              <w:ind w:right="96"/>
              <w:rPr>
                <w:b/>
                <w:sz w:val="24"/>
              </w:rPr>
            </w:pPr>
            <w:r>
              <w:rPr>
                <w:b/>
                <w:w w:val="95"/>
                <w:sz w:val="24"/>
              </w:rPr>
              <w:t>32551</w:t>
            </w:r>
          </w:p>
        </w:tc>
        <w:tc>
          <w:tcPr>
            <w:tcW w:w="1561" w:type="dxa"/>
          </w:tcPr>
          <w:p>
            <w:pPr>
              <w:pStyle w:val="TableParagraph"/>
              <w:spacing w:before="127"/>
              <w:ind w:right="97"/>
              <w:rPr>
                <w:b/>
                <w:sz w:val="24"/>
              </w:rPr>
            </w:pPr>
            <w:r>
              <w:rPr>
                <w:b/>
                <w:w w:val="95"/>
                <w:sz w:val="24"/>
              </w:rPr>
              <w:t>28919</w:t>
            </w:r>
          </w:p>
        </w:tc>
        <w:tc>
          <w:tcPr>
            <w:tcW w:w="1548" w:type="dxa"/>
          </w:tcPr>
          <w:p>
            <w:pPr>
              <w:pStyle w:val="TableParagraph"/>
              <w:spacing w:before="127"/>
              <w:ind w:right="99"/>
              <w:rPr>
                <w:b/>
                <w:sz w:val="24"/>
              </w:rPr>
            </w:pPr>
            <w:r>
              <w:rPr>
                <w:b/>
                <w:sz w:val="24"/>
              </w:rPr>
              <w:t>3632</w:t>
            </w:r>
          </w:p>
        </w:tc>
      </w:tr>
      <w:tr>
        <w:trPr>
          <w:trHeight w:val="568" w:hRule="atLeast"/>
        </w:trPr>
        <w:tc>
          <w:tcPr>
            <w:tcW w:w="4390" w:type="dxa"/>
          </w:tcPr>
          <w:p>
            <w:pPr>
              <w:pStyle w:val="TableParagraph"/>
              <w:spacing w:before="130"/>
              <w:ind w:left="105"/>
              <w:jc w:val="left"/>
              <w:rPr>
                <w:sz w:val="24"/>
              </w:rPr>
            </w:pPr>
            <w:r>
              <w:rPr>
                <w:sz w:val="24"/>
              </w:rPr>
              <w:t>一、机关事业单位基本养老保险基金</w:t>
            </w:r>
          </w:p>
        </w:tc>
        <w:tc>
          <w:tcPr>
            <w:tcW w:w="1558" w:type="dxa"/>
          </w:tcPr>
          <w:p>
            <w:pPr>
              <w:pStyle w:val="TableParagraph"/>
              <w:spacing w:before="130"/>
              <w:ind w:right="96"/>
              <w:rPr>
                <w:sz w:val="24"/>
              </w:rPr>
            </w:pPr>
            <w:r>
              <w:rPr>
                <w:sz w:val="24"/>
              </w:rPr>
              <w:t>19373</w:t>
            </w:r>
          </w:p>
        </w:tc>
        <w:tc>
          <w:tcPr>
            <w:tcW w:w="1561" w:type="dxa"/>
          </w:tcPr>
          <w:p>
            <w:pPr>
              <w:pStyle w:val="TableParagraph"/>
              <w:spacing w:before="130"/>
              <w:ind w:right="97"/>
              <w:rPr>
                <w:sz w:val="24"/>
              </w:rPr>
            </w:pPr>
            <w:r>
              <w:rPr>
                <w:sz w:val="24"/>
              </w:rPr>
              <w:t>19373</w:t>
            </w:r>
          </w:p>
        </w:tc>
        <w:tc>
          <w:tcPr>
            <w:tcW w:w="1548" w:type="dxa"/>
          </w:tcPr>
          <w:p>
            <w:pPr>
              <w:pStyle w:val="TableParagraph"/>
              <w:spacing w:before="130"/>
              <w:ind w:right="98"/>
              <w:rPr>
                <w:sz w:val="24"/>
              </w:rPr>
            </w:pPr>
            <w:r>
              <w:rPr>
                <w:sz w:val="24"/>
              </w:rPr>
              <w:t>0</w:t>
            </w:r>
          </w:p>
        </w:tc>
      </w:tr>
      <w:tr>
        <w:trPr>
          <w:trHeight w:val="566" w:hRule="atLeast"/>
        </w:trPr>
        <w:tc>
          <w:tcPr>
            <w:tcW w:w="4390" w:type="dxa"/>
          </w:tcPr>
          <w:p>
            <w:pPr>
              <w:pStyle w:val="TableParagraph"/>
              <w:spacing w:before="127"/>
              <w:ind w:left="105"/>
              <w:jc w:val="left"/>
              <w:rPr>
                <w:sz w:val="24"/>
              </w:rPr>
            </w:pPr>
            <w:r>
              <w:rPr>
                <w:sz w:val="24"/>
              </w:rPr>
              <w:t>二、城乡居民基本养老保险基金</w:t>
            </w:r>
          </w:p>
        </w:tc>
        <w:tc>
          <w:tcPr>
            <w:tcW w:w="1558" w:type="dxa"/>
          </w:tcPr>
          <w:p>
            <w:pPr>
              <w:pStyle w:val="TableParagraph"/>
              <w:spacing w:before="127"/>
              <w:ind w:right="96"/>
              <w:rPr>
                <w:sz w:val="24"/>
              </w:rPr>
            </w:pPr>
            <w:r>
              <w:rPr>
                <w:sz w:val="24"/>
              </w:rPr>
              <w:t>13178</w:t>
            </w:r>
          </w:p>
        </w:tc>
        <w:tc>
          <w:tcPr>
            <w:tcW w:w="1561" w:type="dxa"/>
          </w:tcPr>
          <w:p>
            <w:pPr>
              <w:pStyle w:val="TableParagraph"/>
              <w:spacing w:before="127"/>
              <w:ind w:right="97"/>
              <w:rPr>
                <w:sz w:val="24"/>
              </w:rPr>
            </w:pPr>
            <w:r>
              <w:rPr>
                <w:sz w:val="24"/>
              </w:rPr>
              <w:t>9546</w:t>
            </w:r>
          </w:p>
        </w:tc>
        <w:tc>
          <w:tcPr>
            <w:tcW w:w="1548" w:type="dxa"/>
          </w:tcPr>
          <w:p>
            <w:pPr>
              <w:pStyle w:val="TableParagraph"/>
              <w:spacing w:before="127"/>
              <w:ind w:right="98"/>
              <w:rPr>
                <w:sz w:val="24"/>
              </w:rPr>
            </w:pPr>
            <w:r>
              <w:rPr>
                <w:sz w:val="24"/>
              </w:rPr>
              <w:t>3632</w:t>
            </w:r>
          </w:p>
        </w:tc>
      </w:tr>
    </w:tbl>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3"/>
        <w:rPr>
          <w:rFonts w:ascii="宋体"/>
          <w:sz w:val="22"/>
        </w:rPr>
      </w:pPr>
    </w:p>
    <w:p>
      <w:pPr>
        <w:pStyle w:val="Heading3"/>
        <w:tabs>
          <w:tab w:pos="2235" w:val="left" w:leader="none"/>
        </w:tabs>
        <w:spacing w:before="0"/>
        <w:ind w:left="1664"/>
      </w:pPr>
      <w:r>
        <w:rPr/>
        <w:t>2</w:t>
        <w:tab/>
        <w:t>高阳县社会保险基金预算情况说明</w:t>
      </w:r>
    </w:p>
    <w:p>
      <w:pPr>
        <w:pStyle w:val="BodyText"/>
        <w:spacing w:before="16"/>
        <w:rPr>
          <w:rFonts w:ascii="微软雅黑"/>
          <w:sz w:val="27"/>
        </w:rPr>
      </w:pPr>
    </w:p>
    <w:p>
      <w:pPr>
        <w:pStyle w:val="BodyText"/>
        <w:ind w:left="870"/>
      </w:pPr>
      <w:r>
        <w:rPr/>
        <w:t>收入预算 </w:t>
      </w:r>
      <w:r>
        <w:rPr>
          <w:rFonts w:ascii="Times New Roman" w:eastAsia="Times New Roman"/>
        </w:rPr>
        <w:t>32551 </w:t>
      </w:r>
      <w:r>
        <w:rPr/>
        <w:t>万元，其构成是：机关事业单位养老保险基</w:t>
      </w:r>
    </w:p>
    <w:p>
      <w:pPr>
        <w:pStyle w:val="BodyText"/>
        <w:spacing w:line="326" w:lineRule="auto" w:before="152"/>
        <w:ind w:left="229" w:right="208"/>
      </w:pPr>
      <w:r>
        <w:rPr>
          <w:spacing w:val="17"/>
        </w:rPr>
        <w:t>金收入</w:t>
      </w:r>
      <w:r>
        <w:rPr>
          <w:rFonts w:ascii="Times New Roman" w:eastAsia="Times New Roman"/>
        </w:rPr>
        <w:t>19373 </w:t>
      </w:r>
      <w:r>
        <w:rPr>
          <w:spacing w:val="-10"/>
        </w:rPr>
        <w:t>万元，城乡居民基本养老保险基金收入</w:t>
      </w:r>
      <w:r>
        <w:rPr>
          <w:rFonts w:ascii="Times New Roman" w:eastAsia="Times New Roman"/>
        </w:rPr>
        <w:t>13178 </w:t>
      </w:r>
      <w:r>
        <w:rPr/>
        <w:t>万元。</w:t>
      </w:r>
      <w:r>
        <w:rPr>
          <w:spacing w:val="-6"/>
        </w:rPr>
        <w:t>企业基本养老保险基金收入已纳入省级统筹，城镇职工基本医疗保险基金和城乡居民基本医疗保险基金收入已纳入市级统筹。</w:t>
      </w:r>
    </w:p>
    <w:p>
      <w:pPr>
        <w:pStyle w:val="BodyText"/>
        <w:spacing w:before="7"/>
        <w:ind w:left="870"/>
      </w:pPr>
      <w:r>
        <w:rPr/>
        <w:t>支出预算 </w:t>
      </w:r>
      <w:r>
        <w:rPr>
          <w:rFonts w:ascii="Times New Roman" w:eastAsia="Times New Roman"/>
        </w:rPr>
        <w:t>28919 </w:t>
      </w:r>
      <w:r>
        <w:rPr/>
        <w:t>万元，其构成是：机关事业单位养老保险基</w:t>
      </w:r>
    </w:p>
    <w:p>
      <w:pPr>
        <w:pStyle w:val="BodyText"/>
        <w:spacing w:line="328" w:lineRule="auto" w:before="149"/>
        <w:ind w:left="229" w:right="208"/>
      </w:pPr>
      <w:r>
        <w:rPr>
          <w:spacing w:val="-21"/>
        </w:rPr>
        <w:t>金支出 </w:t>
      </w:r>
      <w:r>
        <w:rPr>
          <w:rFonts w:ascii="Times New Roman" w:eastAsia="Times New Roman"/>
        </w:rPr>
        <w:t>19373 </w:t>
      </w:r>
      <w:r>
        <w:rPr>
          <w:spacing w:val="-16"/>
        </w:rPr>
        <w:t>万元，城乡居民基本养老保险基金支出 </w:t>
      </w:r>
      <w:r>
        <w:rPr>
          <w:rFonts w:ascii="Times New Roman" w:eastAsia="Times New Roman"/>
        </w:rPr>
        <w:t>9546 </w:t>
      </w:r>
      <w:r>
        <w:rPr/>
        <w:t>万元。</w:t>
      </w:r>
      <w:r>
        <w:rPr>
          <w:spacing w:val="-6"/>
        </w:rPr>
        <w:t>企业基本养老保险基金支出已纳入省级统筹，城镇职工基本医疗保险基金和城乡居民基本医疗保险基金支出已纳入市级统筹。</w:t>
      </w:r>
    </w:p>
    <w:p>
      <w:pPr>
        <w:pStyle w:val="BodyText"/>
        <w:spacing w:line="405" w:lineRule="exact"/>
        <w:ind w:left="870"/>
      </w:pPr>
      <w:r>
        <w:rPr/>
        <w:t>收支相抵，当期结余 </w:t>
      </w:r>
      <w:r>
        <w:rPr>
          <w:rFonts w:ascii="Times New Roman" w:eastAsia="Times New Roman"/>
        </w:rPr>
        <w:t>3632 </w:t>
      </w:r>
      <w:r>
        <w:rPr/>
        <w:t>万元。</w:t>
      </w:r>
    </w:p>
    <w:p>
      <w:pPr>
        <w:spacing w:after="0" w:line="405" w:lineRule="exact"/>
        <w:sectPr>
          <w:pgSz w:w="11910" w:h="16850"/>
          <w:pgMar w:header="0" w:footer="1561" w:top="1600" w:bottom="1760" w:left="1360" w:right="1100"/>
        </w:sectPr>
      </w:pPr>
    </w:p>
    <w:p>
      <w:pPr>
        <w:pStyle w:val="BodyText"/>
        <w:rPr>
          <w:sz w:val="20"/>
        </w:rPr>
      </w:pPr>
    </w:p>
    <w:p>
      <w:pPr>
        <w:pStyle w:val="BodyText"/>
        <w:spacing w:before="12"/>
        <w:rPr>
          <w:sz w:val="17"/>
        </w:rPr>
      </w:pPr>
    </w:p>
    <w:p>
      <w:pPr>
        <w:pStyle w:val="Heading3"/>
        <w:numPr>
          <w:ilvl w:val="1"/>
          <w:numId w:val="7"/>
        </w:numPr>
        <w:tabs>
          <w:tab w:pos="2596" w:val="left" w:leader="none"/>
          <w:tab w:pos="2597" w:val="left" w:leader="none"/>
        </w:tabs>
        <w:spacing w:line="240" w:lineRule="auto" w:before="6" w:after="0"/>
        <w:ind w:left="2596" w:right="0" w:hanging="573"/>
        <w:jc w:val="left"/>
      </w:pPr>
      <w:r>
        <w:rPr/>
        <w:t>高阳县社会保险基金收入预算</w:t>
      </w:r>
    </w:p>
    <w:p>
      <w:pPr>
        <w:spacing w:before="94"/>
        <w:ind w:left="0" w:right="1010" w:firstLine="0"/>
        <w:jc w:val="right"/>
        <w:rPr>
          <w:rFonts w:ascii="宋体" w:eastAsia="宋体" w:hint="eastAsia"/>
          <w:sz w:val="21"/>
        </w:rPr>
      </w:pPr>
      <w:r>
        <w:rPr>
          <w:rFonts w:ascii="宋体" w:eastAsia="宋体" w:hint="eastAsia"/>
          <w:sz w:val="21"/>
        </w:rPr>
        <w:t>单位：万元</w:t>
      </w:r>
    </w:p>
    <w:p>
      <w:pPr>
        <w:pStyle w:val="BodyText"/>
        <w:spacing w:before="5"/>
        <w:rPr>
          <w:rFonts w:ascii="宋体"/>
          <w:sz w:val="9"/>
        </w:rPr>
      </w:pPr>
    </w:p>
    <w:tbl>
      <w:tblPr>
        <w:tblW w:w="0" w:type="auto"/>
        <w:jc w:val="left"/>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81"/>
        <w:gridCol w:w="1894"/>
      </w:tblGrid>
      <w:tr>
        <w:trPr>
          <w:trHeight w:val="510" w:hRule="atLeast"/>
        </w:trPr>
        <w:tc>
          <w:tcPr>
            <w:tcW w:w="5881" w:type="dxa"/>
          </w:tcPr>
          <w:p>
            <w:pPr>
              <w:pStyle w:val="TableParagraph"/>
              <w:tabs>
                <w:tab w:pos="489" w:val="left" w:leader="none"/>
              </w:tabs>
              <w:spacing w:before="100"/>
              <w:ind w:left="7"/>
              <w:jc w:val="center"/>
              <w:rPr>
                <w:b/>
                <w:sz w:val="24"/>
              </w:rPr>
            </w:pPr>
            <w:r>
              <w:rPr>
                <w:b/>
                <w:sz w:val="24"/>
              </w:rPr>
              <w:t>项</w:t>
              <w:tab/>
              <w:t>目</w:t>
            </w:r>
          </w:p>
        </w:tc>
        <w:tc>
          <w:tcPr>
            <w:tcW w:w="1894" w:type="dxa"/>
          </w:tcPr>
          <w:p>
            <w:pPr>
              <w:pStyle w:val="TableParagraph"/>
              <w:spacing w:before="100"/>
              <w:ind w:left="463"/>
              <w:jc w:val="left"/>
              <w:rPr>
                <w:b/>
                <w:sz w:val="24"/>
              </w:rPr>
            </w:pPr>
            <w:r>
              <w:rPr>
                <w:b/>
                <w:sz w:val="24"/>
              </w:rPr>
              <w:t>预算安排</w:t>
            </w:r>
          </w:p>
        </w:tc>
      </w:tr>
      <w:tr>
        <w:trPr>
          <w:trHeight w:val="508" w:hRule="atLeast"/>
        </w:trPr>
        <w:tc>
          <w:tcPr>
            <w:tcW w:w="5881" w:type="dxa"/>
          </w:tcPr>
          <w:p>
            <w:pPr>
              <w:pStyle w:val="TableParagraph"/>
              <w:tabs>
                <w:tab w:pos="489" w:val="left" w:leader="none"/>
              </w:tabs>
              <w:spacing w:before="98"/>
              <w:ind w:left="7"/>
              <w:jc w:val="center"/>
              <w:rPr>
                <w:b/>
                <w:sz w:val="24"/>
              </w:rPr>
            </w:pPr>
            <w:r>
              <w:rPr>
                <w:b/>
                <w:sz w:val="24"/>
              </w:rPr>
              <w:t>合</w:t>
              <w:tab/>
              <w:t>计</w:t>
            </w:r>
          </w:p>
        </w:tc>
        <w:tc>
          <w:tcPr>
            <w:tcW w:w="1894" w:type="dxa"/>
          </w:tcPr>
          <w:p>
            <w:pPr>
              <w:pStyle w:val="TableParagraph"/>
              <w:spacing w:before="98"/>
              <w:ind w:right="96"/>
              <w:rPr>
                <w:b/>
                <w:sz w:val="24"/>
              </w:rPr>
            </w:pPr>
            <w:r>
              <w:rPr>
                <w:b/>
                <w:w w:val="95"/>
                <w:sz w:val="24"/>
              </w:rPr>
              <w:t>32551</w:t>
            </w:r>
          </w:p>
        </w:tc>
      </w:tr>
      <w:tr>
        <w:trPr>
          <w:trHeight w:val="510" w:hRule="atLeast"/>
        </w:trPr>
        <w:tc>
          <w:tcPr>
            <w:tcW w:w="5881" w:type="dxa"/>
          </w:tcPr>
          <w:p>
            <w:pPr>
              <w:pStyle w:val="TableParagraph"/>
              <w:spacing w:before="100"/>
              <w:ind w:left="107"/>
              <w:jc w:val="left"/>
              <w:rPr>
                <w:sz w:val="24"/>
              </w:rPr>
            </w:pPr>
            <w:r>
              <w:rPr>
                <w:sz w:val="24"/>
              </w:rPr>
              <w:t>一、机关事业单位基本养老保险基金收入</w:t>
            </w:r>
          </w:p>
        </w:tc>
        <w:tc>
          <w:tcPr>
            <w:tcW w:w="1894" w:type="dxa"/>
          </w:tcPr>
          <w:p>
            <w:pPr>
              <w:pStyle w:val="TableParagraph"/>
              <w:spacing w:before="100"/>
              <w:ind w:right="97"/>
              <w:rPr>
                <w:sz w:val="24"/>
              </w:rPr>
            </w:pPr>
            <w:r>
              <w:rPr>
                <w:sz w:val="24"/>
              </w:rPr>
              <w:t>19373</w:t>
            </w:r>
          </w:p>
        </w:tc>
      </w:tr>
      <w:tr>
        <w:trPr>
          <w:trHeight w:val="511" w:hRule="atLeast"/>
        </w:trPr>
        <w:tc>
          <w:tcPr>
            <w:tcW w:w="5881" w:type="dxa"/>
          </w:tcPr>
          <w:p>
            <w:pPr>
              <w:pStyle w:val="TableParagraph"/>
              <w:spacing w:before="101"/>
              <w:ind w:left="587"/>
              <w:jc w:val="left"/>
              <w:rPr>
                <w:sz w:val="24"/>
              </w:rPr>
            </w:pPr>
            <w:r>
              <w:rPr>
                <w:sz w:val="24"/>
              </w:rPr>
              <w:t>其中：基本养老保险费收入</w:t>
            </w:r>
          </w:p>
        </w:tc>
        <w:tc>
          <w:tcPr>
            <w:tcW w:w="1894" w:type="dxa"/>
          </w:tcPr>
          <w:p>
            <w:pPr>
              <w:pStyle w:val="TableParagraph"/>
              <w:spacing w:before="101"/>
              <w:ind w:right="97"/>
              <w:rPr>
                <w:sz w:val="24"/>
              </w:rPr>
            </w:pPr>
            <w:r>
              <w:rPr>
                <w:sz w:val="24"/>
              </w:rPr>
              <w:t>11063</w:t>
            </w:r>
          </w:p>
        </w:tc>
      </w:tr>
      <w:tr>
        <w:trPr>
          <w:trHeight w:val="508" w:hRule="atLeast"/>
        </w:trPr>
        <w:tc>
          <w:tcPr>
            <w:tcW w:w="5881" w:type="dxa"/>
          </w:tcPr>
          <w:p>
            <w:pPr>
              <w:pStyle w:val="TableParagraph"/>
              <w:spacing w:before="98"/>
              <w:ind w:left="1307"/>
              <w:jc w:val="left"/>
              <w:rPr>
                <w:sz w:val="24"/>
              </w:rPr>
            </w:pPr>
            <w:r>
              <w:rPr>
                <w:sz w:val="24"/>
              </w:rPr>
              <w:t>财政补贴收入</w:t>
            </w:r>
          </w:p>
        </w:tc>
        <w:tc>
          <w:tcPr>
            <w:tcW w:w="1894" w:type="dxa"/>
          </w:tcPr>
          <w:p>
            <w:pPr>
              <w:pStyle w:val="TableParagraph"/>
              <w:spacing w:before="98"/>
              <w:ind w:right="97"/>
              <w:rPr>
                <w:sz w:val="24"/>
              </w:rPr>
            </w:pPr>
            <w:r>
              <w:rPr>
                <w:sz w:val="24"/>
              </w:rPr>
              <w:t>6499</w:t>
            </w:r>
          </w:p>
        </w:tc>
      </w:tr>
      <w:tr>
        <w:trPr>
          <w:trHeight w:val="510" w:hRule="atLeast"/>
        </w:trPr>
        <w:tc>
          <w:tcPr>
            <w:tcW w:w="5881" w:type="dxa"/>
          </w:tcPr>
          <w:p>
            <w:pPr>
              <w:pStyle w:val="TableParagraph"/>
              <w:spacing w:before="100"/>
              <w:ind w:left="1307"/>
              <w:jc w:val="left"/>
              <w:rPr>
                <w:sz w:val="24"/>
              </w:rPr>
            </w:pPr>
            <w:r>
              <w:rPr>
                <w:sz w:val="24"/>
              </w:rPr>
              <w:t>利息收入</w:t>
            </w:r>
          </w:p>
        </w:tc>
        <w:tc>
          <w:tcPr>
            <w:tcW w:w="1894" w:type="dxa"/>
          </w:tcPr>
          <w:p>
            <w:pPr>
              <w:pStyle w:val="TableParagraph"/>
              <w:spacing w:before="100"/>
              <w:ind w:right="97"/>
              <w:rPr>
                <w:sz w:val="24"/>
              </w:rPr>
            </w:pPr>
            <w:r>
              <w:rPr>
                <w:sz w:val="24"/>
              </w:rPr>
              <w:t>36</w:t>
            </w:r>
          </w:p>
        </w:tc>
      </w:tr>
      <w:tr>
        <w:trPr>
          <w:trHeight w:val="510" w:hRule="atLeast"/>
        </w:trPr>
        <w:tc>
          <w:tcPr>
            <w:tcW w:w="5881" w:type="dxa"/>
          </w:tcPr>
          <w:p>
            <w:pPr>
              <w:pStyle w:val="TableParagraph"/>
              <w:spacing w:before="100"/>
              <w:ind w:left="1307"/>
              <w:jc w:val="left"/>
              <w:rPr>
                <w:sz w:val="24"/>
              </w:rPr>
            </w:pPr>
            <w:r>
              <w:rPr>
                <w:sz w:val="24"/>
              </w:rPr>
              <w:t>其他收入</w:t>
            </w:r>
          </w:p>
        </w:tc>
        <w:tc>
          <w:tcPr>
            <w:tcW w:w="1894" w:type="dxa"/>
          </w:tcPr>
          <w:p>
            <w:pPr>
              <w:pStyle w:val="TableParagraph"/>
              <w:spacing w:before="100"/>
              <w:ind w:right="97"/>
              <w:rPr>
                <w:sz w:val="24"/>
              </w:rPr>
            </w:pPr>
            <w:r>
              <w:rPr>
                <w:sz w:val="24"/>
              </w:rPr>
              <w:t>1775</w:t>
            </w:r>
          </w:p>
        </w:tc>
      </w:tr>
      <w:tr>
        <w:trPr>
          <w:trHeight w:val="508" w:hRule="atLeast"/>
        </w:trPr>
        <w:tc>
          <w:tcPr>
            <w:tcW w:w="5881" w:type="dxa"/>
          </w:tcPr>
          <w:p>
            <w:pPr>
              <w:pStyle w:val="TableParagraph"/>
              <w:spacing w:before="98"/>
              <w:ind w:left="107"/>
              <w:jc w:val="left"/>
              <w:rPr>
                <w:sz w:val="24"/>
              </w:rPr>
            </w:pPr>
            <w:r>
              <w:rPr>
                <w:sz w:val="24"/>
              </w:rPr>
              <w:t>二、城乡居民基本养老保险基金收入</w:t>
            </w:r>
          </w:p>
        </w:tc>
        <w:tc>
          <w:tcPr>
            <w:tcW w:w="1894" w:type="dxa"/>
          </w:tcPr>
          <w:p>
            <w:pPr>
              <w:pStyle w:val="TableParagraph"/>
              <w:spacing w:before="98"/>
              <w:ind w:right="97"/>
              <w:rPr>
                <w:sz w:val="24"/>
              </w:rPr>
            </w:pPr>
            <w:r>
              <w:rPr>
                <w:sz w:val="24"/>
              </w:rPr>
              <w:t>13178</w:t>
            </w:r>
          </w:p>
        </w:tc>
      </w:tr>
      <w:tr>
        <w:trPr>
          <w:trHeight w:val="510" w:hRule="atLeast"/>
        </w:trPr>
        <w:tc>
          <w:tcPr>
            <w:tcW w:w="5881" w:type="dxa"/>
          </w:tcPr>
          <w:p>
            <w:pPr>
              <w:pStyle w:val="TableParagraph"/>
              <w:spacing w:before="100"/>
              <w:ind w:left="587"/>
              <w:jc w:val="left"/>
              <w:rPr>
                <w:sz w:val="24"/>
              </w:rPr>
            </w:pPr>
            <w:r>
              <w:rPr>
                <w:sz w:val="24"/>
              </w:rPr>
              <w:t>其中：个人缴费收入</w:t>
            </w:r>
          </w:p>
        </w:tc>
        <w:tc>
          <w:tcPr>
            <w:tcW w:w="1894" w:type="dxa"/>
          </w:tcPr>
          <w:p>
            <w:pPr>
              <w:pStyle w:val="TableParagraph"/>
              <w:spacing w:before="100"/>
              <w:ind w:right="97"/>
              <w:rPr>
                <w:sz w:val="24"/>
              </w:rPr>
            </w:pPr>
            <w:r>
              <w:rPr>
                <w:sz w:val="24"/>
              </w:rPr>
              <w:t>2955</w:t>
            </w:r>
          </w:p>
        </w:tc>
      </w:tr>
      <w:tr>
        <w:trPr>
          <w:trHeight w:val="511" w:hRule="atLeast"/>
        </w:trPr>
        <w:tc>
          <w:tcPr>
            <w:tcW w:w="5881" w:type="dxa"/>
          </w:tcPr>
          <w:p>
            <w:pPr>
              <w:pStyle w:val="TableParagraph"/>
              <w:spacing w:before="101"/>
              <w:ind w:left="1307"/>
              <w:jc w:val="left"/>
              <w:rPr>
                <w:sz w:val="24"/>
              </w:rPr>
            </w:pPr>
            <w:r>
              <w:rPr>
                <w:sz w:val="24"/>
              </w:rPr>
              <w:t>财政补贴收入</w:t>
            </w:r>
          </w:p>
        </w:tc>
        <w:tc>
          <w:tcPr>
            <w:tcW w:w="1894" w:type="dxa"/>
          </w:tcPr>
          <w:p>
            <w:pPr>
              <w:pStyle w:val="TableParagraph"/>
              <w:spacing w:before="101"/>
              <w:ind w:right="97"/>
              <w:rPr>
                <w:sz w:val="24"/>
              </w:rPr>
            </w:pPr>
            <w:r>
              <w:rPr>
                <w:sz w:val="24"/>
              </w:rPr>
              <w:t>9359</w:t>
            </w:r>
          </w:p>
        </w:tc>
      </w:tr>
      <w:tr>
        <w:trPr>
          <w:trHeight w:val="508" w:hRule="atLeast"/>
        </w:trPr>
        <w:tc>
          <w:tcPr>
            <w:tcW w:w="5881" w:type="dxa"/>
          </w:tcPr>
          <w:p>
            <w:pPr>
              <w:pStyle w:val="TableParagraph"/>
              <w:spacing w:before="98"/>
              <w:ind w:left="1307"/>
              <w:jc w:val="left"/>
              <w:rPr>
                <w:sz w:val="24"/>
              </w:rPr>
            </w:pPr>
            <w:r>
              <w:rPr>
                <w:sz w:val="24"/>
              </w:rPr>
              <w:t>利息收入</w:t>
            </w:r>
          </w:p>
        </w:tc>
        <w:tc>
          <w:tcPr>
            <w:tcW w:w="1894" w:type="dxa"/>
          </w:tcPr>
          <w:p>
            <w:pPr>
              <w:pStyle w:val="TableParagraph"/>
              <w:spacing w:before="98"/>
              <w:ind w:right="97"/>
              <w:rPr>
                <w:sz w:val="24"/>
              </w:rPr>
            </w:pPr>
            <w:r>
              <w:rPr>
                <w:sz w:val="24"/>
              </w:rPr>
              <w:t>372</w:t>
            </w:r>
          </w:p>
        </w:tc>
      </w:tr>
      <w:tr>
        <w:trPr>
          <w:trHeight w:val="510" w:hRule="atLeast"/>
        </w:trPr>
        <w:tc>
          <w:tcPr>
            <w:tcW w:w="5881" w:type="dxa"/>
          </w:tcPr>
          <w:p>
            <w:pPr>
              <w:pStyle w:val="TableParagraph"/>
              <w:spacing w:before="100"/>
              <w:ind w:left="1307"/>
              <w:jc w:val="left"/>
              <w:rPr>
                <w:sz w:val="24"/>
              </w:rPr>
            </w:pPr>
            <w:r>
              <w:rPr>
                <w:sz w:val="24"/>
              </w:rPr>
              <w:t>委托投资收益</w:t>
            </w:r>
          </w:p>
        </w:tc>
        <w:tc>
          <w:tcPr>
            <w:tcW w:w="1894" w:type="dxa"/>
          </w:tcPr>
          <w:p>
            <w:pPr>
              <w:pStyle w:val="TableParagraph"/>
              <w:spacing w:before="100"/>
              <w:ind w:right="97"/>
              <w:rPr>
                <w:sz w:val="24"/>
              </w:rPr>
            </w:pPr>
            <w:r>
              <w:rPr>
                <w:sz w:val="24"/>
              </w:rPr>
              <w:t>485</w:t>
            </w:r>
          </w:p>
        </w:tc>
      </w:tr>
      <w:tr>
        <w:trPr>
          <w:trHeight w:val="510" w:hRule="atLeast"/>
        </w:trPr>
        <w:tc>
          <w:tcPr>
            <w:tcW w:w="5881" w:type="dxa"/>
          </w:tcPr>
          <w:p>
            <w:pPr>
              <w:pStyle w:val="TableParagraph"/>
              <w:spacing w:before="100"/>
              <w:ind w:left="1307"/>
              <w:jc w:val="left"/>
              <w:rPr>
                <w:sz w:val="24"/>
              </w:rPr>
            </w:pPr>
            <w:r>
              <w:rPr>
                <w:sz w:val="24"/>
              </w:rPr>
              <w:t>其他收入</w:t>
            </w:r>
          </w:p>
        </w:tc>
        <w:tc>
          <w:tcPr>
            <w:tcW w:w="1894" w:type="dxa"/>
          </w:tcPr>
          <w:p>
            <w:pPr>
              <w:pStyle w:val="TableParagraph"/>
              <w:spacing w:before="100"/>
              <w:ind w:right="97"/>
              <w:rPr>
                <w:sz w:val="24"/>
              </w:rPr>
            </w:pPr>
            <w:r>
              <w:rPr>
                <w:sz w:val="24"/>
              </w:rPr>
              <w:t>7</w:t>
            </w:r>
          </w:p>
        </w:tc>
      </w:tr>
    </w:tbl>
    <w:p>
      <w:pPr>
        <w:spacing w:after="0"/>
        <w:rPr>
          <w:sz w:val="24"/>
        </w:rPr>
        <w:sectPr>
          <w:pgSz w:w="11910" w:h="16850"/>
          <w:pgMar w:header="0" w:footer="1561" w:top="1600" w:bottom="1760" w:left="1360" w:right="1100"/>
        </w:sectPr>
      </w:pPr>
    </w:p>
    <w:p>
      <w:pPr>
        <w:pStyle w:val="BodyText"/>
        <w:rPr>
          <w:rFonts w:ascii="宋体"/>
          <w:sz w:val="20"/>
        </w:rPr>
      </w:pPr>
    </w:p>
    <w:p>
      <w:pPr>
        <w:pStyle w:val="BodyText"/>
        <w:rPr>
          <w:rFonts w:ascii="宋体"/>
          <w:sz w:val="20"/>
        </w:rPr>
      </w:pPr>
    </w:p>
    <w:p>
      <w:pPr>
        <w:pStyle w:val="BodyText"/>
        <w:spacing w:before="11"/>
        <w:rPr>
          <w:rFonts w:ascii="宋体"/>
          <w:sz w:val="16"/>
        </w:rPr>
      </w:pPr>
    </w:p>
    <w:p>
      <w:pPr>
        <w:pStyle w:val="Heading3"/>
        <w:numPr>
          <w:ilvl w:val="1"/>
          <w:numId w:val="7"/>
        </w:numPr>
        <w:tabs>
          <w:tab w:pos="2596" w:val="left" w:leader="none"/>
          <w:tab w:pos="2597" w:val="left" w:leader="none"/>
        </w:tabs>
        <w:spacing w:line="240" w:lineRule="auto" w:before="6" w:after="0"/>
        <w:ind w:left="2596" w:right="0" w:hanging="573"/>
        <w:jc w:val="left"/>
      </w:pPr>
      <w:r>
        <w:rPr/>
        <w:t>高阳县社会保险基金支出预算</w:t>
      </w:r>
    </w:p>
    <w:p>
      <w:pPr>
        <w:spacing w:before="94"/>
        <w:ind w:left="0" w:right="1325" w:firstLine="0"/>
        <w:jc w:val="right"/>
        <w:rPr>
          <w:rFonts w:ascii="宋体" w:eastAsia="宋体" w:hint="eastAsia"/>
          <w:sz w:val="21"/>
        </w:rPr>
      </w:pPr>
      <w:r>
        <w:rPr>
          <w:rFonts w:ascii="宋体" w:eastAsia="宋体" w:hint="eastAsia"/>
          <w:sz w:val="21"/>
        </w:rPr>
        <w:t>单位：万元</w:t>
      </w:r>
    </w:p>
    <w:p>
      <w:pPr>
        <w:pStyle w:val="BodyText"/>
        <w:spacing w:before="5"/>
        <w:rPr>
          <w:rFonts w:ascii="宋体"/>
          <w:sz w:val="9"/>
        </w:rPr>
      </w:pPr>
    </w:p>
    <w:tbl>
      <w:tblPr>
        <w:tblW w:w="0" w:type="auto"/>
        <w:jc w:val="left"/>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81"/>
        <w:gridCol w:w="1894"/>
      </w:tblGrid>
      <w:tr>
        <w:trPr>
          <w:trHeight w:val="508" w:hRule="atLeast"/>
        </w:trPr>
        <w:tc>
          <w:tcPr>
            <w:tcW w:w="5881" w:type="dxa"/>
          </w:tcPr>
          <w:p>
            <w:pPr>
              <w:pStyle w:val="TableParagraph"/>
              <w:tabs>
                <w:tab w:pos="489" w:val="left" w:leader="none"/>
              </w:tabs>
              <w:spacing w:before="98"/>
              <w:ind w:left="7"/>
              <w:jc w:val="center"/>
              <w:rPr>
                <w:b/>
                <w:sz w:val="24"/>
              </w:rPr>
            </w:pPr>
            <w:r>
              <w:rPr>
                <w:b/>
                <w:sz w:val="24"/>
              </w:rPr>
              <w:t>项</w:t>
              <w:tab/>
              <w:t>目</w:t>
            </w:r>
          </w:p>
        </w:tc>
        <w:tc>
          <w:tcPr>
            <w:tcW w:w="1894" w:type="dxa"/>
          </w:tcPr>
          <w:p>
            <w:pPr>
              <w:pStyle w:val="TableParagraph"/>
              <w:spacing w:before="98"/>
              <w:ind w:left="463"/>
              <w:jc w:val="left"/>
              <w:rPr>
                <w:b/>
                <w:sz w:val="24"/>
              </w:rPr>
            </w:pPr>
            <w:r>
              <w:rPr>
                <w:b/>
                <w:sz w:val="24"/>
              </w:rPr>
              <w:t>预算安排</w:t>
            </w:r>
          </w:p>
        </w:tc>
      </w:tr>
      <w:tr>
        <w:trPr>
          <w:trHeight w:val="510" w:hRule="atLeast"/>
        </w:trPr>
        <w:tc>
          <w:tcPr>
            <w:tcW w:w="5881" w:type="dxa"/>
          </w:tcPr>
          <w:p>
            <w:pPr>
              <w:pStyle w:val="TableParagraph"/>
              <w:tabs>
                <w:tab w:pos="489" w:val="left" w:leader="none"/>
              </w:tabs>
              <w:spacing w:before="100"/>
              <w:ind w:left="7"/>
              <w:jc w:val="center"/>
              <w:rPr>
                <w:b/>
                <w:sz w:val="24"/>
              </w:rPr>
            </w:pPr>
            <w:r>
              <w:rPr>
                <w:b/>
                <w:sz w:val="24"/>
              </w:rPr>
              <w:t>合</w:t>
              <w:tab/>
              <w:t>计</w:t>
            </w:r>
          </w:p>
        </w:tc>
        <w:tc>
          <w:tcPr>
            <w:tcW w:w="1894" w:type="dxa"/>
          </w:tcPr>
          <w:p>
            <w:pPr>
              <w:pStyle w:val="TableParagraph"/>
              <w:spacing w:before="100"/>
              <w:ind w:right="96"/>
              <w:rPr>
                <w:b/>
                <w:sz w:val="24"/>
              </w:rPr>
            </w:pPr>
            <w:r>
              <w:rPr>
                <w:b/>
                <w:w w:val="95"/>
                <w:sz w:val="24"/>
              </w:rPr>
              <w:t>28919</w:t>
            </w:r>
          </w:p>
        </w:tc>
      </w:tr>
      <w:tr>
        <w:trPr>
          <w:trHeight w:val="511" w:hRule="atLeast"/>
        </w:trPr>
        <w:tc>
          <w:tcPr>
            <w:tcW w:w="5881" w:type="dxa"/>
          </w:tcPr>
          <w:p>
            <w:pPr>
              <w:pStyle w:val="TableParagraph"/>
              <w:spacing w:before="100"/>
              <w:ind w:left="107"/>
              <w:jc w:val="left"/>
              <w:rPr>
                <w:sz w:val="24"/>
              </w:rPr>
            </w:pPr>
            <w:r>
              <w:rPr>
                <w:sz w:val="24"/>
              </w:rPr>
              <w:t>一、机关事业单位基本养老保险基金支出</w:t>
            </w:r>
          </w:p>
        </w:tc>
        <w:tc>
          <w:tcPr>
            <w:tcW w:w="1894" w:type="dxa"/>
          </w:tcPr>
          <w:p>
            <w:pPr>
              <w:pStyle w:val="TableParagraph"/>
              <w:spacing w:before="100"/>
              <w:ind w:right="97"/>
              <w:rPr>
                <w:sz w:val="24"/>
              </w:rPr>
            </w:pPr>
            <w:r>
              <w:rPr>
                <w:sz w:val="24"/>
              </w:rPr>
              <w:t>19373</w:t>
            </w:r>
          </w:p>
        </w:tc>
      </w:tr>
      <w:tr>
        <w:trPr>
          <w:trHeight w:val="508" w:hRule="atLeast"/>
        </w:trPr>
        <w:tc>
          <w:tcPr>
            <w:tcW w:w="5881" w:type="dxa"/>
          </w:tcPr>
          <w:p>
            <w:pPr>
              <w:pStyle w:val="TableParagraph"/>
              <w:spacing w:before="98"/>
              <w:ind w:left="587"/>
              <w:jc w:val="left"/>
              <w:rPr>
                <w:sz w:val="24"/>
              </w:rPr>
            </w:pPr>
            <w:r>
              <w:rPr>
                <w:sz w:val="24"/>
              </w:rPr>
              <w:t>其中：基本养老金支出</w:t>
            </w:r>
          </w:p>
        </w:tc>
        <w:tc>
          <w:tcPr>
            <w:tcW w:w="1894" w:type="dxa"/>
          </w:tcPr>
          <w:p>
            <w:pPr>
              <w:pStyle w:val="TableParagraph"/>
              <w:spacing w:before="98"/>
              <w:ind w:right="97"/>
              <w:rPr>
                <w:sz w:val="24"/>
              </w:rPr>
            </w:pPr>
            <w:r>
              <w:rPr>
                <w:sz w:val="24"/>
              </w:rPr>
              <w:t>19263</w:t>
            </w:r>
          </w:p>
        </w:tc>
      </w:tr>
      <w:tr>
        <w:trPr>
          <w:trHeight w:val="510" w:hRule="atLeast"/>
        </w:trPr>
        <w:tc>
          <w:tcPr>
            <w:tcW w:w="5881" w:type="dxa"/>
          </w:tcPr>
          <w:p>
            <w:pPr>
              <w:pStyle w:val="TableParagraph"/>
              <w:spacing w:before="100"/>
              <w:ind w:left="1307"/>
              <w:jc w:val="left"/>
              <w:rPr>
                <w:sz w:val="24"/>
              </w:rPr>
            </w:pPr>
            <w:r>
              <w:rPr>
                <w:sz w:val="24"/>
              </w:rPr>
              <w:t>其他支出</w:t>
            </w:r>
          </w:p>
        </w:tc>
        <w:tc>
          <w:tcPr>
            <w:tcW w:w="1894" w:type="dxa"/>
          </w:tcPr>
          <w:p>
            <w:pPr>
              <w:pStyle w:val="TableParagraph"/>
              <w:spacing w:before="100"/>
              <w:ind w:right="97"/>
              <w:rPr>
                <w:sz w:val="24"/>
              </w:rPr>
            </w:pPr>
            <w:r>
              <w:rPr>
                <w:sz w:val="24"/>
              </w:rPr>
              <w:t>110</w:t>
            </w:r>
          </w:p>
        </w:tc>
      </w:tr>
      <w:tr>
        <w:trPr>
          <w:trHeight w:val="510" w:hRule="atLeast"/>
        </w:trPr>
        <w:tc>
          <w:tcPr>
            <w:tcW w:w="5881" w:type="dxa"/>
          </w:tcPr>
          <w:p>
            <w:pPr>
              <w:pStyle w:val="TableParagraph"/>
              <w:spacing w:before="100"/>
              <w:ind w:left="107"/>
              <w:jc w:val="left"/>
              <w:rPr>
                <w:sz w:val="24"/>
              </w:rPr>
            </w:pPr>
            <w:r>
              <w:rPr>
                <w:sz w:val="24"/>
              </w:rPr>
              <w:t>二、城乡居民基本养老保险基金支出</w:t>
            </w:r>
          </w:p>
        </w:tc>
        <w:tc>
          <w:tcPr>
            <w:tcW w:w="1894" w:type="dxa"/>
          </w:tcPr>
          <w:p>
            <w:pPr>
              <w:pStyle w:val="TableParagraph"/>
              <w:spacing w:before="100"/>
              <w:ind w:right="97"/>
              <w:rPr>
                <w:sz w:val="24"/>
              </w:rPr>
            </w:pPr>
            <w:r>
              <w:rPr>
                <w:sz w:val="24"/>
              </w:rPr>
              <w:t>9546</w:t>
            </w:r>
          </w:p>
        </w:tc>
      </w:tr>
      <w:tr>
        <w:trPr>
          <w:trHeight w:val="508" w:hRule="atLeast"/>
        </w:trPr>
        <w:tc>
          <w:tcPr>
            <w:tcW w:w="5881" w:type="dxa"/>
          </w:tcPr>
          <w:p>
            <w:pPr>
              <w:pStyle w:val="TableParagraph"/>
              <w:spacing w:before="98"/>
              <w:ind w:left="587"/>
              <w:jc w:val="left"/>
              <w:rPr>
                <w:sz w:val="24"/>
              </w:rPr>
            </w:pPr>
            <w:r>
              <w:rPr>
                <w:sz w:val="24"/>
              </w:rPr>
              <w:t>其中：养老金待遇支出</w:t>
            </w:r>
          </w:p>
        </w:tc>
        <w:tc>
          <w:tcPr>
            <w:tcW w:w="1894" w:type="dxa"/>
          </w:tcPr>
          <w:p>
            <w:pPr>
              <w:pStyle w:val="TableParagraph"/>
              <w:spacing w:before="98"/>
              <w:ind w:right="97"/>
              <w:rPr>
                <w:sz w:val="24"/>
              </w:rPr>
            </w:pPr>
            <w:r>
              <w:rPr>
                <w:sz w:val="24"/>
              </w:rPr>
              <w:t>9543</w:t>
            </w:r>
          </w:p>
        </w:tc>
      </w:tr>
      <w:tr>
        <w:trPr>
          <w:trHeight w:val="510" w:hRule="atLeast"/>
        </w:trPr>
        <w:tc>
          <w:tcPr>
            <w:tcW w:w="5881" w:type="dxa"/>
          </w:tcPr>
          <w:p>
            <w:pPr>
              <w:pStyle w:val="TableParagraph"/>
              <w:spacing w:before="100"/>
              <w:ind w:left="1307"/>
              <w:jc w:val="left"/>
              <w:rPr>
                <w:sz w:val="24"/>
              </w:rPr>
            </w:pPr>
            <w:r>
              <w:rPr>
                <w:sz w:val="24"/>
              </w:rPr>
              <w:t>其他支出</w:t>
            </w:r>
          </w:p>
        </w:tc>
        <w:tc>
          <w:tcPr>
            <w:tcW w:w="1894" w:type="dxa"/>
          </w:tcPr>
          <w:p>
            <w:pPr>
              <w:pStyle w:val="TableParagraph"/>
              <w:spacing w:before="100"/>
              <w:ind w:right="97"/>
              <w:rPr>
                <w:sz w:val="24"/>
              </w:rPr>
            </w:pPr>
            <w:r>
              <w:rPr>
                <w:sz w:val="24"/>
              </w:rPr>
              <w:t>3</w:t>
            </w:r>
          </w:p>
        </w:tc>
      </w:tr>
    </w:tbl>
    <w:sectPr>
      <w:pgSz w:w="11910" w:h="16850"/>
      <w:pgMar w:header="0" w:footer="1561" w:top="1600" w:bottom="1760" w:left="136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黑体">
    <w:altName w:val="黑体"/>
    <w:charset w:val="86"/>
    <w:family w:val="modern"/>
    <w:pitch w:val="fixed"/>
  </w:font>
  <w:font w:name="微软雅黑">
    <w:altName w:val="微软雅黑"/>
    <w:charset w:val="86"/>
    <w:family w:val="swiss"/>
    <w:pitch w:val="variable"/>
  </w:font>
  <w:font w:name="楷体_GB2312">
    <w:altName w:val="楷体_GB2312"/>
    <w:charset w:val="86"/>
    <w:family w:val="modern"/>
    <w:pitch w:val="fixed"/>
  </w:font>
  <w:font w:name="仿宋_GB2312">
    <w:altName w:val="仿宋_GB2312"/>
    <w:charset w:val="86"/>
    <w:family w:val="modern"/>
    <w:pitch w:val="fixed"/>
  </w:font>
  <w:font w:name="宋体">
    <w:altName w:val="宋体"/>
    <w:charset w:val="86"/>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2.970001pt;margin-top:735.075989pt;width:15.15pt;height:12pt;mso-position-horizontal-relative:page;mso-position-vertical-relative:page;z-index:-255113216" type="#_x0000_t202" filled="false" stroked="false">
          <v:textbox inset="0,0,0,0">
            <w:txbxContent>
              <w:p>
                <w:pPr>
                  <w:spacing w:before="12"/>
                  <w:ind w:left="60" w:right="0" w:firstLine="0"/>
                  <w:jc w:val="left"/>
                  <w:rPr>
                    <w:rFonts w:ascii="Times New Roman"/>
                    <w:sz w:val="18"/>
                  </w:rPr>
                </w:pPr>
                <w:r>
                  <w:rPr/>
                  <w:fldChar w:fldCharType="begin"/>
                </w:r>
                <w:r>
                  <w:rPr>
                    <w:rFonts w:ascii="Times New Roman"/>
                    <w:sz w:val="18"/>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209991pt;margin-top:769.179993pt;width:15.15pt;height:12pt;mso-position-horizontal-relative:page;mso-position-vertical-relative:page;z-index:-255112192" type="#_x0000_t202" filled="false" stroked="false">
          <v:textbox inset="0,0,0,0">
            <w:txbxContent>
              <w:p>
                <w:pPr>
                  <w:spacing w:before="12"/>
                  <w:ind w:left="60" w:right="0" w:firstLine="0"/>
                  <w:jc w:val="left"/>
                  <w:rPr>
                    <w:rFonts w:ascii="Times New Roman"/>
                    <w:sz w:val="18"/>
                  </w:rPr>
                </w:pPr>
                <w:r>
                  <w:rPr/>
                  <w:fldChar w:fldCharType="begin"/>
                </w:r>
                <w:r>
                  <w:rPr>
                    <w:rFonts w:ascii="Times New Roman"/>
                    <w:sz w:val="18"/>
                  </w:rPr>
                  <w:instrText> PAGE </w:instrText>
                </w:r>
                <w:r>
                  <w:rPr/>
                  <w:fldChar w:fldCharType="separate"/>
                </w:r>
                <w:r>
                  <w:rPr/>
                  <w:t>20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089996pt;margin-top:752.97998pt;width:15.15pt;height:12pt;mso-position-horizontal-relative:page;mso-position-vertical-relative:page;z-index:-255111168" type="#_x0000_t202" filled="false" stroked="false">
          <v:textbox inset="0,0,0,0">
            <w:txbxContent>
              <w:p>
                <w:pPr>
                  <w:spacing w:before="12"/>
                  <w:ind w:left="60" w:right="0" w:firstLine="0"/>
                  <w:jc w:val="left"/>
                  <w:rPr>
                    <w:rFonts w:ascii="Times New Roman"/>
                    <w:sz w:val="18"/>
                  </w:rPr>
                </w:pPr>
                <w:r>
                  <w:rPr/>
                  <w:fldChar w:fldCharType="begin"/>
                </w:r>
                <w:r>
                  <w:rPr>
                    <w:rFonts w:ascii="Times New Roman"/>
                    <w:sz w:val="18"/>
                  </w:rPr>
                  <w:instrText> PAGE </w:instrText>
                </w:r>
                <w:r>
                  <w:rPr/>
                  <w:fldChar w:fldCharType="separate"/>
                </w:r>
                <w:r>
                  <w:rPr/>
                  <w:t>28</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2"/>
      <w:numFmt w:val="decimal"/>
      <w:lvlText w:val="%1"/>
      <w:lvlJc w:val="left"/>
      <w:pPr>
        <w:ind w:left="2596" w:hanging="572"/>
        <w:jc w:val="left"/>
      </w:pPr>
      <w:rPr>
        <w:rFonts w:hint="default" w:ascii="微软雅黑" w:hAnsi="微软雅黑" w:eastAsia="微软雅黑" w:cs="微软雅黑"/>
        <w:w w:val="100"/>
        <w:sz w:val="36"/>
        <w:szCs w:val="36"/>
        <w:lang w:val="zh-cn" w:eastAsia="zh-cn" w:bidi="zh-cn"/>
      </w:rPr>
    </w:lvl>
    <w:lvl w:ilvl="1">
      <w:start w:val="0"/>
      <w:numFmt w:val="bullet"/>
      <w:lvlText w:val="•"/>
      <w:lvlJc w:val="left"/>
      <w:pPr>
        <w:ind w:left="3284" w:hanging="572"/>
      </w:pPr>
      <w:rPr>
        <w:rFonts w:hint="default"/>
        <w:lang w:val="zh-cn" w:eastAsia="zh-cn" w:bidi="zh-cn"/>
      </w:rPr>
    </w:lvl>
    <w:lvl w:ilvl="2">
      <w:start w:val="0"/>
      <w:numFmt w:val="bullet"/>
      <w:lvlText w:val="•"/>
      <w:lvlJc w:val="left"/>
      <w:pPr>
        <w:ind w:left="3969" w:hanging="572"/>
      </w:pPr>
      <w:rPr>
        <w:rFonts w:hint="default"/>
        <w:lang w:val="zh-cn" w:eastAsia="zh-cn" w:bidi="zh-cn"/>
      </w:rPr>
    </w:lvl>
    <w:lvl w:ilvl="3">
      <w:start w:val="0"/>
      <w:numFmt w:val="bullet"/>
      <w:lvlText w:val="•"/>
      <w:lvlJc w:val="left"/>
      <w:pPr>
        <w:ind w:left="4653" w:hanging="572"/>
      </w:pPr>
      <w:rPr>
        <w:rFonts w:hint="default"/>
        <w:lang w:val="zh-cn" w:eastAsia="zh-cn" w:bidi="zh-cn"/>
      </w:rPr>
    </w:lvl>
    <w:lvl w:ilvl="4">
      <w:start w:val="0"/>
      <w:numFmt w:val="bullet"/>
      <w:lvlText w:val="•"/>
      <w:lvlJc w:val="left"/>
      <w:pPr>
        <w:ind w:left="5338" w:hanging="572"/>
      </w:pPr>
      <w:rPr>
        <w:rFonts w:hint="default"/>
        <w:lang w:val="zh-cn" w:eastAsia="zh-cn" w:bidi="zh-cn"/>
      </w:rPr>
    </w:lvl>
    <w:lvl w:ilvl="5">
      <w:start w:val="0"/>
      <w:numFmt w:val="bullet"/>
      <w:lvlText w:val="•"/>
      <w:lvlJc w:val="left"/>
      <w:pPr>
        <w:ind w:left="6023" w:hanging="572"/>
      </w:pPr>
      <w:rPr>
        <w:rFonts w:hint="default"/>
        <w:lang w:val="zh-cn" w:eastAsia="zh-cn" w:bidi="zh-cn"/>
      </w:rPr>
    </w:lvl>
    <w:lvl w:ilvl="6">
      <w:start w:val="0"/>
      <w:numFmt w:val="bullet"/>
      <w:lvlText w:val="•"/>
      <w:lvlJc w:val="left"/>
      <w:pPr>
        <w:ind w:left="6707" w:hanging="572"/>
      </w:pPr>
      <w:rPr>
        <w:rFonts w:hint="default"/>
        <w:lang w:val="zh-cn" w:eastAsia="zh-cn" w:bidi="zh-cn"/>
      </w:rPr>
    </w:lvl>
    <w:lvl w:ilvl="7">
      <w:start w:val="0"/>
      <w:numFmt w:val="bullet"/>
      <w:lvlText w:val="•"/>
      <w:lvlJc w:val="left"/>
      <w:pPr>
        <w:ind w:left="7392" w:hanging="572"/>
      </w:pPr>
      <w:rPr>
        <w:rFonts w:hint="default"/>
        <w:lang w:val="zh-cn" w:eastAsia="zh-cn" w:bidi="zh-cn"/>
      </w:rPr>
    </w:lvl>
    <w:lvl w:ilvl="8">
      <w:start w:val="0"/>
      <w:numFmt w:val="bullet"/>
      <w:lvlText w:val="•"/>
      <w:lvlJc w:val="left"/>
      <w:pPr>
        <w:ind w:left="8077" w:hanging="572"/>
      </w:pPr>
      <w:rPr>
        <w:rFonts w:hint="default"/>
        <w:lang w:val="zh-cn" w:eastAsia="zh-cn" w:bidi="zh-cn"/>
      </w:rPr>
    </w:lvl>
  </w:abstractNum>
  <w:abstractNum w:abstractNumId="6">
    <w:multiLevelType w:val="hybridMultilevel"/>
    <w:lvl w:ilvl="0">
      <w:start w:val="1"/>
      <w:numFmt w:val="decimal"/>
      <w:lvlText w:val="%1"/>
      <w:lvlJc w:val="left"/>
      <w:pPr>
        <w:ind w:left="649" w:hanging="420"/>
        <w:jc w:val="left"/>
      </w:pPr>
      <w:rPr>
        <w:rFonts w:hint="default" w:ascii="Times New Roman" w:hAnsi="Times New Roman" w:eastAsia="Times New Roman" w:cs="Times New Roman"/>
        <w:w w:val="100"/>
        <w:sz w:val="28"/>
        <w:szCs w:val="28"/>
        <w:lang w:val="zh-cn" w:eastAsia="zh-cn" w:bidi="zh-cn"/>
      </w:rPr>
    </w:lvl>
    <w:lvl w:ilvl="1">
      <w:start w:val="3"/>
      <w:numFmt w:val="decimal"/>
      <w:lvlText w:val="%2"/>
      <w:lvlJc w:val="left"/>
      <w:pPr>
        <w:ind w:left="2596" w:hanging="572"/>
        <w:jc w:val="left"/>
      </w:pPr>
      <w:rPr>
        <w:rFonts w:hint="default" w:ascii="微软雅黑" w:hAnsi="微软雅黑" w:eastAsia="微软雅黑" w:cs="微软雅黑"/>
        <w:w w:val="100"/>
        <w:sz w:val="36"/>
        <w:szCs w:val="36"/>
        <w:lang w:val="zh-cn" w:eastAsia="zh-cn" w:bidi="zh-cn"/>
      </w:rPr>
    </w:lvl>
    <w:lvl w:ilvl="2">
      <w:start w:val="0"/>
      <w:numFmt w:val="bullet"/>
      <w:lvlText w:val="•"/>
      <w:lvlJc w:val="left"/>
      <w:pPr>
        <w:ind w:left="2420" w:hanging="572"/>
      </w:pPr>
      <w:rPr>
        <w:rFonts w:hint="default"/>
        <w:lang w:val="zh-cn" w:eastAsia="zh-cn" w:bidi="zh-cn"/>
      </w:rPr>
    </w:lvl>
    <w:lvl w:ilvl="3">
      <w:start w:val="0"/>
      <w:numFmt w:val="bullet"/>
      <w:lvlText w:val="•"/>
      <w:lvlJc w:val="left"/>
      <w:pPr>
        <w:ind w:left="2600" w:hanging="572"/>
      </w:pPr>
      <w:rPr>
        <w:rFonts w:hint="default"/>
        <w:lang w:val="zh-cn" w:eastAsia="zh-cn" w:bidi="zh-cn"/>
      </w:rPr>
    </w:lvl>
    <w:lvl w:ilvl="4">
      <w:start w:val="0"/>
      <w:numFmt w:val="bullet"/>
      <w:lvlText w:val="•"/>
      <w:lvlJc w:val="left"/>
      <w:pPr>
        <w:ind w:left="2780" w:hanging="572"/>
      </w:pPr>
      <w:rPr>
        <w:rFonts w:hint="default"/>
        <w:lang w:val="zh-cn" w:eastAsia="zh-cn" w:bidi="zh-cn"/>
      </w:rPr>
    </w:lvl>
    <w:lvl w:ilvl="5">
      <w:start w:val="0"/>
      <w:numFmt w:val="bullet"/>
      <w:lvlText w:val="•"/>
      <w:lvlJc w:val="left"/>
      <w:pPr>
        <w:ind w:left="2960" w:hanging="572"/>
      </w:pPr>
      <w:rPr>
        <w:rFonts w:hint="default"/>
        <w:lang w:val="zh-cn" w:eastAsia="zh-cn" w:bidi="zh-cn"/>
      </w:rPr>
    </w:lvl>
    <w:lvl w:ilvl="6">
      <w:start w:val="0"/>
      <w:numFmt w:val="bullet"/>
      <w:lvlText w:val="•"/>
      <w:lvlJc w:val="left"/>
      <w:pPr>
        <w:ind w:left="4257" w:hanging="572"/>
      </w:pPr>
      <w:rPr>
        <w:rFonts w:hint="default"/>
        <w:lang w:val="zh-cn" w:eastAsia="zh-cn" w:bidi="zh-cn"/>
      </w:rPr>
    </w:lvl>
    <w:lvl w:ilvl="7">
      <w:start w:val="0"/>
      <w:numFmt w:val="bullet"/>
      <w:lvlText w:val="•"/>
      <w:lvlJc w:val="left"/>
      <w:pPr>
        <w:ind w:left="5554" w:hanging="572"/>
      </w:pPr>
      <w:rPr>
        <w:rFonts w:hint="default"/>
        <w:lang w:val="zh-cn" w:eastAsia="zh-cn" w:bidi="zh-cn"/>
      </w:rPr>
    </w:lvl>
    <w:lvl w:ilvl="8">
      <w:start w:val="0"/>
      <w:numFmt w:val="bullet"/>
      <w:lvlText w:val="•"/>
      <w:lvlJc w:val="left"/>
      <w:pPr>
        <w:ind w:left="6851" w:hanging="572"/>
      </w:pPr>
      <w:rPr>
        <w:rFonts w:hint="default"/>
        <w:lang w:val="zh-cn" w:eastAsia="zh-cn" w:bidi="zh-cn"/>
      </w:rPr>
    </w:lvl>
  </w:abstractNum>
  <w:abstractNum w:abstractNumId="5">
    <w:multiLevelType w:val="hybridMultilevel"/>
    <w:lvl w:ilvl="0">
      <w:start w:val="1"/>
      <w:numFmt w:val="decimal"/>
      <w:lvlText w:val="%1"/>
      <w:lvlJc w:val="left"/>
      <w:pPr>
        <w:ind w:left="649" w:hanging="420"/>
        <w:jc w:val="left"/>
      </w:pPr>
      <w:rPr>
        <w:rFonts w:hint="default" w:ascii="Times New Roman" w:hAnsi="Times New Roman" w:eastAsia="Times New Roman" w:cs="Times New Roman"/>
        <w:w w:val="100"/>
        <w:sz w:val="28"/>
        <w:szCs w:val="28"/>
        <w:lang w:val="zh-cn" w:eastAsia="zh-cn" w:bidi="zh-cn"/>
      </w:rPr>
    </w:lvl>
    <w:lvl w:ilvl="1">
      <w:start w:val="0"/>
      <w:numFmt w:val="bullet"/>
      <w:lvlText w:val="•"/>
      <w:lvlJc w:val="left"/>
      <w:pPr>
        <w:ind w:left="1520" w:hanging="420"/>
      </w:pPr>
      <w:rPr>
        <w:rFonts w:hint="default"/>
        <w:lang w:val="zh-cn" w:eastAsia="zh-cn" w:bidi="zh-cn"/>
      </w:rPr>
    </w:lvl>
    <w:lvl w:ilvl="2">
      <w:start w:val="0"/>
      <w:numFmt w:val="bullet"/>
      <w:lvlText w:val="•"/>
      <w:lvlJc w:val="left"/>
      <w:pPr>
        <w:ind w:left="2401" w:hanging="420"/>
      </w:pPr>
      <w:rPr>
        <w:rFonts w:hint="default"/>
        <w:lang w:val="zh-cn" w:eastAsia="zh-cn" w:bidi="zh-cn"/>
      </w:rPr>
    </w:lvl>
    <w:lvl w:ilvl="3">
      <w:start w:val="0"/>
      <w:numFmt w:val="bullet"/>
      <w:lvlText w:val="•"/>
      <w:lvlJc w:val="left"/>
      <w:pPr>
        <w:ind w:left="3281" w:hanging="420"/>
      </w:pPr>
      <w:rPr>
        <w:rFonts w:hint="default"/>
        <w:lang w:val="zh-cn" w:eastAsia="zh-cn" w:bidi="zh-cn"/>
      </w:rPr>
    </w:lvl>
    <w:lvl w:ilvl="4">
      <w:start w:val="0"/>
      <w:numFmt w:val="bullet"/>
      <w:lvlText w:val="•"/>
      <w:lvlJc w:val="left"/>
      <w:pPr>
        <w:ind w:left="4162" w:hanging="420"/>
      </w:pPr>
      <w:rPr>
        <w:rFonts w:hint="default"/>
        <w:lang w:val="zh-cn" w:eastAsia="zh-cn" w:bidi="zh-cn"/>
      </w:rPr>
    </w:lvl>
    <w:lvl w:ilvl="5">
      <w:start w:val="0"/>
      <w:numFmt w:val="bullet"/>
      <w:lvlText w:val="•"/>
      <w:lvlJc w:val="left"/>
      <w:pPr>
        <w:ind w:left="5043" w:hanging="420"/>
      </w:pPr>
      <w:rPr>
        <w:rFonts w:hint="default"/>
        <w:lang w:val="zh-cn" w:eastAsia="zh-cn" w:bidi="zh-cn"/>
      </w:rPr>
    </w:lvl>
    <w:lvl w:ilvl="6">
      <w:start w:val="0"/>
      <w:numFmt w:val="bullet"/>
      <w:lvlText w:val="•"/>
      <w:lvlJc w:val="left"/>
      <w:pPr>
        <w:ind w:left="5923" w:hanging="420"/>
      </w:pPr>
      <w:rPr>
        <w:rFonts w:hint="default"/>
        <w:lang w:val="zh-cn" w:eastAsia="zh-cn" w:bidi="zh-cn"/>
      </w:rPr>
    </w:lvl>
    <w:lvl w:ilvl="7">
      <w:start w:val="0"/>
      <w:numFmt w:val="bullet"/>
      <w:lvlText w:val="•"/>
      <w:lvlJc w:val="left"/>
      <w:pPr>
        <w:ind w:left="6804" w:hanging="420"/>
      </w:pPr>
      <w:rPr>
        <w:rFonts w:hint="default"/>
        <w:lang w:val="zh-cn" w:eastAsia="zh-cn" w:bidi="zh-cn"/>
      </w:rPr>
    </w:lvl>
    <w:lvl w:ilvl="8">
      <w:start w:val="0"/>
      <w:numFmt w:val="bullet"/>
      <w:lvlText w:val="•"/>
      <w:lvlJc w:val="left"/>
      <w:pPr>
        <w:ind w:left="7685" w:hanging="420"/>
      </w:pPr>
      <w:rPr>
        <w:rFonts w:hint="default"/>
        <w:lang w:val="zh-cn" w:eastAsia="zh-cn" w:bidi="zh-cn"/>
      </w:rPr>
    </w:lvl>
  </w:abstractNum>
  <w:abstractNum w:abstractNumId="4">
    <w:multiLevelType w:val="hybridMultilevel"/>
    <w:lvl w:ilvl="0">
      <w:start w:val="1"/>
      <w:numFmt w:val="decimal"/>
      <w:lvlText w:val="%1"/>
      <w:lvlJc w:val="left"/>
      <w:pPr>
        <w:ind w:left="649" w:hanging="420"/>
        <w:jc w:val="left"/>
      </w:pPr>
      <w:rPr>
        <w:rFonts w:hint="default" w:ascii="Times New Roman" w:hAnsi="Times New Roman" w:eastAsia="Times New Roman" w:cs="Times New Roman"/>
        <w:w w:val="100"/>
        <w:sz w:val="28"/>
        <w:szCs w:val="28"/>
        <w:lang w:val="zh-cn" w:eastAsia="zh-cn" w:bidi="zh-cn"/>
      </w:rPr>
    </w:lvl>
    <w:lvl w:ilvl="1">
      <w:start w:val="0"/>
      <w:numFmt w:val="bullet"/>
      <w:lvlText w:val="•"/>
      <w:lvlJc w:val="left"/>
      <w:pPr>
        <w:ind w:left="1520" w:hanging="420"/>
      </w:pPr>
      <w:rPr>
        <w:rFonts w:hint="default"/>
        <w:lang w:val="zh-cn" w:eastAsia="zh-cn" w:bidi="zh-cn"/>
      </w:rPr>
    </w:lvl>
    <w:lvl w:ilvl="2">
      <w:start w:val="0"/>
      <w:numFmt w:val="bullet"/>
      <w:lvlText w:val="•"/>
      <w:lvlJc w:val="left"/>
      <w:pPr>
        <w:ind w:left="2401" w:hanging="420"/>
      </w:pPr>
      <w:rPr>
        <w:rFonts w:hint="default"/>
        <w:lang w:val="zh-cn" w:eastAsia="zh-cn" w:bidi="zh-cn"/>
      </w:rPr>
    </w:lvl>
    <w:lvl w:ilvl="3">
      <w:start w:val="0"/>
      <w:numFmt w:val="bullet"/>
      <w:lvlText w:val="•"/>
      <w:lvlJc w:val="left"/>
      <w:pPr>
        <w:ind w:left="3281" w:hanging="420"/>
      </w:pPr>
      <w:rPr>
        <w:rFonts w:hint="default"/>
        <w:lang w:val="zh-cn" w:eastAsia="zh-cn" w:bidi="zh-cn"/>
      </w:rPr>
    </w:lvl>
    <w:lvl w:ilvl="4">
      <w:start w:val="0"/>
      <w:numFmt w:val="bullet"/>
      <w:lvlText w:val="•"/>
      <w:lvlJc w:val="left"/>
      <w:pPr>
        <w:ind w:left="4162" w:hanging="420"/>
      </w:pPr>
      <w:rPr>
        <w:rFonts w:hint="default"/>
        <w:lang w:val="zh-cn" w:eastAsia="zh-cn" w:bidi="zh-cn"/>
      </w:rPr>
    </w:lvl>
    <w:lvl w:ilvl="5">
      <w:start w:val="0"/>
      <w:numFmt w:val="bullet"/>
      <w:lvlText w:val="•"/>
      <w:lvlJc w:val="left"/>
      <w:pPr>
        <w:ind w:left="5043" w:hanging="420"/>
      </w:pPr>
      <w:rPr>
        <w:rFonts w:hint="default"/>
        <w:lang w:val="zh-cn" w:eastAsia="zh-cn" w:bidi="zh-cn"/>
      </w:rPr>
    </w:lvl>
    <w:lvl w:ilvl="6">
      <w:start w:val="0"/>
      <w:numFmt w:val="bullet"/>
      <w:lvlText w:val="•"/>
      <w:lvlJc w:val="left"/>
      <w:pPr>
        <w:ind w:left="5923" w:hanging="420"/>
      </w:pPr>
      <w:rPr>
        <w:rFonts w:hint="default"/>
        <w:lang w:val="zh-cn" w:eastAsia="zh-cn" w:bidi="zh-cn"/>
      </w:rPr>
    </w:lvl>
    <w:lvl w:ilvl="7">
      <w:start w:val="0"/>
      <w:numFmt w:val="bullet"/>
      <w:lvlText w:val="•"/>
      <w:lvlJc w:val="left"/>
      <w:pPr>
        <w:ind w:left="6804" w:hanging="420"/>
      </w:pPr>
      <w:rPr>
        <w:rFonts w:hint="default"/>
        <w:lang w:val="zh-cn" w:eastAsia="zh-cn" w:bidi="zh-cn"/>
      </w:rPr>
    </w:lvl>
    <w:lvl w:ilvl="8">
      <w:start w:val="0"/>
      <w:numFmt w:val="bullet"/>
      <w:lvlText w:val="•"/>
      <w:lvlJc w:val="left"/>
      <w:pPr>
        <w:ind w:left="7685" w:hanging="420"/>
      </w:pPr>
      <w:rPr>
        <w:rFonts w:hint="default"/>
        <w:lang w:val="zh-cn" w:eastAsia="zh-cn" w:bidi="zh-cn"/>
      </w:rPr>
    </w:lvl>
  </w:abstractNum>
  <w:abstractNum w:abstractNumId="3">
    <w:multiLevelType w:val="hybridMultilevel"/>
    <w:lvl w:ilvl="0">
      <w:start w:val="1"/>
      <w:numFmt w:val="decimal"/>
      <w:lvlText w:val="%1"/>
      <w:lvlJc w:val="left"/>
      <w:pPr>
        <w:ind w:left="649" w:hanging="420"/>
        <w:jc w:val="left"/>
      </w:pPr>
      <w:rPr>
        <w:rFonts w:hint="default" w:ascii="Times New Roman" w:hAnsi="Times New Roman" w:eastAsia="Times New Roman" w:cs="Times New Roman"/>
        <w:w w:val="100"/>
        <w:sz w:val="28"/>
        <w:szCs w:val="28"/>
        <w:lang w:val="zh-cn" w:eastAsia="zh-cn" w:bidi="zh-cn"/>
      </w:rPr>
    </w:lvl>
    <w:lvl w:ilvl="1">
      <w:start w:val="0"/>
      <w:numFmt w:val="bullet"/>
      <w:lvlText w:val="•"/>
      <w:lvlJc w:val="left"/>
      <w:pPr>
        <w:ind w:left="1520" w:hanging="420"/>
      </w:pPr>
      <w:rPr>
        <w:rFonts w:hint="default"/>
        <w:lang w:val="zh-cn" w:eastAsia="zh-cn" w:bidi="zh-cn"/>
      </w:rPr>
    </w:lvl>
    <w:lvl w:ilvl="2">
      <w:start w:val="0"/>
      <w:numFmt w:val="bullet"/>
      <w:lvlText w:val="•"/>
      <w:lvlJc w:val="left"/>
      <w:pPr>
        <w:ind w:left="2401" w:hanging="420"/>
      </w:pPr>
      <w:rPr>
        <w:rFonts w:hint="default"/>
        <w:lang w:val="zh-cn" w:eastAsia="zh-cn" w:bidi="zh-cn"/>
      </w:rPr>
    </w:lvl>
    <w:lvl w:ilvl="3">
      <w:start w:val="0"/>
      <w:numFmt w:val="bullet"/>
      <w:lvlText w:val="•"/>
      <w:lvlJc w:val="left"/>
      <w:pPr>
        <w:ind w:left="3281" w:hanging="420"/>
      </w:pPr>
      <w:rPr>
        <w:rFonts w:hint="default"/>
        <w:lang w:val="zh-cn" w:eastAsia="zh-cn" w:bidi="zh-cn"/>
      </w:rPr>
    </w:lvl>
    <w:lvl w:ilvl="4">
      <w:start w:val="0"/>
      <w:numFmt w:val="bullet"/>
      <w:lvlText w:val="•"/>
      <w:lvlJc w:val="left"/>
      <w:pPr>
        <w:ind w:left="4162" w:hanging="420"/>
      </w:pPr>
      <w:rPr>
        <w:rFonts w:hint="default"/>
        <w:lang w:val="zh-cn" w:eastAsia="zh-cn" w:bidi="zh-cn"/>
      </w:rPr>
    </w:lvl>
    <w:lvl w:ilvl="5">
      <w:start w:val="0"/>
      <w:numFmt w:val="bullet"/>
      <w:lvlText w:val="•"/>
      <w:lvlJc w:val="left"/>
      <w:pPr>
        <w:ind w:left="5043" w:hanging="420"/>
      </w:pPr>
      <w:rPr>
        <w:rFonts w:hint="default"/>
        <w:lang w:val="zh-cn" w:eastAsia="zh-cn" w:bidi="zh-cn"/>
      </w:rPr>
    </w:lvl>
    <w:lvl w:ilvl="6">
      <w:start w:val="0"/>
      <w:numFmt w:val="bullet"/>
      <w:lvlText w:val="•"/>
      <w:lvlJc w:val="left"/>
      <w:pPr>
        <w:ind w:left="5923" w:hanging="420"/>
      </w:pPr>
      <w:rPr>
        <w:rFonts w:hint="default"/>
        <w:lang w:val="zh-cn" w:eastAsia="zh-cn" w:bidi="zh-cn"/>
      </w:rPr>
    </w:lvl>
    <w:lvl w:ilvl="7">
      <w:start w:val="0"/>
      <w:numFmt w:val="bullet"/>
      <w:lvlText w:val="•"/>
      <w:lvlJc w:val="left"/>
      <w:pPr>
        <w:ind w:left="6804" w:hanging="420"/>
      </w:pPr>
      <w:rPr>
        <w:rFonts w:hint="default"/>
        <w:lang w:val="zh-cn" w:eastAsia="zh-cn" w:bidi="zh-cn"/>
      </w:rPr>
    </w:lvl>
    <w:lvl w:ilvl="8">
      <w:start w:val="0"/>
      <w:numFmt w:val="bullet"/>
      <w:lvlText w:val="•"/>
      <w:lvlJc w:val="left"/>
      <w:pPr>
        <w:ind w:left="7685" w:hanging="420"/>
      </w:pPr>
      <w:rPr>
        <w:rFonts w:hint="default"/>
        <w:lang w:val="zh-cn" w:eastAsia="zh-cn" w:bidi="zh-cn"/>
      </w:rPr>
    </w:lvl>
  </w:abstractNum>
  <w:abstractNum w:abstractNumId="2">
    <w:multiLevelType w:val="hybridMultilevel"/>
    <w:lvl w:ilvl="0">
      <w:start w:val="1"/>
      <w:numFmt w:val="decimal"/>
      <w:lvlText w:val="%1."/>
      <w:lvlJc w:val="left"/>
      <w:pPr>
        <w:ind w:left="1514" w:hanging="322"/>
        <w:jc w:val="left"/>
      </w:pPr>
      <w:rPr>
        <w:rFonts w:hint="default" w:ascii="仿宋_GB2312" w:hAnsi="仿宋_GB2312" w:eastAsia="仿宋_GB2312" w:cs="仿宋_GB2312"/>
        <w:b/>
        <w:bCs/>
        <w:spacing w:val="1"/>
        <w:w w:val="98"/>
        <w:sz w:val="30"/>
        <w:szCs w:val="30"/>
        <w:lang w:val="zh-cn" w:eastAsia="zh-cn" w:bidi="zh-cn"/>
      </w:rPr>
    </w:lvl>
    <w:lvl w:ilvl="1">
      <w:start w:val="0"/>
      <w:numFmt w:val="bullet"/>
      <w:lvlText w:val="•"/>
      <w:lvlJc w:val="left"/>
      <w:pPr>
        <w:ind w:left="2362" w:hanging="322"/>
      </w:pPr>
      <w:rPr>
        <w:rFonts w:hint="default"/>
        <w:lang w:val="zh-cn" w:eastAsia="zh-cn" w:bidi="zh-cn"/>
      </w:rPr>
    </w:lvl>
    <w:lvl w:ilvl="2">
      <w:start w:val="0"/>
      <w:numFmt w:val="bullet"/>
      <w:lvlText w:val="•"/>
      <w:lvlJc w:val="left"/>
      <w:pPr>
        <w:ind w:left="3205" w:hanging="322"/>
      </w:pPr>
      <w:rPr>
        <w:rFonts w:hint="default"/>
        <w:lang w:val="zh-cn" w:eastAsia="zh-cn" w:bidi="zh-cn"/>
      </w:rPr>
    </w:lvl>
    <w:lvl w:ilvl="3">
      <w:start w:val="0"/>
      <w:numFmt w:val="bullet"/>
      <w:lvlText w:val="•"/>
      <w:lvlJc w:val="left"/>
      <w:pPr>
        <w:ind w:left="4047" w:hanging="322"/>
      </w:pPr>
      <w:rPr>
        <w:rFonts w:hint="default"/>
        <w:lang w:val="zh-cn" w:eastAsia="zh-cn" w:bidi="zh-cn"/>
      </w:rPr>
    </w:lvl>
    <w:lvl w:ilvl="4">
      <w:start w:val="0"/>
      <w:numFmt w:val="bullet"/>
      <w:lvlText w:val="•"/>
      <w:lvlJc w:val="left"/>
      <w:pPr>
        <w:ind w:left="4890" w:hanging="322"/>
      </w:pPr>
      <w:rPr>
        <w:rFonts w:hint="default"/>
        <w:lang w:val="zh-cn" w:eastAsia="zh-cn" w:bidi="zh-cn"/>
      </w:rPr>
    </w:lvl>
    <w:lvl w:ilvl="5">
      <w:start w:val="0"/>
      <w:numFmt w:val="bullet"/>
      <w:lvlText w:val="•"/>
      <w:lvlJc w:val="left"/>
      <w:pPr>
        <w:ind w:left="5733" w:hanging="322"/>
      </w:pPr>
      <w:rPr>
        <w:rFonts w:hint="default"/>
        <w:lang w:val="zh-cn" w:eastAsia="zh-cn" w:bidi="zh-cn"/>
      </w:rPr>
    </w:lvl>
    <w:lvl w:ilvl="6">
      <w:start w:val="0"/>
      <w:numFmt w:val="bullet"/>
      <w:lvlText w:val="•"/>
      <w:lvlJc w:val="left"/>
      <w:pPr>
        <w:ind w:left="6575" w:hanging="322"/>
      </w:pPr>
      <w:rPr>
        <w:rFonts w:hint="default"/>
        <w:lang w:val="zh-cn" w:eastAsia="zh-cn" w:bidi="zh-cn"/>
      </w:rPr>
    </w:lvl>
    <w:lvl w:ilvl="7">
      <w:start w:val="0"/>
      <w:numFmt w:val="bullet"/>
      <w:lvlText w:val="•"/>
      <w:lvlJc w:val="left"/>
      <w:pPr>
        <w:ind w:left="7418" w:hanging="322"/>
      </w:pPr>
      <w:rPr>
        <w:rFonts w:hint="default"/>
        <w:lang w:val="zh-cn" w:eastAsia="zh-cn" w:bidi="zh-cn"/>
      </w:rPr>
    </w:lvl>
    <w:lvl w:ilvl="8">
      <w:start w:val="0"/>
      <w:numFmt w:val="bullet"/>
      <w:lvlText w:val="•"/>
      <w:lvlJc w:val="left"/>
      <w:pPr>
        <w:ind w:left="8261" w:hanging="322"/>
      </w:pPr>
      <w:rPr>
        <w:rFonts w:hint="default"/>
        <w:lang w:val="zh-cn" w:eastAsia="zh-cn" w:bidi="zh-cn"/>
      </w:rPr>
    </w:lvl>
  </w:abstractNum>
  <w:abstractNum w:abstractNumId="1">
    <w:multiLevelType w:val="hybridMultilevel"/>
    <w:lvl w:ilvl="0">
      <w:start w:val="100"/>
      <w:numFmt w:val="decimal"/>
      <w:lvlText w:val="%1"/>
      <w:lvlJc w:val="left"/>
      <w:pPr>
        <w:ind w:left="1510" w:hanging="962"/>
        <w:jc w:val="left"/>
      </w:pPr>
      <w:rPr>
        <w:rFonts w:hint="default"/>
        <w:lang w:val="zh-cn" w:eastAsia="zh-cn" w:bidi="zh-cn"/>
      </w:rPr>
    </w:lvl>
    <w:lvl w:ilvl="1">
      <w:start w:val="97"/>
      <w:numFmt w:val="decimal"/>
      <w:lvlText w:val="%1.%2"/>
      <w:lvlJc w:val="left"/>
      <w:pPr>
        <w:ind w:left="1510" w:hanging="962"/>
        <w:jc w:val="left"/>
      </w:pPr>
      <w:rPr>
        <w:rFonts w:hint="default" w:ascii="仿宋_GB2312" w:hAnsi="仿宋_GB2312" w:eastAsia="仿宋_GB2312" w:cs="仿宋_GB2312"/>
        <w:spacing w:val="-2"/>
        <w:w w:val="99"/>
        <w:sz w:val="30"/>
        <w:szCs w:val="30"/>
        <w:lang w:val="zh-cn" w:eastAsia="zh-cn" w:bidi="zh-cn"/>
      </w:rPr>
    </w:lvl>
    <w:lvl w:ilvl="2">
      <w:start w:val="1"/>
      <w:numFmt w:val="decimal"/>
      <w:lvlText w:val="%3."/>
      <w:lvlJc w:val="left"/>
      <w:pPr>
        <w:ind w:left="549" w:hanging="344"/>
        <w:jc w:val="left"/>
      </w:pPr>
      <w:rPr>
        <w:rFonts w:hint="default" w:ascii="仿宋_GB2312" w:hAnsi="仿宋_GB2312" w:eastAsia="仿宋_GB2312" w:cs="仿宋_GB2312"/>
        <w:b/>
        <w:bCs/>
        <w:spacing w:val="1"/>
        <w:w w:val="98"/>
        <w:sz w:val="32"/>
        <w:szCs w:val="32"/>
        <w:lang w:val="zh-cn" w:eastAsia="zh-cn" w:bidi="zh-cn"/>
      </w:rPr>
    </w:lvl>
    <w:lvl w:ilvl="3">
      <w:start w:val="0"/>
      <w:numFmt w:val="bullet"/>
      <w:lvlText w:val="•"/>
      <w:lvlJc w:val="left"/>
      <w:pPr>
        <w:ind w:left="3392" w:hanging="344"/>
      </w:pPr>
      <w:rPr>
        <w:rFonts w:hint="default"/>
        <w:lang w:val="zh-cn" w:eastAsia="zh-cn" w:bidi="zh-cn"/>
      </w:rPr>
    </w:lvl>
    <w:lvl w:ilvl="4">
      <w:start w:val="0"/>
      <w:numFmt w:val="bullet"/>
      <w:lvlText w:val="•"/>
      <w:lvlJc w:val="left"/>
      <w:pPr>
        <w:ind w:left="4328" w:hanging="344"/>
      </w:pPr>
      <w:rPr>
        <w:rFonts w:hint="default"/>
        <w:lang w:val="zh-cn" w:eastAsia="zh-cn" w:bidi="zh-cn"/>
      </w:rPr>
    </w:lvl>
    <w:lvl w:ilvl="5">
      <w:start w:val="0"/>
      <w:numFmt w:val="bullet"/>
      <w:lvlText w:val="•"/>
      <w:lvlJc w:val="left"/>
      <w:pPr>
        <w:ind w:left="5265" w:hanging="344"/>
      </w:pPr>
      <w:rPr>
        <w:rFonts w:hint="default"/>
        <w:lang w:val="zh-cn" w:eastAsia="zh-cn" w:bidi="zh-cn"/>
      </w:rPr>
    </w:lvl>
    <w:lvl w:ilvl="6">
      <w:start w:val="0"/>
      <w:numFmt w:val="bullet"/>
      <w:lvlText w:val="•"/>
      <w:lvlJc w:val="left"/>
      <w:pPr>
        <w:ind w:left="6201" w:hanging="344"/>
      </w:pPr>
      <w:rPr>
        <w:rFonts w:hint="default"/>
        <w:lang w:val="zh-cn" w:eastAsia="zh-cn" w:bidi="zh-cn"/>
      </w:rPr>
    </w:lvl>
    <w:lvl w:ilvl="7">
      <w:start w:val="0"/>
      <w:numFmt w:val="bullet"/>
      <w:lvlText w:val="•"/>
      <w:lvlJc w:val="left"/>
      <w:pPr>
        <w:ind w:left="7137" w:hanging="344"/>
      </w:pPr>
      <w:rPr>
        <w:rFonts w:hint="default"/>
        <w:lang w:val="zh-cn" w:eastAsia="zh-cn" w:bidi="zh-cn"/>
      </w:rPr>
    </w:lvl>
    <w:lvl w:ilvl="8">
      <w:start w:val="0"/>
      <w:numFmt w:val="bullet"/>
      <w:lvlText w:val="•"/>
      <w:lvlJc w:val="left"/>
      <w:pPr>
        <w:ind w:left="8073" w:hanging="344"/>
      </w:pPr>
      <w:rPr>
        <w:rFonts w:hint="default"/>
        <w:lang w:val="zh-cn" w:eastAsia="zh-cn" w:bidi="zh-cn"/>
      </w:rPr>
    </w:lvl>
  </w:abstractNum>
  <w:abstractNum w:abstractNumId="0">
    <w:multiLevelType w:val="hybridMultilevel"/>
    <w:lvl w:ilvl="0">
      <w:start w:val="1"/>
      <w:numFmt w:val="decimal"/>
      <w:lvlText w:val="%1."/>
      <w:lvlJc w:val="left"/>
      <w:pPr>
        <w:ind w:left="1514" w:hanging="322"/>
        <w:jc w:val="left"/>
      </w:pPr>
      <w:rPr>
        <w:rFonts w:hint="default" w:ascii="仿宋_GB2312" w:hAnsi="仿宋_GB2312" w:eastAsia="仿宋_GB2312" w:cs="仿宋_GB2312"/>
        <w:b/>
        <w:bCs/>
        <w:spacing w:val="1"/>
        <w:w w:val="98"/>
        <w:sz w:val="30"/>
        <w:szCs w:val="30"/>
        <w:lang w:val="zh-cn" w:eastAsia="zh-cn" w:bidi="zh-cn"/>
      </w:rPr>
    </w:lvl>
    <w:lvl w:ilvl="1">
      <w:start w:val="0"/>
      <w:numFmt w:val="bullet"/>
      <w:lvlText w:val="•"/>
      <w:lvlJc w:val="left"/>
      <w:pPr>
        <w:ind w:left="2362" w:hanging="322"/>
      </w:pPr>
      <w:rPr>
        <w:rFonts w:hint="default"/>
        <w:lang w:val="zh-cn" w:eastAsia="zh-cn" w:bidi="zh-cn"/>
      </w:rPr>
    </w:lvl>
    <w:lvl w:ilvl="2">
      <w:start w:val="0"/>
      <w:numFmt w:val="bullet"/>
      <w:lvlText w:val="•"/>
      <w:lvlJc w:val="left"/>
      <w:pPr>
        <w:ind w:left="3205" w:hanging="322"/>
      </w:pPr>
      <w:rPr>
        <w:rFonts w:hint="default"/>
        <w:lang w:val="zh-cn" w:eastAsia="zh-cn" w:bidi="zh-cn"/>
      </w:rPr>
    </w:lvl>
    <w:lvl w:ilvl="3">
      <w:start w:val="0"/>
      <w:numFmt w:val="bullet"/>
      <w:lvlText w:val="•"/>
      <w:lvlJc w:val="left"/>
      <w:pPr>
        <w:ind w:left="4047" w:hanging="322"/>
      </w:pPr>
      <w:rPr>
        <w:rFonts w:hint="default"/>
        <w:lang w:val="zh-cn" w:eastAsia="zh-cn" w:bidi="zh-cn"/>
      </w:rPr>
    </w:lvl>
    <w:lvl w:ilvl="4">
      <w:start w:val="0"/>
      <w:numFmt w:val="bullet"/>
      <w:lvlText w:val="•"/>
      <w:lvlJc w:val="left"/>
      <w:pPr>
        <w:ind w:left="4890" w:hanging="322"/>
      </w:pPr>
      <w:rPr>
        <w:rFonts w:hint="default"/>
        <w:lang w:val="zh-cn" w:eastAsia="zh-cn" w:bidi="zh-cn"/>
      </w:rPr>
    </w:lvl>
    <w:lvl w:ilvl="5">
      <w:start w:val="0"/>
      <w:numFmt w:val="bullet"/>
      <w:lvlText w:val="•"/>
      <w:lvlJc w:val="left"/>
      <w:pPr>
        <w:ind w:left="5733" w:hanging="322"/>
      </w:pPr>
      <w:rPr>
        <w:rFonts w:hint="default"/>
        <w:lang w:val="zh-cn" w:eastAsia="zh-cn" w:bidi="zh-cn"/>
      </w:rPr>
    </w:lvl>
    <w:lvl w:ilvl="6">
      <w:start w:val="0"/>
      <w:numFmt w:val="bullet"/>
      <w:lvlText w:val="•"/>
      <w:lvlJc w:val="left"/>
      <w:pPr>
        <w:ind w:left="6575" w:hanging="322"/>
      </w:pPr>
      <w:rPr>
        <w:rFonts w:hint="default"/>
        <w:lang w:val="zh-cn" w:eastAsia="zh-cn" w:bidi="zh-cn"/>
      </w:rPr>
    </w:lvl>
    <w:lvl w:ilvl="7">
      <w:start w:val="0"/>
      <w:numFmt w:val="bullet"/>
      <w:lvlText w:val="•"/>
      <w:lvlJc w:val="left"/>
      <w:pPr>
        <w:ind w:left="7418" w:hanging="322"/>
      </w:pPr>
      <w:rPr>
        <w:rFonts w:hint="default"/>
        <w:lang w:val="zh-cn" w:eastAsia="zh-cn" w:bidi="zh-cn"/>
      </w:rPr>
    </w:lvl>
    <w:lvl w:ilvl="8">
      <w:start w:val="0"/>
      <w:numFmt w:val="bullet"/>
      <w:lvlText w:val="•"/>
      <w:lvlJc w:val="left"/>
      <w:pPr>
        <w:ind w:left="8261" w:hanging="322"/>
      </w:pPr>
      <w:rPr>
        <w:rFonts w:hint="default"/>
        <w:lang w:val="zh-cn" w:eastAsia="zh-cn" w:bidi="zh-cn"/>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仿宋_GB2312" w:hAnsi="仿宋_GB2312" w:eastAsia="仿宋_GB2312" w:cs="仿宋_GB2312"/>
      <w:lang w:val="zh-cn" w:eastAsia="zh-cn" w:bidi="zh-cn"/>
    </w:rPr>
  </w:style>
  <w:style w:styleId="BodyText" w:type="paragraph">
    <w:name w:val="Body Text"/>
    <w:basedOn w:val="Normal"/>
    <w:uiPriority w:val="1"/>
    <w:qFormat/>
    <w:pPr/>
    <w:rPr>
      <w:rFonts w:ascii="仿宋_GB2312" w:hAnsi="仿宋_GB2312" w:eastAsia="仿宋_GB2312" w:cs="仿宋_GB2312"/>
      <w:sz w:val="32"/>
      <w:szCs w:val="32"/>
      <w:lang w:val="zh-cn" w:eastAsia="zh-cn" w:bidi="zh-cn"/>
    </w:rPr>
  </w:style>
  <w:style w:styleId="Heading1" w:type="paragraph">
    <w:name w:val="Heading 1"/>
    <w:basedOn w:val="Normal"/>
    <w:uiPriority w:val="1"/>
    <w:qFormat/>
    <w:pPr>
      <w:spacing w:line="891" w:lineRule="exact"/>
      <w:ind w:right="138"/>
      <w:jc w:val="center"/>
      <w:outlineLvl w:val="1"/>
    </w:pPr>
    <w:rPr>
      <w:rFonts w:ascii="微软雅黑" w:hAnsi="微软雅黑" w:eastAsia="微软雅黑" w:cs="微软雅黑"/>
      <w:b/>
      <w:bCs/>
      <w:sz w:val="52"/>
      <w:szCs w:val="52"/>
      <w:lang w:val="zh-cn" w:eastAsia="zh-cn" w:bidi="zh-cn"/>
    </w:rPr>
  </w:style>
  <w:style w:styleId="Heading2" w:type="paragraph">
    <w:name w:val="Heading 2"/>
    <w:basedOn w:val="Normal"/>
    <w:uiPriority w:val="1"/>
    <w:qFormat/>
    <w:pPr>
      <w:spacing w:line="890" w:lineRule="exact"/>
      <w:ind w:right="138"/>
      <w:jc w:val="center"/>
      <w:outlineLvl w:val="2"/>
    </w:pPr>
    <w:rPr>
      <w:rFonts w:ascii="微软雅黑" w:hAnsi="微软雅黑" w:eastAsia="微软雅黑" w:cs="微软雅黑"/>
      <w:sz w:val="52"/>
      <w:szCs w:val="52"/>
      <w:lang w:val="zh-cn" w:eastAsia="zh-cn" w:bidi="zh-cn"/>
    </w:rPr>
  </w:style>
  <w:style w:styleId="Heading3" w:type="paragraph">
    <w:name w:val="Heading 3"/>
    <w:basedOn w:val="Normal"/>
    <w:uiPriority w:val="1"/>
    <w:qFormat/>
    <w:pPr>
      <w:spacing w:before="6"/>
      <w:ind w:left="1844"/>
      <w:outlineLvl w:val="3"/>
    </w:pPr>
    <w:rPr>
      <w:rFonts w:ascii="微软雅黑" w:hAnsi="微软雅黑" w:eastAsia="微软雅黑" w:cs="微软雅黑"/>
      <w:sz w:val="36"/>
      <w:szCs w:val="36"/>
      <w:lang w:val="zh-cn" w:eastAsia="zh-cn" w:bidi="zh-cn"/>
    </w:rPr>
  </w:style>
  <w:style w:styleId="Heading4" w:type="paragraph">
    <w:name w:val="Heading 4"/>
    <w:basedOn w:val="Normal"/>
    <w:uiPriority w:val="1"/>
    <w:qFormat/>
    <w:pPr>
      <w:ind w:left="1192"/>
      <w:outlineLvl w:val="4"/>
    </w:pPr>
    <w:rPr>
      <w:rFonts w:ascii="楷体_GB2312" w:hAnsi="楷体_GB2312" w:eastAsia="楷体_GB2312" w:cs="楷体_GB2312"/>
      <w:b/>
      <w:bCs/>
      <w:sz w:val="32"/>
      <w:szCs w:val="32"/>
      <w:lang w:val="zh-cn" w:eastAsia="zh-cn" w:bidi="zh-cn"/>
    </w:rPr>
  </w:style>
  <w:style w:styleId="ListParagraph" w:type="paragraph">
    <w:name w:val="List Paragraph"/>
    <w:basedOn w:val="Normal"/>
    <w:uiPriority w:val="1"/>
    <w:qFormat/>
    <w:pPr>
      <w:spacing w:before="186"/>
      <w:ind w:left="649" w:hanging="421"/>
    </w:pPr>
    <w:rPr>
      <w:rFonts w:ascii="仿宋_GB2312" w:hAnsi="仿宋_GB2312" w:eastAsia="仿宋_GB2312" w:cs="仿宋_GB2312"/>
      <w:lang w:val="zh-cn" w:eastAsia="zh-cn" w:bidi="zh-cn"/>
    </w:rPr>
  </w:style>
  <w:style w:styleId="TableParagraph" w:type="paragraph">
    <w:name w:val="Table Paragraph"/>
    <w:basedOn w:val="Normal"/>
    <w:uiPriority w:val="1"/>
    <w:qFormat/>
    <w:pPr>
      <w:jc w:val="right"/>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terms:created xsi:type="dcterms:W3CDTF">2023-03-06T08:46:38Z</dcterms:created>
  <dcterms:modified xsi:type="dcterms:W3CDTF">2023-03-06T08:46:38Z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2023-02-07T00:00:00Z</vt:filetime>
  </property>
  <property fmtid="{D5CDD505-2E9C-101B-9397-08002B2CF9AE}" pid="3" name="Creator">
    <vt:lpwstr>Microsoft? Office Word 2007</vt:lpwstr>
  </property>
  <property fmtid="{D5CDD505-2E9C-101B-9397-08002B2CF9AE}" pid="4" name="LastSaved">
    <vt:filetime>2023-03-06T00:00:00Z</vt:filetime>
  </property>
</Properties>
</file>