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b/>
          <w:color w:val="000000"/>
          <w:sz w:val="44"/>
        </w:rPr>
        <w:t>2023年部门预算信息公开目录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40"/>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2</w:t>
      </w:r>
      <w:r>
        <w:fldChar w:fldCharType="end"/>
      </w:r>
      <w:r>
        <w:fldChar w:fldCharType="end"/>
      </w:r>
    </w:p>
    <w:p>
      <w:pPr>
        <w:pStyle w:val="40"/>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4</w:t>
      </w:r>
      <w:r>
        <w:fldChar w:fldCharType="end"/>
      </w:r>
      <w:r>
        <w:fldChar w:fldCharType="end"/>
      </w:r>
    </w:p>
    <w:p>
      <w:pPr>
        <w:pStyle w:val="40"/>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40"/>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6</w:t>
      </w:r>
      <w:r>
        <w:fldChar w:fldCharType="end"/>
      </w:r>
      <w:r>
        <w:fldChar w:fldCharType="end"/>
      </w:r>
    </w:p>
    <w:p>
      <w:pPr>
        <w:pStyle w:val="40"/>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8</w:t>
      </w:r>
      <w:r>
        <w:fldChar w:fldCharType="end"/>
      </w:r>
      <w:r>
        <w:fldChar w:fldCharType="end"/>
      </w:r>
    </w:p>
    <w:p>
      <w:pPr>
        <w:pStyle w:val="40"/>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9</w:t>
      </w:r>
      <w:r>
        <w:fldChar w:fldCharType="end"/>
      </w:r>
      <w:r>
        <w:fldChar w:fldCharType="end"/>
      </w:r>
    </w:p>
    <w:p>
      <w:pPr>
        <w:pStyle w:val="40"/>
        <w:tabs>
          <w:tab w:val="right" w:leader="dot" w:pos="14562"/>
        </w:tabs>
      </w:pPr>
      <w:r>
        <w:fldChar w:fldCharType="begin"/>
      </w:r>
      <w:r>
        <w:instrText>Hyperlink \l "_Toc_2_2_0000000007"</w:instrText>
      </w:r>
      <w:r>
        <w:fldChar w:fldCharType="separate"/>
      </w:r>
      <w:r>
        <w:t>部门预算政府基金预算财政拨款支出表</w:t>
        <w:tab/>
      </w:r>
      <w:r>
        <w:fldChar w:fldCharType="begin"/>
      </w:r>
      <w:r>
        <w:instrText>PAGEREF _Toc_2_2_0000000007 \h</w:instrText>
      </w:r>
      <w:r>
        <w:fldChar w:fldCharType="separate"/>
      </w:r>
      <w:r>
        <w:t>10</w:t>
      </w:r>
      <w:r>
        <w:fldChar w:fldCharType="end"/>
      </w:r>
      <w:r>
        <w:fldChar w:fldCharType="end"/>
      </w:r>
    </w:p>
    <w:p>
      <w:pPr>
        <w:pStyle w:val="40"/>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11</w:t>
      </w:r>
      <w:r>
        <w:fldChar w:fldCharType="end"/>
      </w:r>
      <w:r>
        <w:fldChar w:fldCharType="end"/>
      </w:r>
    </w:p>
    <w:p>
      <w:pPr>
        <w:pStyle w:val="40"/>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40"/>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13</w:t>
      </w:r>
      <w:r>
        <w:fldChar w:fldCharType="end"/>
      </w:r>
      <w:r>
        <w:fldChar w:fldCharType="end"/>
      </w:r>
    </w:p>
    <w:p>
      <w:pPr>
        <w:pStyle w:val="40"/>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14</w:t>
      </w:r>
      <w:r>
        <w:fldChar w:fldCharType="end"/>
      </w:r>
      <w:r>
        <w:fldChar w:fldCharType="end"/>
      </w:r>
    </w:p>
    <w:p>
      <w:pPr>
        <w:pStyle w:val="40"/>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15</w:t>
      </w:r>
      <w:r>
        <w:fldChar w:fldCharType="end"/>
      </w:r>
      <w:r>
        <w:fldChar w:fldCharType="end"/>
      </w:r>
    </w:p>
    <w:p>
      <w:pPr>
        <w:pStyle w:val="40"/>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15</w:t>
      </w:r>
      <w:r>
        <w:fldChar w:fldCharType="end"/>
      </w:r>
      <w:r>
        <w:fldChar w:fldCharType="end"/>
      </w:r>
    </w:p>
    <w:p>
      <w:pPr>
        <w:pStyle w:val="40"/>
        <w:tabs>
          <w:tab w:val="right" w:leader="dot" w:pos="14562"/>
        </w:tabs>
      </w:pPr>
      <w:r>
        <w:fldChar w:fldCharType="begin"/>
      </w:r>
      <w:r>
        <w:instrText>Hyperlink \l "_Toc_3_3_0000000014"</w:instrText>
      </w:r>
      <w:r>
        <w:fldChar w:fldCharType="separate"/>
      </w:r>
      <w:r>
        <w:t>五、预算绩效信息</w:t>
        <w:tab/>
      </w:r>
      <w:r>
        <w:fldChar w:fldCharType="begin"/>
      </w:r>
      <w:r>
        <w:instrText>PAGEREF _Toc_3_3_0000000014 \h</w:instrText>
      </w:r>
      <w:r>
        <w:fldChar w:fldCharType="separate"/>
      </w:r>
      <w:r>
        <w:t>15</w:t>
      </w:r>
      <w:r>
        <w:fldChar w:fldCharType="end"/>
      </w:r>
      <w:r>
        <w:fldChar w:fldCharType="end"/>
      </w:r>
    </w:p>
    <w:p>
      <w:pPr>
        <w:pStyle w:val="40"/>
        <w:tabs>
          <w:tab w:val="right" w:leader="dot" w:pos="14562"/>
        </w:tabs>
      </w:pPr>
      <w:r>
        <w:fldChar w:fldCharType="begin"/>
      </w:r>
      <w:r>
        <w:instrText>Hyperlink \l "_Toc_3_3_0000000015"</w:instrText>
      </w:r>
      <w:r>
        <w:fldChar w:fldCharType="separate"/>
      </w:r>
      <w:r>
        <w:t>六、政府采购预算情况</w:t>
        <w:tab/>
      </w:r>
      <w:r>
        <w:fldChar w:fldCharType="begin"/>
      </w:r>
      <w:r>
        <w:instrText>PAGEREF _Toc_3_3_0000000015 \h</w:instrText>
      </w:r>
      <w:r>
        <w:fldChar w:fldCharType="separate"/>
      </w:r>
      <w:r>
        <w:t>41</w:t>
      </w:r>
      <w:r>
        <w:fldChar w:fldCharType="end"/>
      </w:r>
      <w:r>
        <w:fldChar w:fldCharType="end"/>
      </w:r>
    </w:p>
    <w:p>
      <w:pPr>
        <w:pStyle w:val="40"/>
        <w:tabs>
          <w:tab w:val="right" w:leader="dot" w:pos="14562"/>
        </w:tabs>
      </w:pPr>
      <w:r>
        <w:fldChar w:fldCharType="begin"/>
      </w:r>
      <w:r>
        <w:instrText>Hyperlink \l "_Toc_3_3_0000000016"</w:instrText>
      </w:r>
      <w:r>
        <w:fldChar w:fldCharType="separate"/>
      </w:r>
      <w:r>
        <w:t>七、国有资产信息</w:t>
        <w:tab/>
      </w:r>
      <w:r>
        <w:fldChar w:fldCharType="begin"/>
      </w:r>
      <w:r>
        <w:instrText>PAGEREF _Toc_3_3_0000000016 \h</w:instrText>
      </w:r>
      <w:r>
        <w:fldChar w:fldCharType="separate"/>
      </w:r>
      <w:r>
        <w:t>41</w:t>
      </w:r>
      <w:r>
        <w:fldChar w:fldCharType="end"/>
      </w:r>
      <w:r>
        <w:fldChar w:fldCharType="end"/>
      </w:r>
    </w:p>
    <w:p>
      <w:pPr>
        <w:pStyle w:val="40"/>
        <w:tabs>
          <w:tab w:val="right" w:leader="dot" w:pos="14562"/>
        </w:tabs>
      </w:pPr>
      <w:r>
        <w:fldChar w:fldCharType="begin"/>
      </w:r>
      <w:r>
        <w:instrText>Hyperlink \l "_Toc_3_3_0000000017"</w:instrText>
      </w:r>
      <w:r>
        <w:fldChar w:fldCharType="separate"/>
      </w:r>
      <w:r>
        <w:t>八、名词解释</w:t>
        <w:tab/>
      </w:r>
      <w:r>
        <w:fldChar w:fldCharType="begin"/>
      </w:r>
      <w:r>
        <w:instrText>PAGEREF _Toc_3_3_0000000017 \h</w:instrText>
      </w:r>
      <w:r>
        <w:fldChar w:fldCharType="separate"/>
      </w:r>
      <w:r>
        <w:t>42</w:t>
      </w:r>
      <w:r>
        <w:fldChar w:fldCharType="end"/>
      </w:r>
      <w:r>
        <w:fldChar w:fldCharType="end"/>
      </w:r>
    </w:p>
    <w:p>
      <w:pPr>
        <w:pStyle w:val="40"/>
        <w:tabs>
          <w:tab w:val="right" w:leader="dot" w:pos="14562"/>
        </w:tabs>
      </w:pPr>
      <w:r>
        <w:fldChar w:fldCharType="begin"/>
      </w:r>
      <w:r>
        <w:instrText>Hyperlink \l "_Toc_3_3_0000000018"</w:instrText>
      </w:r>
      <w:r>
        <w:fldChar w:fldCharType="separate"/>
      </w:r>
      <w:r>
        <w:t>九、其他需要说明的事项</w:t>
        <w:tab/>
      </w:r>
      <w:r>
        <w:fldChar w:fldCharType="begin"/>
      </w:r>
      <w:r>
        <w:instrText>PAGEREF _Toc_3_3_0000000018 \h</w:instrText>
      </w:r>
      <w:r>
        <w:fldChar w:fldCharType="separate"/>
      </w:r>
      <w:r>
        <w:t>43</w:t>
      </w:r>
      <w:r>
        <w:fldChar w:fldCharType="end"/>
      </w:r>
      <w:r>
        <w:fldChar w:fldCharType="end"/>
      </w:r>
    </w:p>
    <w:p>
      <w:r>
        <w:fldChar w:fldCharType="end"/>
      </w: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rPr>
          <w:rFonts w:ascii="黑体" w:eastAsia="黑体" w:cs="黑体"/>
          <w:b/>
          <w:color w:val="000000"/>
          <w:sz w:val="30"/>
        </w:rPr>
      </w:pP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eastAsia="方正小标宋_GBK" w:cs="方正小标宋_GBK"/>
          <w:color w:val="000000"/>
          <w:sz w:val="72"/>
        </w:rPr>
      </w:pPr>
      <w:bookmarkStart w:id="0" w:name="_Toc_2_2_0000000001"/>
    </w:p>
    <w:p>
      <w:pPr>
        <w:spacing w:before="0" w:after="0" w:line="240" w:lineRule="auto"/>
        <w:ind w:firstLine="0"/>
        <w:jc w:val="center"/>
        <w:outlineLvl w:val="1"/>
        <w:rPr>
          <w:rFonts w:ascii="方正小标宋_GBK" w:eastAsia="方正小标宋_GBK" w:cs="方正小标宋_GBK"/>
          <w:color w:val="000000"/>
          <w:sz w:val="72"/>
        </w:rPr>
      </w:pPr>
    </w:p>
    <w:p>
      <w:pPr>
        <w:spacing w:before="0" w:after="0" w:line="240" w:lineRule="auto"/>
        <w:ind w:firstLine="0"/>
        <w:jc w:val="center"/>
        <w:outlineLvl w:val="1"/>
        <w:rPr>
          <w:rFonts w:ascii="方正小标宋_GBK" w:eastAsia="方正小标宋_GBK" w:cs="方正小标宋_GBK"/>
          <w:color w:val="000000"/>
          <w:sz w:val="72"/>
        </w:rPr>
      </w:pPr>
    </w:p>
    <w:p>
      <w:pPr>
        <w:spacing w:before="0" w:after="0" w:line="240" w:lineRule="auto"/>
        <w:ind w:firstLine="0"/>
        <w:jc w:val="center"/>
        <w:outlineLvl w:val="1"/>
        <w:rPr>
          <w:rFonts w:ascii="方正小标宋_GBK" w:eastAsia="方正小标宋_GBK" w:cs="方正小标宋_GBK"/>
          <w:color w:val="000000"/>
          <w:sz w:val="72"/>
        </w:rPr>
      </w:pPr>
    </w:p>
    <w:p>
      <w:pPr>
        <w:spacing w:before="0" w:after="0" w:line="240" w:lineRule="auto"/>
        <w:ind w:firstLine="0"/>
        <w:jc w:val="center"/>
        <w:outlineLvl w:val="1"/>
      </w:pPr>
      <w:r>
        <w:rPr>
          <w:rFonts w:ascii="方正小标宋_GBK" w:eastAsia="方正小标宋_GBK" w:cs="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6"/>
        <w:gridCol w:w="2126"/>
        <w:gridCol w:w="4535"/>
        <w:gridCol w:w="2126"/>
      </w:tblGrid>
      <w:tr>
        <w:trPr>
          <w:trHeight w:val="369"/>
          <w:tblHeader/>
        </w:trPr>
        <w:tc>
          <w:tcPr>
            <w:tcW w:w="5386" w:type="dxa"/>
            <w:gridSpan w:val="2"/>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126"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6661"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6661"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收入</w:t>
            </w:r>
          </w:p>
        </w:tc>
        <w:tc>
          <w:tcPr>
            <w:tcW w:w="6661"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预算数</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一、一般公共服务支出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二、外交支出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三、国防支出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四、公共安全支出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五、事业收入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五、教育支出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六、事业单位经营收入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六、科学技术支出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七、上级补助收入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七、文化旅游体育与传媒支出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八、附属单位上缴收入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八、社会保障和就业支出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九、其他收入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九、社会保险基金支出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十、卫生健康支出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十一、节能环保支出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十二、城乡社区支出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十三、农林水支出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十四、交通运输支出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十五、资源勘探工业信息等支出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十六、商业服务业等支出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十七、金融支出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十八、援助其他地区支出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十九、自然资源海洋气象等支出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二十、住房保障支出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二十一、粮油物资储备支出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二十二、国有资本经营预算支出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二十三、灾害防治及应急管理支出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二十四、预备费</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二十五、其他支出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二十六、转移性支出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二十七、债务还本支出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二十八、债务付息支出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二十九、债务发行费用支出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三十、抗疫特别国债安排的支出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三十一、人行科目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本年支出合计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年终结转结余</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支出总计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r>
    </w:tbl>
    <w:p>
      <w:pPr>
        <w:sectPr>
          <w:footerReference w:type="default" r:id="rId2"/>
          <w:footerReference w:type="even" r:id="rId3"/>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3402" w:type="dxa"/>
            <w:gridSpan w:val="3"/>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669" w:type="dxa"/>
            <w:gridSpan w:val="5"/>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68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9071" w:type="dxa"/>
            <w:gridSpan w:val="8"/>
            <w:tcBorders>
              <w:top w:val="single" w:sz="6" w:space="0" w:color="000000"/>
              <w:left w:val="single" w:sz="6" w:space="0" w:color="000000"/>
              <w:bottom w:val="single" w:sz="6" w:space="0" w:color="000000"/>
              <w:right w:val="single" w:sz="6" w:space="0" w:color="000000"/>
            </w:tcBorders>
            <w:vAlign w:val="center"/>
          </w:tcPr>
          <w:p>
            <w:pPr>
              <w:pStyle w:val="18"/>
            </w:pPr>
            <w:r>
              <w:t>本年收入</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上年结转</w:t>
            </w:r>
          </w:p>
        </w:tc>
      </w:tr>
      <w:tr>
        <w:trPr>
          <w:trHeight w:val="369"/>
          <w:tblHeader/>
        </w:trPr>
        <w:tc>
          <w:tcPr>
            <w:tcW w:w="680" w:type="dxa"/>
            <w:vMerge/>
            <w:tcBorders>
              <w:top w:val="single" w:sz="6" w:space="0" w:color="000000"/>
              <w:left w:val="single" w:sz="6" w:space="0" w:color="000000"/>
              <w:bottom w:val="single" w:sz="6" w:space="0" w:color="000000"/>
              <w:right w:val="single" w:sz="6" w:space="0" w:color="000000"/>
            </w:tcBorders>
          </w:tcP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bottom w:val="single" w:sz="6" w:space="0" w:color="000000"/>
              <w:right w:val="single" w:sz="6" w:space="0" w:color="000000"/>
            </w:tcBorders>
          </w:tc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其他收入</w:t>
            </w:r>
          </w:p>
        </w:tc>
        <w:tc>
          <w:tcPr>
            <w:tcW w:w="1134"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68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11</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8"/>
            </w:pPr>
            <w:r>
              <w:t>12</w:t>
            </w: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211</w:t>
            </w:r>
          </w:p>
        </w:tc>
        <w:tc>
          <w:tcPr>
            <w:tcW w:w="1559" w:type="dxa"/>
            <w:vAlign w:val="center"/>
          </w:tcPr>
          <w:p>
            <w:pPr>
              <w:pStyle w:val="20"/>
            </w:pPr>
            <w:r>
              <w:t>节能环保支出</w:t>
            </w:r>
          </w:p>
        </w:tc>
        <w:tc>
          <w:tcPr>
            <w:tcW w:w="1134" w:type="dxa"/>
            <w:vAlign w:val="center"/>
          </w:tcPr>
          <w:p>
            <w:pPr>
              <w:pStyle w:val="19"/>
            </w:pPr>
            <w:r>
              <w:t>6108.83</w:t>
            </w:r>
          </w:p>
        </w:tc>
        <w:tc>
          <w:tcPr>
            <w:tcW w:w="1134" w:type="dxa"/>
            <w:vAlign w:val="center"/>
          </w:tcPr>
          <w:p>
            <w:pPr>
              <w:pStyle w:val="19"/>
            </w:pPr>
            <w:r>
              <w:t>6108.83</w:t>
            </w:r>
          </w:p>
        </w:tc>
        <w:tc>
          <w:tcPr>
            <w:tcW w:w="1134" w:type="dxa"/>
            <w:vAlign w:val="center"/>
          </w:tcPr>
          <w:p>
            <w:pPr>
              <w:pStyle w:val="19"/>
            </w:pPr>
            <w:r>
              <w:t>6108.83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21101</w:t>
            </w:r>
          </w:p>
        </w:tc>
        <w:tc>
          <w:tcPr>
            <w:tcW w:w="1559" w:type="dxa"/>
            <w:vAlign w:val="center"/>
          </w:tcPr>
          <w:p>
            <w:pPr>
              <w:pStyle w:val="20"/>
            </w:pPr>
            <w:r>
              <w:t>环境保护管理事务</w:t>
            </w:r>
          </w:p>
        </w:tc>
        <w:tc>
          <w:tcPr>
            <w:tcW w:w="1134" w:type="dxa"/>
            <w:vAlign w:val="center"/>
          </w:tcPr>
          <w:p>
            <w:pPr>
              <w:pStyle w:val="19"/>
            </w:pPr>
            <w:r>
              <w:t>314.28</w:t>
            </w:r>
          </w:p>
        </w:tc>
        <w:tc>
          <w:tcPr>
            <w:tcW w:w="1134" w:type="dxa"/>
            <w:vAlign w:val="center"/>
          </w:tcPr>
          <w:p>
            <w:pPr>
              <w:pStyle w:val="19"/>
            </w:pPr>
            <w:r>
              <w:t>314.28</w:t>
            </w:r>
          </w:p>
        </w:tc>
        <w:tc>
          <w:tcPr>
            <w:tcW w:w="1134" w:type="dxa"/>
            <w:vAlign w:val="center"/>
          </w:tcPr>
          <w:p>
            <w:pPr>
              <w:pStyle w:val="19"/>
            </w:pPr>
            <w:r>
              <w:t>314.28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2110105</w:t>
            </w:r>
          </w:p>
        </w:tc>
        <w:tc>
          <w:tcPr>
            <w:tcW w:w="1559" w:type="dxa"/>
            <w:vAlign w:val="center"/>
          </w:tcPr>
          <w:p>
            <w:pPr>
              <w:pStyle w:val="20"/>
            </w:pPr>
            <w:r>
              <w:t>环境保护法规、规划及标准</w:t>
            </w:r>
          </w:p>
        </w:tc>
        <w:tc>
          <w:tcPr>
            <w:tcW w:w="1134" w:type="dxa"/>
            <w:vAlign w:val="center"/>
          </w:tcPr>
          <w:p>
            <w:pPr>
              <w:pStyle w:val="19"/>
            </w:pPr>
            <w:r>
              <w:t>38.50</w:t>
            </w:r>
          </w:p>
        </w:tc>
        <w:tc>
          <w:tcPr>
            <w:tcW w:w="1134" w:type="dxa"/>
            <w:vAlign w:val="center"/>
          </w:tcPr>
          <w:p>
            <w:pPr>
              <w:pStyle w:val="19"/>
            </w:pPr>
            <w:r>
              <w:t>38.50</w:t>
            </w:r>
          </w:p>
        </w:tc>
        <w:tc>
          <w:tcPr>
            <w:tcW w:w="1134" w:type="dxa"/>
            <w:vAlign w:val="center"/>
          </w:tcPr>
          <w:p>
            <w:pPr>
              <w:pStyle w:val="19"/>
            </w:pPr>
            <w:r>
              <w:t>38.50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2110199</w:t>
            </w:r>
          </w:p>
        </w:tc>
        <w:tc>
          <w:tcPr>
            <w:tcW w:w="1559" w:type="dxa"/>
            <w:vAlign w:val="center"/>
          </w:tcPr>
          <w:p>
            <w:pPr>
              <w:pStyle w:val="20"/>
            </w:pPr>
            <w:r>
              <w:t>其他环境保护管理事务支出</w:t>
            </w:r>
          </w:p>
        </w:tc>
        <w:tc>
          <w:tcPr>
            <w:tcW w:w="1134" w:type="dxa"/>
            <w:vAlign w:val="center"/>
          </w:tcPr>
          <w:p>
            <w:pPr>
              <w:pStyle w:val="19"/>
            </w:pPr>
            <w:r>
              <w:t>275.78</w:t>
            </w:r>
          </w:p>
        </w:tc>
        <w:tc>
          <w:tcPr>
            <w:tcW w:w="1134" w:type="dxa"/>
            <w:vAlign w:val="center"/>
          </w:tcPr>
          <w:p>
            <w:pPr>
              <w:pStyle w:val="19"/>
            </w:pPr>
            <w:r>
              <w:t>275.78</w:t>
            </w:r>
          </w:p>
        </w:tc>
        <w:tc>
          <w:tcPr>
            <w:tcW w:w="1134" w:type="dxa"/>
            <w:vAlign w:val="center"/>
          </w:tcPr>
          <w:p>
            <w:pPr>
              <w:pStyle w:val="19"/>
            </w:pPr>
            <w:r>
              <w:t>275.78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21103</w:t>
            </w:r>
          </w:p>
        </w:tc>
        <w:tc>
          <w:tcPr>
            <w:tcW w:w="1559" w:type="dxa"/>
            <w:vAlign w:val="center"/>
          </w:tcPr>
          <w:p>
            <w:pPr>
              <w:pStyle w:val="20"/>
            </w:pPr>
            <w:r>
              <w:t>污染防治</w:t>
            </w:r>
          </w:p>
        </w:tc>
        <w:tc>
          <w:tcPr>
            <w:tcW w:w="1134" w:type="dxa"/>
            <w:vAlign w:val="center"/>
          </w:tcPr>
          <w:p>
            <w:pPr>
              <w:pStyle w:val="19"/>
            </w:pPr>
            <w:r>
              <w:t>5400.43</w:t>
            </w:r>
          </w:p>
        </w:tc>
        <w:tc>
          <w:tcPr>
            <w:tcW w:w="1134" w:type="dxa"/>
            <w:vAlign w:val="center"/>
          </w:tcPr>
          <w:p>
            <w:pPr>
              <w:pStyle w:val="19"/>
            </w:pPr>
            <w:r>
              <w:t>5400.43</w:t>
            </w:r>
          </w:p>
        </w:tc>
        <w:tc>
          <w:tcPr>
            <w:tcW w:w="1134" w:type="dxa"/>
            <w:vAlign w:val="center"/>
          </w:tcPr>
          <w:p>
            <w:pPr>
              <w:pStyle w:val="19"/>
            </w:pPr>
            <w:r>
              <w:t>5400.43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0"/>
            </w:pPr>
            <w:r>
              <w:t>大气</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2110302</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0"/>
            </w:pPr>
            <w:r>
              <w:t>水体</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2110303</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0"/>
            </w:pPr>
            <w:r>
              <w:t>噪声</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2110307</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0"/>
            </w:pPr>
            <w:r>
              <w:t>土壤</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21111</w:t>
            </w:r>
          </w:p>
        </w:tc>
        <w:tc>
          <w:tcPr>
            <w:tcW w:w="1559" w:type="dxa"/>
            <w:vAlign w:val="center"/>
          </w:tcPr>
          <w:p>
            <w:pPr>
              <w:pStyle w:val="20"/>
            </w:pPr>
            <w:r>
              <w:t>污染减排</w:t>
            </w:r>
          </w:p>
        </w:tc>
        <w:tc>
          <w:tcPr>
            <w:tcW w:w="1134" w:type="dxa"/>
            <w:vAlign w:val="center"/>
          </w:tcPr>
          <w:p>
            <w:pPr>
              <w:pStyle w:val="19"/>
            </w:pPr>
            <w:r>
              <w:t>394.12</w:t>
            </w:r>
          </w:p>
        </w:tc>
        <w:tc>
          <w:tcPr>
            <w:tcW w:w="1134" w:type="dxa"/>
            <w:vAlign w:val="center"/>
          </w:tcPr>
          <w:p>
            <w:pPr>
              <w:pStyle w:val="19"/>
            </w:pPr>
            <w:r>
              <w:t>394.12</w:t>
            </w:r>
          </w:p>
        </w:tc>
        <w:tc>
          <w:tcPr>
            <w:tcW w:w="1134" w:type="dxa"/>
            <w:vAlign w:val="center"/>
          </w:tcPr>
          <w:p>
            <w:pPr>
              <w:pStyle w:val="19"/>
            </w:pPr>
            <w:r>
              <w:t>394.12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2111101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0"/>
            </w:pPr>
            <w:r>
              <w:t>生态环境监测与信息</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tblHeader/>
        </w:trPr>
        <w:tc>
          <w:tcPr>
            <w:tcW w:w="6378"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721"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443" w:type="dxa"/>
            <w:gridSpan w:val="4"/>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5528"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上解上级     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对附属单位补助支出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7</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8"/>
            </w:pPr>
            <w:r>
              <w:t>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r>
              <w:t>5924.05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3"/>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节能环保支出</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5924.05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环境保护管理事务</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314.28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129.50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4</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2110105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环境保护法规、规划及标准</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38.50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38.50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5</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其他环境保护管理事务支出</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275.78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91.00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污染防治</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5400.43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5400.43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大气</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水体</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噪声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2110307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土壤</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污染减排</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0"/>
            </w:pPr>
            <w:r>
              <w:t>2111101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生态环境监测与信息</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3402"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896" w:type="dxa"/>
            <w:gridSpan w:val="4"/>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4876"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收入</w:t>
            </w:r>
          </w:p>
        </w:tc>
        <w:tc>
          <w:tcPr>
            <w:tcW w:w="9298" w:type="dxa"/>
            <w:gridSpan w:val="5"/>
            <w:tcBorders>
              <w:top w:val="single" w:sz="6" w:space="0" w:color="000000"/>
              <w:left w:val="single" w:sz="6" w:space="0" w:color="000000"/>
              <w:bottom w:val="single" w:sz="6" w:space="0" w:color="000000"/>
              <w:right w:val="single" w:sz="6" w:space="0" w:color="000000"/>
            </w:tcBorders>
            <w:vAlign w:val="center"/>
          </w:tcPr>
          <w:p>
            <w:pPr>
              <w:pStyle w:val="18"/>
            </w:pPr>
            <w:r>
              <w:t>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政府性基金预算财政    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国有资本经营预算财政拨款</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6</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8"/>
            </w:pPr>
            <w:r>
              <w:t>7</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6108.83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5924.05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节能环保支出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6108.83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5924.05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环境保护管理事务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314.28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129.50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4</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2110105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环境保护法规、规划及标准</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38.50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38.50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5</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其他环境保护管理事务支出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275.78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91.00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污染防治</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5400.43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5400.43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大气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640.74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水体</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4713.94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2110303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噪声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18.95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2110307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土壤</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26.80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污染减排</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2111101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生态环境监测与信息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394.12</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支出部门经济分类科目</w:t>
            </w:r>
          </w:p>
        </w:tc>
        <w:tc>
          <w:tcPr>
            <w:tcW w:w="7654" w:type="dxa"/>
            <w:gridSpan w:val="3"/>
            <w:tcBorders>
              <w:top w:val="single" w:sz="6" w:space="0" w:color="000000"/>
              <w:left w:val="single" w:sz="6" w:space="0" w:color="000000"/>
              <w:bottom w:val="single" w:sz="6" w:space="0" w:color="000000"/>
              <w:right w:val="single" w:sz="6" w:space="0" w:color="000000"/>
            </w:tcBorders>
            <w:vAlign w:val="center"/>
          </w:tcPr>
          <w:p>
            <w:pPr>
              <w:pStyle w:val="18"/>
            </w:pPr>
            <w:r>
              <w:t>一般公共预算基本支出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人员经费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公用经费</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3"/>
            </w:pPr>
            <w:r>
              <w:t>20.04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4</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11.04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11.04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5</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2.28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2.28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30208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取暖费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1.20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1.20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7</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8</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30213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维修(护)费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9</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1.18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1.18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10</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30229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福利费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0.95</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0.95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0.11</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0.11</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310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资本性支出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r>
              <w:t>13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r>
              <w:t>31002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r>
              <w:t>办公设备购置</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tblHeader/>
        </w:trPr>
        <w:tc>
          <w:tcPr>
            <w:tcW w:w="7030"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238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预算年度：2023</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序号</w:t>
            </w:r>
          </w:p>
        </w:tc>
        <w:tc>
          <w:tcPr>
            <w:tcW w:w="3798"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9524" w:type="dxa"/>
            <w:gridSpan w:val="4"/>
            <w:tcBorders>
              <w:top w:val="single" w:sz="6" w:space="0" w:color="000000"/>
              <w:left w:val="single" w:sz="6" w:space="0" w:color="000000"/>
              <w:bottom w:val="single" w:sz="6" w:space="0" w:color="000000"/>
              <w:right w:val="single" w:sz="6" w:space="0" w:color="000000"/>
            </w:tcBorders>
            <w:vAlign w:val="center"/>
          </w:tcPr>
          <w:p>
            <w:pPr>
              <w:pStyle w:val="18"/>
            </w:pPr>
            <w:r>
              <w:t>资 金 性 质</w:t>
            </w:r>
          </w:p>
        </w:tc>
      </w:tr>
      <w:tr>
        <w:trPr>
          <w:trHeight w:val="567"/>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3798" w:type="dxa"/>
            <w:vMerge/>
            <w:tcBorders>
              <w:top w:val="single" w:sz="6" w:space="0" w:color="000000"/>
              <w:left w:val="single" w:sz="6" w:space="0" w:color="000000"/>
              <w:bottom w:val="single" w:sz="6" w:space="0" w:color="000000"/>
              <w:right w:val="single" w:sz="6" w:space="0" w:color="000000"/>
            </w:tcBorders>
          </w:tc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政府性基金                  预算拨款</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国有资本经营              预算财政拨款</w:t>
            </w:r>
          </w:p>
        </w:tc>
      </w:tr>
      <w:tr>
        <w:trPr>
          <w:trHeight w:val="567"/>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8"/>
            </w:pPr>
            <w:r>
              <w:t>栏次</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4</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8"/>
            </w:pPr>
            <w:r>
              <w:t>5</w:t>
            </w:r>
          </w:p>
        </w:tc>
      </w:tr>
      <w:tr>
        <w:trPr>
          <w:trHeight w:val="567"/>
        </w:trPr>
        <w:tc>
          <w:tcPr>
            <w:tcW w:w="850"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p>
        </w:tc>
      </w:tr>
    </w:tbl>
    <w:p>
      <w:pPr>
        <w:spacing w:before="0" w:after="0" w:line="240" w:lineRule="auto"/>
        <w:ind w:firstLine="420"/>
        <w:jc w:val="left"/>
        <w:outlineLvl w:val="9"/>
      </w:pPr>
      <w:r>
        <w:rPr>
          <w:rFonts w:asci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color w:val="FFFFFF"/>
          <w:sz w:val="21"/>
        </w:rPr>
        <w:t>第一部分  保定市生态环境局高阳县分局2023年部门预算信息公开情况说明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保定市生态环境局高阳县分局2023年部门预算信息公开情况说明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w:t>
      </w:r>
      <w:r>
        <w:rPr>
          <w:rFonts w:eastAsia="方正仿宋_GBK" w:cs="Times New Roman" w:hint="eastAsia"/>
          <w:color w:val="000000"/>
          <w:sz w:val="28"/>
          <w:lang w:eastAsia="zh-CN"/>
        </w:rPr>
        <w:t>《中华人民共和国预算法》</w:t>
      </w:r>
      <w:r>
        <w:rPr>
          <w:rFonts w:ascii="Times New Roman" w:eastAsia="方正仿宋_GBK" w:cs="Times New Roman" w:hAnsi="Times New Roman"/>
          <w:color w:val="000000"/>
          <w:sz w:val="28"/>
        </w:rPr>
        <w:t>、《地方预决算公开操作规程》和《关于进一步推进预算公开工作的实施意见》规定，现将保定市生态环境局高阳县分局2023年部门预算公开如下：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25"/>
      </w:pPr>
      <w:r>
        <w:t>（一）贯彻实施国家、省、市环境保护法律、法规、标准及规章、办法；负责环境保护行政处罚和行政应诉工作。</w:t>
      </w:r>
    </w:p>
    <w:p>
      <w:pPr>
        <w:pStyle w:val="25"/>
      </w:pPr>
      <w:r>
        <w:t>（二）参与全县重大经济和技术政策、发展规划以及重大经济开发计划进行的环境影响评价工作；组织制定县域污染防治规划和生态保护规划。</w:t>
      </w:r>
    </w:p>
    <w:p>
      <w:pPr>
        <w:pStyle w:val="25"/>
      </w:pPr>
      <w:r>
        <w:t>（三）负责辖区内环境监察、现场检查污染治理设施运行情况及“三同时”和排污许可证执行情况；负责污染源限期治理和环境保护行政稽查等各项活动。</w:t>
      </w:r>
    </w:p>
    <w:p>
      <w:pPr>
        <w:pStyle w:val="25"/>
      </w:pPr>
      <w:r>
        <w:t>（四）组织实施各项环境管理制度；按有关规定和权限审批开展建设活动环境影响报告书（表）；参与指导城乡环境综合整治；管理农村生态环境保护工作。</w:t>
      </w:r>
    </w:p>
    <w:p>
      <w:pPr>
        <w:pStyle w:val="25"/>
      </w:pPr>
      <w:r>
        <w:t>（五）组织和协调全县的环境保护宣传教育工作。</w:t>
      </w:r>
    </w:p>
    <w:p>
      <w:pPr>
        <w:pStyle w:val="25"/>
      </w:pPr>
      <w:r>
        <w:t>（六）负责全县范围内的环境监测工作。</w:t>
      </w:r>
    </w:p>
    <w:p>
      <w:pPr>
        <w:pStyle w:val="25"/>
      </w:pPr>
      <w:r>
        <w:t>（七）承办人大、政协有关环境保护的提案、议案；处理群众来信来访工作。</w:t>
      </w:r>
    </w:p>
    <w:p>
      <w:pPr>
        <w:pStyle w:val="25"/>
      </w:pPr>
      <w:r>
        <w:t>（八）调查处理环境污染事故和生态破坏事件；协调辖区内的环境污染纠纷。</w:t>
      </w:r>
    </w:p>
    <w:p>
      <w:pPr>
        <w:pStyle w:val="25"/>
      </w:pPr>
      <w:r>
        <w:t>（九）承担县政府及上级业务主管部门交办的其他事项。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tcBorders>
              <w:top w:val="single" w:sz="6" w:space="0" w:color="000000"/>
              <w:left w:val="single" w:sz="6" w:space="0" w:color="000000"/>
              <w:bottom w:val="single" w:sz="6" w:space="0" w:color="000000"/>
              <w:right w:val="single" w:sz="6" w:space="0" w:color="000000"/>
            </w:tcBorders>
            <w:vAlign w:val="center"/>
          </w:tcPr>
          <w:p>
            <w:pPr>
              <w:pStyle w:val="18"/>
            </w:pPr>
            <w:r>
              <w:t>单位名称</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18"/>
            </w:pPr>
            <w:r>
              <w:t>单位性质</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单位规格</w:t>
            </w:r>
          </w:p>
        </w:tc>
        <w:tc>
          <w:tcPr>
            <w:tcW w:w="3827" w:type="dxa"/>
            <w:tcBorders>
              <w:top w:val="single" w:sz="6" w:space="0" w:color="000000"/>
              <w:left w:val="single" w:sz="6" w:space="0" w:color="000000"/>
              <w:bottom w:val="single" w:sz="6" w:space="0" w:color="000000"/>
              <w:right w:val="single" w:sz="6" w:space="0" w:color="000000"/>
            </w:tcBorders>
            <w:vAlign w:val="center"/>
          </w:tcPr>
          <w:p>
            <w:pPr>
              <w:pStyle w:val="18"/>
            </w:pPr>
            <w:r>
              <w:t>经费保障形式</w:t>
            </w:r>
          </w:p>
        </w:tc>
      </w:tr>
      <w:tr>
        <w:trPr>
          <w:trHeight w:val="369"/>
        </w:trPr>
        <w:tc>
          <w:tcPr>
            <w:tcW w:w="5669" w:type="dxa"/>
            <w:tcBorders>
              <w:top w:val="single" w:sz="6" w:space="0" w:color="000000"/>
              <w:left w:val="single" w:sz="6" w:space="0" w:color="000000"/>
              <w:bottom w:val="single" w:sz="6" w:space="0" w:color="000000"/>
              <w:right w:val="single" w:sz="6" w:space="0" w:color="000000"/>
            </w:tcBorders>
            <w:vAlign w:val="center"/>
          </w:tcPr>
          <w:p>
            <w:pPr>
              <w:pStyle w:val="20"/>
            </w:pPr>
            <w:r>
              <w:t>保定市生态环境局高阳县分局</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1"/>
            </w:pPr>
            <w:r>
              <w:t>正科级</w:t>
            </w:r>
          </w:p>
        </w:tc>
        <w:tc>
          <w:tcPr>
            <w:tcW w:w="3827" w:type="dxa"/>
            <w:tcBorders>
              <w:top w:val="single" w:sz="6" w:space="0" w:color="000000"/>
              <w:left w:val="single" w:sz="6" w:space="0" w:color="000000"/>
              <w:bottom w:val="single" w:sz="6" w:space="0" w:color="000000"/>
              <w:right w:val="single" w:sz="6" w:space="0" w:color="000000"/>
            </w:tcBorders>
            <w:vAlign w:val="center"/>
          </w:tcPr>
          <w:p>
            <w:pPr>
              <w:pStyle w:val="21"/>
            </w:pPr>
            <w:r>
              <w:t>财政性资金零补助</w:t>
            </w:r>
          </w:p>
        </w:tc>
      </w:tr>
    </w:tbl>
    <w:p>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eastAsia="方正仿宋_GBK" w:cs="Times New Roman" w:hAnsi="Times New Roman"/>
          <w:color w:val="000000"/>
          <w:sz w:val="28"/>
        </w:rPr>
        <w:t>按照预算管理有关规定，目前我省部门预算的编制实行综合预算管理，即全部收入和支出都反映在预算中。保定市生态环境局高阳县分局机关及所属事业单位的收支包含在部门预算中。</w:t>
      </w:r>
    </w:p>
    <w:p>
      <w:pPr>
        <w:pStyle w:val="26"/>
      </w:pPr>
      <w:r>
        <w:t>1、收入说明</w:t>
      </w:r>
    </w:p>
    <w:p>
      <w:pPr>
        <w:pStyle w:val="26"/>
      </w:pPr>
      <w:r>
        <w:t>反映本部门当年全部收入。2023 年预算收入 6108.83万元，其中：一般公共预算收入6108.83 万元，基金预算收入0万元，国有资本经营预算收入0万元，财政专户核拨收入0万元，单位资金收入 0 万元，上年结转结余 0万元。</w:t>
      </w:r>
    </w:p>
    <w:p>
      <w:pPr>
        <w:pStyle w:val="26"/>
      </w:pPr>
      <w:r>
        <w:t>2、支出说明</w:t>
      </w:r>
    </w:p>
    <w:p>
      <w:pPr>
        <w:pStyle w:val="26"/>
      </w:pPr>
      <w:r>
        <w:t>收支预算总表支出栏、基本支出表、项目支出表按经济分类和支出功能分类科目编制，反映保定市生态环境局高阳县分局年度部门预算中支出预算的总体情况。2023 年支出预算6108.83 万元，其中基本支出184.78万元，包括人员经费164.74万元和日常公用经费20.04万元；项目支出5924.05万元，主要为白洋淀流域高阳县孝义河蒲口镇水环境综合治理专项资金、高阳县农业面源污染治理专项资金等。</w:t>
      </w:r>
    </w:p>
    <w:p>
      <w:pPr>
        <w:pStyle w:val="26"/>
      </w:pPr>
      <w:r>
        <w:t>3、比上年增减情况</w:t>
      </w:r>
    </w:p>
    <w:p>
      <w:pPr>
        <w:pStyle w:val="26"/>
      </w:pPr>
      <w:r>
        <w:t>2023 年预算收支安排6108.83 万元，较 2022年预算增加3683.19万元，其中：基本支出减少 23.95万元，主要减少日常公用经费中劳务费支出和办公设备购置支出等；项目支出增加3707.14万元，主要为增加白洋淀流域高阳县孝义河蒲口镇水环境综合治理专项资金、高阳县农业面源污染治理专项资金等。</w:t>
      </w:r>
    </w:p>
    <w:p>
      <w:pPr>
        <w:spacing w:before="10" w:after="10" w:line="360" w:lineRule="auto"/>
        <w:ind w:firstLine="640"/>
        <w:jc w:val="left"/>
        <w:outlineLvl w:val="2"/>
      </w:pPr>
      <w:bookmarkStart w:id="11" w:name="_Toc_3_3_0000000012"/>
      <w:r>
        <w:rPr>
          <w:rFonts w:ascii="黑体" w:eastAsia="黑体" w:cs="黑体"/>
          <w:color w:val="000000"/>
          <w:sz w:val="32"/>
        </w:rPr>
        <w:t>三、机关运行经费安排情况</w:t>
      </w:r>
      <w:bookmarkEnd w:id="11"/>
    </w:p>
    <w:p>
      <w:pPr>
        <w:pStyle w:val="27"/>
      </w:pPr>
      <w:r>
        <w:t>2023年，我部门机关运行经费共计安排20.04万元，主要用于日常维修、办公用房水电费、办公用房取暖费、办公用房物业管理费等日常运行支出。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pStyle w:val="28"/>
      </w:pPr>
      <w:r>
        <w:t>2023年，我部门财政拨款“三公”经费预算安排0万元，其中因公出国（境）费0万元；公务用车购置及运维费0万元（其中：公务用车购置费为0万元，公务用车运维费0万元)；公务接待费 0万元。与2022年相比无增减变化。</w:t>
      </w:r>
    </w:p>
    <w:p>
      <w:pPr>
        <w:spacing w:before="10" w:after="10" w:line="360" w:lineRule="auto"/>
        <w:ind w:firstLine="640"/>
        <w:jc w:val="left"/>
        <w:outlineLvl w:val="2"/>
      </w:pPr>
      <w:bookmarkStart w:id="13" w:name="_Toc_3_3_0000000014"/>
      <w:r>
        <w:rPr>
          <w:rFonts w:ascii="黑体" w:eastAsia="黑体" w:cs="黑体"/>
          <w:color w:val="000000"/>
          <w:sz w:val="32"/>
        </w:rPr>
        <w:t>五、预算绩效信息</w:t>
      </w:r>
      <w:bookmarkEnd w:id="13"/>
    </w:p>
    <w:p>
      <w:pPr>
        <w:spacing w:before="0" w:after="0" w:line="240" w:lineRule="auto"/>
        <w:ind w:firstLine="640"/>
        <w:jc w:val="left"/>
        <w:outlineLvl w:val="9"/>
      </w:pPr>
      <w:r>
        <w:rPr>
          <w:rFonts w:asci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坚持以习近平生态文明思想为指导，严格按照习近平总书记关于“环境质量只能变好不能变坏”的要求，突出精准治污、科学治污、依法治污，紧盯重点区域、重点领域、重点时段和重点问题，保持战略定力，开展持续攻坚，全力抓重点、补短板、强弱项，以最严厉措施、最严格制度、最严密法治，坚决打赢污染防治攻坚战，确保GDP二氧化碳排放、PM2.5年均浓度等生态环境约束性指标完成市下达任务。2023年水环境质量改善目标，地表水考核断面优良（达到或好于Ⅲ类）比例达到考核要求。</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1、持续改善大气环境质量</w:t>
      </w:r>
    </w:p>
    <w:p>
      <w:pPr>
        <w:pStyle w:val="30"/>
      </w:pPr>
      <w:r>
        <w:t>一是巩固“退后十”成果，强化重点区域管控，大幅削减污染排放，狠抓污染源排查整治。二是保障空气质量，细化完善重点时段管控清单，强力推动农村地区散煤替代和工业企业深度治理。三是打好污染天气消除攻坚战，统筹考虑PM2.5污染区域分布和季节性特征，持续开展秋冬季攻坚行动，持续增加优良天气，完善区域联防联治机制。四是强化扬尘面源污染防治，建立并公布重点扬尘污染源清单，持续开展扬尘污染防治攻坚行动，加强施工工地扬尘精细管控。五是打好夏季臭氧污染防治攻坚战，着力推进VOCs和NOx物协同减排，加强源头替代，过程防控、末端治理全流程管控，开展无组织排放排查整治，确保稳定达标。六是深化工业企业绩效评级，开展“升A晋B”行动，全力帮扶重点行业企业实施超低排放改造和设备治理，提升绩效水平。</w:t>
      </w:r>
    </w:p>
    <w:p>
      <w:pPr>
        <w:pStyle w:val="30"/>
      </w:pPr>
      <w:r>
        <w:t>2、持续推进水环境质量改善</w:t>
      </w:r>
    </w:p>
    <w:p>
      <w:pPr>
        <w:pStyle w:val="30"/>
      </w:pPr>
      <w:r>
        <w:t>一是深入推进白洋淀流域治理修复。科学实施生态清淤和内源污染治理工程，确保削减污染负荷，促进治理区域水质改善。二是持续深化流域水环境综合治理。强化河湖精准施策，加强水功能区环境管理，推进美丽河湖保护与建设。三是优先保障饮用水水质安全。推进乡镇级集中式饮用水水源保护区划分，保障饮用水水源安全。四是扎实开展水生态保护修复。推进生态缓冲带建设，开展重点控制断面周边生态缓冲带建设，提升生态系统完整性。</w:t>
      </w:r>
    </w:p>
    <w:p>
      <w:pPr>
        <w:pStyle w:val="30"/>
      </w:pPr>
      <w:r>
        <w:t>3、积极防控土壤污染风险</w:t>
      </w:r>
    </w:p>
    <w:p>
      <w:pPr>
        <w:pStyle w:val="30"/>
      </w:pPr>
      <w:r>
        <w:t>一是抓好重点企业监管。以土壤重点监管单位隐患排查和自行监测为抓手，强化重点污染源监管，防止新增污染。二是管控建设用地土壤污染风险。突出精准和精细，以用途变更为“一住两公”（住宅、公共管理与公共服务用地）的地块为重点，加强和规范调查评估，严格用地准入管理，坚决杜绝违规开发利用，切实保障人居环境安全。</w:t>
      </w:r>
    </w:p>
    <w:p>
      <w:pPr>
        <w:pStyle w:val="30"/>
      </w:pPr>
      <w:r>
        <w:t>4、进一步加强自然生态保护</w:t>
      </w:r>
    </w:p>
    <w:p>
      <w:pPr>
        <w:pStyle w:val="30"/>
      </w:pPr>
      <w:r>
        <w:t>一是积极开展生态文明创建示范活动。二是强化自然保护区和生态保护红线监管。实施自然保护地和生态保护红线人类活动遥感监测。三是加强生物多样性保护和外来物种防治。启动国家、省级自然保护区生物多样性普查工作，继续开展白洋淀南水北调中线生态补水常态化水生生物监测。</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1、贯彻落实预算绩效管理改革要求</w:t>
      </w:r>
    </w:p>
    <w:p>
      <w:pPr>
        <w:pStyle w:val="31"/>
      </w:pPr>
      <w:r>
        <w:t>按照全面实施预算绩效管理的要求，规范预算项目管理，科学设定预算绩效目标、指标。全面实施新增重大政策、重大专项事前绩效评估管理，对重大专项立项必要性、实施可行性、绩效目标合理性等进行论证评估，提高决策的科学性和精准性。配合财政部门开展部门整体绩效评价和财政重点评价，建立评价结果与改进管理挂钩机制，调整优化支出结构，提高财政资金使用效益。强化机关各预算单位绩效管理意识，促进预算绩效管理水平进一步提升。</w:t>
      </w:r>
    </w:p>
    <w:p>
      <w:pPr>
        <w:pStyle w:val="31"/>
      </w:pPr>
      <w:r>
        <w:t>2、逐步完善财务预算管理制度建设</w:t>
      </w:r>
    </w:p>
    <w:p>
      <w:pPr>
        <w:pStyle w:val="31"/>
      </w:pPr>
      <w:r>
        <w:t>建立健全预算编制、政府采购、绩效评价、责任追究等制度体系。为切实规范预算编制、预算执行、政府采购、固定资产管理等工作，提高财务管理水平，结合运行效果进一步完善财务规章制度，严格预算执行、政府采购、支出管控等方面的规章制度，严格预算执行，加强审批程序，规范支出管理，确保达到支出进度要求。</w:t>
      </w:r>
    </w:p>
    <w:p>
      <w:pPr>
        <w:pStyle w:val="31"/>
      </w:pPr>
      <w:r>
        <w:t>3、建立健全内部监督制度体系</w:t>
      </w:r>
    </w:p>
    <w:p>
      <w:pPr>
        <w:pStyle w:val="31"/>
      </w:pPr>
      <w:r>
        <w:t>加强内部监督制度建设，对绩效运行情况、重大支出决策、资产处置及其他重要经济业务事项的决策和执行进行督导。加大内部审计监督力度，对各单位预算编制规范性、合理性、科学性，预算执行情况，支出进度情况、资金支出等情况进行全面审计，查找财务管理中的问题和薄弱环节，为推进财务管理全面发展提供有力保障。配合做好审计、财政监督等外部监督工作，确保财政资金安全有效。</w:t>
      </w:r>
    </w:p>
    <w:p>
      <w:pPr>
        <w:spacing w:before="0" w:after="0" w:line="240" w:lineRule="auto"/>
        <w:ind w:firstLine="640"/>
        <w:jc w:val="left"/>
        <w:outlineLvl w:val="9"/>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361" w:left="1020" w:header="720" w:footer="720" w:gutter="0"/>
          <w:docGrid w:linePitch="326" w:charSpace="0"/>
        </w:sectPr>
      </w:pPr>
      <w:r>
        <w:t>无</w:t>
      </w:r>
    </w:p>
    <w:p>
      <w:pPr>
        <w:spacing w:before="0" w:after="0" w:line="240" w:lineRule="auto"/>
        <w:ind w:firstLine="640"/>
        <w:jc w:val="left"/>
        <w:outlineLvl w:val="9"/>
        <w:sectPr>
          <w:pgSz w:w="16840" w:h="11900" w:orient="landscape"/>
          <w:pgMar w:top="1361" w:right="1020" w:bottom="1134" w:left="1020" w:header="720" w:footer="720" w:gutter="0"/>
          <w:docGrid w:linePitch="326" w:charSpace="0"/>
        </w:sectPr>
      </w:pPr>
      <w:r>
        <w:rPr>
          <w:rFonts w:ascii="方正楷体_GBK" w:eastAsia="方正楷体_GBK" w:cs="方正楷体_GBK"/>
          <w:b/>
          <w:color w:val="000000"/>
          <w:sz w:val="32"/>
        </w:rPr>
        <w:t>第三部分  预算项目绩效目标</w:t>
      </w:r>
    </w:p>
    <w:p>
      <w:pPr>
        <w:spacing w:before="0" w:after="0"/>
        <w:ind w:firstLine="560"/>
        <w:jc w:val="left"/>
        <w:outlineLvl w:val="9"/>
      </w:pPr>
      <w:r>
        <w:rPr>
          <w:rFonts w:ascii="方正仿宋_GBK" w:eastAsia="方正仿宋_GBK" w:cs="方正仿宋_GBK"/>
          <w:b/>
          <w:color w:val="000000"/>
          <w:sz w:val="28"/>
        </w:rPr>
        <w:t>1、白洋淀流域高阳县孝义河蒲口镇段水环境综合治理工程-冀财资环[2022]28号绩效目标表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1.完成蒲口镇农村生活污水的有效治理，农村环境得到改善，减少排入孝义河的污染物，达到治理与环境提升的双重目的，持续改善孝义河水质。</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新建污水管网</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新建污水管网长度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≥42.8km</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项目可研报告书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专家评审通过率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通过专家验收评审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按时完成率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该工程竣工验收时间与合同约定时间的对比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可行性研究报告变更的批复</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预算内控制投资成本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预算内控制投资成本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≤2169.74万元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生活污水污染物消减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16个村庄生活污水COD年消减量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≥27.74吨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实施方案、工作总结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2、编制“十四五”生态环境保护规划项目绩效目标表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1.完成“十四五”生态环境保护规划报告编制，并通过专家评审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编制报告数量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“十四五”生态环境保护规划报告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规划报告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通过专家评审率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通过专家评审率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编制报告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≤38.5万元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编制“十四五”生态环境保护规划</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编制“十四五”生态环境保护规划</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规划报告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3、编制印染企业入园技术性文件经费绩效目标表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1.产生印染企业入园技术性指导意见报告指标，并达到淘汰落后产能，引领产业进行技术转型升级，实现可持续发展的效果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指导意见报告数量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引燃企业入园技术性指导意见报告数量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≥1套</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指导意见实施方案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专家验收通过率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成果报告专家验收通过率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专家验收意见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工作完成及时率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完成时间与合同约定时间对比情况</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指导意见实施方案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成本控制率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实际支出总计占预算金额的比例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≤23万元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指导意见实施方案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提供支撑度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对印染企业入园提供的支撑度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指导意见实施方案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4、采暖燃气锅炉低氮改造（环保局）绩效目标表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1.完成生态环境局采暖用燃气锅炉低氮改造，有效降低氮氧化物排放量。</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燃气锅炉改造台数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采暖用燃气锅炉低氮改造台数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采购合同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低氮锅炉改造项目完成时间与合同约定时间的对比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预算内控制总成本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预算内控制总成本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污染物排放达标率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污染物排放达标率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5、大气办工作经费绩效目标表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1.保障大气办正常运转</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大气污染防治宣传次数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大气污染防治宣传次数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≥10次</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资金拨付准确率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资金拨付准确率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保障年度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保障代为正常运转时间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1年</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工作计划和实施方案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污染防治教育普及率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污染防治教育普及率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工作计划和实施方案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6、高阳县大气污染防治精细化管控综合服务项目绩效目标表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1.完善大气污染治理长效工作机制，改善县域环境质量。</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大气污染防治分析报告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空气质量分析日报、半月报、月报、年报，专项分析报告等</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≥390期</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专家组服务合同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完成上级任务目标比例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持续改善县域环境质量，完成上级任务目标比例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市大气污染防治方案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完工及时率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完工及时率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专家组服务合同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预算控制成本数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≤623.7万元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专家组服务合同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7、高阳县秸秆、垃圾禁烧红外视频监控报警系统项目服务费绩效目标表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1.垃圾禁烧红外视频监控系统良好运行，监控数据实时预警，视频图像及时有效联动上传</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视频监控点位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高阳县秸秆、垃圾禁烧红外视频监控点位数量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实际点位数</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垃圾禁烧红外监控系统正常运转率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垃圾禁烧红外监控系统正常运转比例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实时监控数据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任务完成及时率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任务完成及时率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实时监控数据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高阳县秸秆、垃圾禁烧红外视频监控报警系统项目预算控制数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视频图像及时联动上传率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火情火警自动甄别报警，实时预警，视频图像及时联动上传率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火情认定交案件</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8、高阳县康乐健身器材厂地块土壤环境详细调查项目绩效目标表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1.完成详细调查并通过市生态环境局组织的专家评审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调查报告数量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详细调查该地块土壤污染状况报告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调查报告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详细调查该地块土壤项目完成率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≤26.8万元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有效控制和防止污染地块面积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有效控制和防止污染地块面积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≥4亩</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9、高阳县空气质量网格化监测与精细管理平台项目绩效目标表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1.保障我县空气质量自动监测系统正常运行、监测数据实时上报</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空气质量网格化监测运行点位数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≥27个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建设方案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成本控制率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实际支出占预算的比例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10、高阳县农村黑臭水体水质监测项目绩效目标表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1.完成全县有水坑塘定期监测，杜绝农村黑臭水体产生</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水质监测报告数量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农村黑臭水体水质监测报告数量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点位完成数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农村黑臭水体点位监测数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农村黑臭水体水质监测项目完成比例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农村黑臭水体治理率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农村黑臭水体定期监测动态清零</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11、高阳县农业面源污染治理工程（高阳县孝义河应急倒排工程）-冀财资环[2022]28号绩效目标表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1.完成孝义河流域内的农业面源污染水体、初期雨水、污水处理厂事故污水及高速桥事故污水不再直接进去白洋淀，实现不让一滴污水进入白洋淀，确保入淀水质不被污染。</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建成倒排污水处理容积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农业面源污染治理应急倒排工程处理容积量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≥213.91万/m3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项目可研报告书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专家验收评审通过率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专家验收评审通过率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完工时间</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该工程完工时间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≤12月</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高阳县人民政府项目推进时效承诺函</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预算内控制投资成本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预算内控制投资成本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≤1869.2万元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年消减氨氮量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年消减氨氮量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≥1.07吨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实施方案、工作总结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12、高阳县县城集中式饮用水源环境状况评估和基础信息调查项目绩效目标表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1.完成高阳县县城集中是饮用水源环境基础信息调查工作并编制报告。</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评估报告数量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县城集中式饮用水源环境状况评估和基础信息调查工作报告数量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集中式饮用水源环境状况评估和基础信息调查工作完成率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水质达标率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集中式饮用水源水质达标率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评估报告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13、高阳县孝义河12个傍河村农村生活污水治理项目绩效目标表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1.完成集水池18座（含提升泵），铺设DN100PE点有压管道8100米，铺设DN300HDPE双壁波纹管8603米（主支管），铺设DN400HDPE双壁波纹管5734米（主管），同时建设生态坑塘工程3个</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建设集水池18座</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完成县域12个傍河村生活污水治理建设集水池18座</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≥18座</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项目可行性研究报告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12个傍河村生活污水治理完成率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12个傍河村生活污水收集治理完成比例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12个傍河村生活污水治理项目执行率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实际支出金额</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总成本控制目标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项目成本支出控制范围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≤600万元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项目预算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地下水水质改善率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地下水水质改善率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技术报告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14、高阳县增设农村黑臭水体视频监控项目绩效目标表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1.完成农村黑臭水体视频监控与省市平台联网</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视频监控数量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农村黑臭水体视频监控数量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≥22个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视频数据传输率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农村黑臭水体视频数据传输率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实时监控</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消除农村黑臭水体污染点位数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消除农村黑臭水体污染点位数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≥22个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15、机关修缮绩效目标表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1.完成生态环境局机关办公楼内部门窗及破旧桌椅板凳的更换工作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刷墙面积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机关办公楼内部墙面粉刷面积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≥4000平方米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工作完成及时率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工作完成时间与合同约定时间的对比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机关办公环境建设项目预算执行率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实际支出</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机关办公环境建设项目预算控制数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满意度指标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调查满意度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服务调查满意度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16、机关周边环境整治项目绩效目标表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1.完成空气质量监控点位下的周边环境修补工作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周边修复面积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机关周边环境修复面积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≥600平方米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工作达标率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周边环境整治工作按要求达标率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实际支出</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空气质量优良天数占比</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空气质量优良天数占全年比例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17、经济开发区空气自动监测站运营维护费绩效目标表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1.保障空气质量自动监测系统正常运行、监测数据实时上报</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监测点位数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经济开发区空气自动监测站监测点位数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实际点位数</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≤15.77万元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18、倾倒废物鉴定项目绩效目标表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1.鉴定倾倒废物是否属于危险废物并进行处置</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倾倒废物数量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倾倒废物数量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≥13.05吨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废物处置率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倾倒废物处置率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年度工作计划和实施方案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满意度指标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群众满意度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倾倒废物点位周边群众满意度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年度工作计划和实施方案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19、燃气管道报装项目绩效目标表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1.完成燃气管道报装并通过监理验收</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燃气管道安装长度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燃气管道安装长度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≥55米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安装合同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监理验收通过率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燃气管道报装项目监理验收通过率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监理验收报告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燃气管道报装项目按期完成率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安装合同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燃气管道报装项目支出金额控制在预算金额内</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≤7.54万元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推动燃煤锅炉淘汰工作</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改善监测点周边空气质量，淘汰生态环境局2蒸吨燃煤锅炉</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安装合同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20、声环境噪声监测点位确认项目绩效目标表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1.完成声环境噪声监测点位确认工作，并通过专家评审。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点位确认报告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点位确认报告数量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点位确认报告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依据文件规定达到标准要求的比例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文件规定</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声环境噪声监测点位确认项目完成率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≤18.95万元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噪声达标率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维护声环境功能区噪声达标率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21、生态环境监测经费绩效目标表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1.完成各项应急监测以及委托监测并出具监测报告，并逐步增强监测能力建设</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水质监测报告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各项应急监测以及委托监测并出具监测报告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≥120份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监测数据准确率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监测数据准确率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≥97%</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生态环境监测工作按期完成率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水质监测任务目标完成率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水质监测任务目标完成率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22、乡镇小型空气自动监测站运行维护费绩效目标表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8"/>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0"/>
            </w:pPr>
            <w:r>
              <w:t>1.第三方运营公司负责完成7个乡镇（不含龙华乡）空气质量监测系统运行维护，并保证监测数据的及时性、有效性。</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1"/>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乡镇小型空气自动监测站监测点位</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7个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乡镇小型空气站建设方案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≤215万元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1"/>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0"/>
            </w:pPr>
            <w:r>
              <w:t>监测数据</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4" w:name="_Toc_3_3_0000000015"/>
      <w:r>
        <w:rPr>
          <w:rFonts w:ascii="黑体" w:eastAsia="黑体" w:cs="黑体"/>
          <w:color w:val="000000"/>
          <w:sz w:val="32"/>
        </w:rPr>
        <w:t>六、政府采购预算情况</w:t>
      </w:r>
      <w:bookmarkEnd w:id="14"/>
    </w:p>
    <w:p>
      <w:pPr>
        <w:spacing w:before="0" w:after="0" w:line="500" w:lineRule="exact"/>
        <w:ind w:firstLine="560"/>
        <w:jc w:val="left"/>
        <w:outlineLvl w:val="9"/>
      </w:pPr>
      <w:r>
        <w:rPr>
          <w:rFonts w:ascii="Times New Roman" w:eastAsia="方正仿宋_GBK" w:cs="Times New Roman" w:hAnsi="Times New Roman"/>
          <w:b w:val="0"/>
          <w:color w:val="000000"/>
          <w:sz w:val="28"/>
        </w:rPr>
        <w:t>2023年，保定市生态环境局高阳县分局安排政府采购预算656.82万元。具体内容见下表。</w:t>
      </w:r>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trPr>
        <w:tc>
          <w:tcPr>
            <w:tcW w:w="7342" w:type="dxa"/>
            <w:gridSpan w:val="7"/>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8674" w:type="dxa"/>
            <w:gridSpan w:val="9"/>
            <w:tcBorders>
              <w:top w:val="single" w:sz="6" w:space="0" w:color="FFFFFF"/>
              <w:left w:val="single" w:sz="6" w:space="0" w:color="FFFFFF"/>
              <w:bottom w:val="single" w:sz="6" w:space="0" w:color="000000"/>
              <w:right w:val="single" w:sz="6" w:space="0" w:color="FFFFFF"/>
            </w:tcBorders>
            <w:vAlign w:val="center"/>
          </w:tcPr>
          <w:p>
            <w:pPr>
              <w:pStyle w:val="32"/>
            </w:pPr>
            <w:r>
              <w:t>单位：万元</w:t>
            </w:r>
          </w:p>
        </w:tc>
      </w:tr>
      <w:tr>
        <w:trPr>
          <w:cantSplit/>
          <w:tblHeader/>
        </w:trPr>
        <w:tc>
          <w:tcPr>
            <w:tcW w:w="2665" w:type="dxa"/>
            <w:gridSpan w:val="2"/>
            <w:tcBorders>
              <w:top w:val="single" w:sz="6" w:space="0" w:color="000000"/>
              <w:left w:val="single" w:sz="6" w:space="0" w:color="000000"/>
              <w:bottom w:val="single" w:sz="6" w:space="0" w:color="000000"/>
              <w:right w:val="single" w:sz="6" w:space="0" w:color="000000"/>
            </w:tcBorders>
            <w:vAlign w:val="center"/>
          </w:tcPr>
          <w:p>
            <w:pPr>
              <w:pStyle w:val="18"/>
            </w:pPr>
            <w:r>
              <w:t>政府采购项目来源</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单价</w:t>
            </w:r>
          </w:p>
        </w:tc>
        <w:tc>
          <w:tcPr>
            <w:tcW w:w="7710" w:type="dxa"/>
            <w:gridSpan w:val="8"/>
            <w:tcBorders>
              <w:top w:val="single" w:sz="6" w:space="0" w:color="000000"/>
              <w:left w:val="single" w:sz="6" w:space="0" w:color="000000"/>
              <w:bottom w:val="single" w:sz="6" w:space="0" w:color="000000"/>
              <w:right w:val="single" w:sz="6" w:space="0" w:color="000000"/>
            </w:tcBorders>
            <w:vAlign w:val="center"/>
          </w:tcPr>
          <w:p>
            <w:pPr>
              <w:pStyle w:val="18"/>
            </w:pPr>
            <w:r>
              <w:t>政府采购金额（当年部门预算安排资金）</w:t>
            </w:r>
          </w:p>
        </w:tc>
        <w:tc>
          <w:tcPr>
            <w:tcW w:w="964" w:type="dxa"/>
            <w:vMerge w:val="restart"/>
            <w:tcBorders>
              <w:top w:val="single" w:sz="6" w:space="0" w:color="000000"/>
              <w:left w:val="single" w:sz="6" w:space="0" w:color="000000"/>
              <w:bottom w:val="single" w:sz="6" w:space="0" w:color="000000"/>
              <w:right w:val="single" w:sz="6" w:space="0" w:color="000000"/>
            </w:tcBorders>
            <w:vAlign w:val="center"/>
          </w:tcPr>
          <w:p>
            <w:pPr>
              <w:pStyle w:val="18"/>
            </w:pPr>
            <w:r>
              <w:t>2023年  预留中  小微企  业份额</w:t>
            </w:r>
          </w:p>
        </w:tc>
      </w:tr>
      <w:tr>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pPr>
              <w:pStyle w:val="18"/>
            </w:pPr>
            <w:r>
              <w:t>项目名称</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bottom w:val="single" w:sz="6" w:space="0" w:color="000000"/>
              <w:right w:val="single" w:sz="6" w:space="0" w:color="000000"/>
            </w:tcBorders>
          </w:tcPr>
          <w:p/>
        </w:tc>
        <w:tc>
          <w:tcPr>
            <w:tcW w:w="1134" w:type="dxa"/>
            <w:vMerge/>
            <w:tcBorders>
              <w:top w:val="single" w:sz="6" w:space="0" w:color="000000"/>
              <w:left w:val="single" w:sz="6" w:space="0" w:color="000000"/>
              <w:bottom w:val="single" w:sz="6" w:space="0" w:color="000000"/>
              <w:right w:val="single" w:sz="6" w:space="0" w:color="000000"/>
            </w:tcBorders>
          </w:tcPr>
          <w:p/>
        </w:tc>
        <w:tc>
          <w:tcPr>
            <w:tcW w:w="709" w:type="dxa"/>
            <w:vMerge/>
            <w:tcBorders>
              <w:top w:val="single" w:sz="6" w:space="0" w:color="000000"/>
              <w:left w:val="single" w:sz="6" w:space="0" w:color="000000"/>
              <w:bottom w:val="single" w:sz="6" w:space="0" w:color="000000"/>
              <w:right w:val="single" w:sz="6" w:space="0" w:color="000000"/>
            </w:tcBorders>
          </w:tcPr>
          <w:p/>
        </w:tc>
        <w:tc>
          <w:tcPr>
            <w:tcW w:w="850" w:type="dxa"/>
            <w:vMerge/>
            <w:tcBorders>
              <w:top w:val="single" w:sz="6" w:space="0" w:color="000000"/>
              <w:left w:val="single" w:sz="6" w:space="0" w:color="000000"/>
              <w:bottom w:val="single" w:sz="6" w:space="0" w:color="000000"/>
              <w:right w:val="single" w:sz="6" w:space="0" w:color="000000"/>
            </w:tcBorders>
          </w:tcPr>
          <w:p/>
        </w:tc>
        <w:tc>
          <w:tcPr>
            <w:tcW w:w="850" w:type="dxa"/>
            <w:vMerge/>
            <w:tcBorders>
              <w:top w:val="single" w:sz="6" w:space="0" w:color="000000"/>
              <w:left w:val="single" w:sz="6" w:space="0" w:color="000000"/>
              <w:bottom w:val="single" w:sz="6" w:space="0" w:color="000000"/>
              <w:right w:val="single" w:sz="6" w:space="0" w:color="000000"/>
            </w:tcBorders>
          </w:tc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财政拨    款结转</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8"/>
            </w:pPr>
            <w:r>
              <w:t>非财政    拨款结    转结余</w:t>
            </w:r>
          </w:p>
        </w:tc>
        <w:tc>
          <w:tcPr>
            <w:tcW w:w="964" w:type="dxa"/>
            <w:vMerge/>
            <w:tcBorders>
              <w:top w:val="single" w:sz="6" w:space="0" w:color="000000"/>
              <w:left w:val="single" w:sz="6" w:space="0" w:color="000000"/>
              <w:bottom w:val="single" w:sz="6" w:space="0" w:color="000000"/>
              <w:right w:val="single" w:sz="6" w:space="0" w:color="000000"/>
            </w:tcBorders>
          </w:tcP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2"/>
            </w:pPr>
            <w:r>
              <w:t>合  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599.82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2"/>
            </w:pPr>
            <w:r>
              <w:t>保定市生态环境局高阳县分局小计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3"/>
            </w:pPr>
            <w:r>
              <w:t>599.82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2023年公用类项目2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20.04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台式计算机</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A02010105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台</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0.60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9.00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2023年公用类项目2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20.04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其他运行维护服务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C16079900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高阳县大气污染防治精细化管控综合服务项目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623.70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大气污染治理服务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C07020201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390.00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高阳县空气质量网格化监测与精细管理平台项目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103.35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平台运营服务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C16080200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54.00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高阳县增设农村黑臭水体视频监控项目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57.00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视频监控设备</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A02091107</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批</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机关修缮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18.00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办公桌</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A05010201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个</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25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0.09</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2.25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2.25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2.25</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机关修缮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18.00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办公椅</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A05010301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个</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25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0.03</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0.75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0.75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0.75</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0"/>
            </w:pPr>
            <w:r>
              <w:t>乡镇小型空气自动监测站运行维护费</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215.00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平台运营服务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C16080200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1"/>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140.00</w:t>
            </w: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5" w:name="_Toc_3_3_0000000016"/>
      <w:r>
        <w:rPr>
          <w:rFonts w:ascii="黑体" w:eastAsia="黑体" w:cs="黑体"/>
          <w:color w:val="000000"/>
          <w:sz w:val="32"/>
        </w:rPr>
        <w:t>七、国有资产信息</w:t>
      </w:r>
      <w:bookmarkEnd w:id="15"/>
    </w:p>
    <w:p>
      <w:pPr>
        <w:spacing w:before="0" w:after="0" w:line="500" w:lineRule="exact"/>
        <w:ind w:firstLine="560"/>
        <w:jc w:val="left"/>
        <w:outlineLvl w:val="9"/>
      </w:pPr>
      <w:r>
        <w:rPr>
          <w:rFonts w:ascii="Times New Roman" w:eastAsia="方正仿宋_GBK" w:cs="Times New Roman" w:hAnsi="Times New Roman"/>
          <w:b w:val="0"/>
          <w:color w:val="000000"/>
          <w:sz w:val="28"/>
        </w:rPr>
        <w:t>保定市生态环境局高阳县分局（含所属单位）上年末固定资产金额为2176.00万元（详见下表）。本年度拟购置固定资产总额为69.00万元，已按要求列入政府采购预算，详见政府采购预算表。</w:t>
      </w:r>
      <w:bookmarkStart w:id="16" w:name="_GoBack"/>
      <w:bookmarkEnd w:id="16"/>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bottom w:val="single" w:sz="6" w:space="0" w:color="000000"/>
              <w:right w:val="single" w:sz="6" w:space="0" w:color="FFFFFF"/>
            </w:tcBorders>
            <w:vAlign w:val="center"/>
          </w:tcPr>
          <w:p>
            <w:pPr>
              <w:pStyle w:val="17"/>
            </w:pPr>
            <w:r>
              <w:t>467保定市生态环境局高阳县分局</w:t>
            </w:r>
          </w:p>
        </w:tc>
        <w:tc>
          <w:tcPr>
            <w:tcW w:w="5669"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截止时间：2022-12-31</w:t>
            </w:r>
          </w:p>
        </w:tc>
      </w:tr>
      <w:tr>
        <w:trPr>
          <w:tblHeader/>
        </w:trPr>
        <w:tc>
          <w:tcPr>
            <w:tcW w:w="7370" w:type="dxa"/>
            <w:tcBorders>
              <w:top w:val="single" w:sz="6" w:space="0" w:color="000000"/>
              <w:left w:val="single" w:sz="6" w:space="0" w:color="000000"/>
              <w:bottom w:val="single" w:sz="6" w:space="0" w:color="000000"/>
              <w:right w:val="single" w:sz="6" w:space="0" w:color="000000"/>
            </w:tcBorders>
            <w:vAlign w:val="center"/>
          </w:tcPr>
          <w:p>
            <w:pPr>
              <w:pStyle w:val="18"/>
            </w:pPr>
            <w:r>
              <w:t>项   目</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价值（金额单位：万元）</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资产总额</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2176.00</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1、房屋（平方米）</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1454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192.42</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　　其中：办公用房（平方米）</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1454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192.42</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2、车辆（台、辆）</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6</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140.11</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3、单价在20万元以上的设备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32</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1566.86</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0"/>
            </w:pPr>
            <w:r>
              <w:t>4、其他固定资产</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714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276.61</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7" w:name="_Toc_3_3_0000000017"/>
      <w:r>
        <w:rPr>
          <w:rFonts w:ascii="黑体" w:eastAsia="黑体" w:cs="黑体"/>
          <w:color w:val="000000"/>
          <w:sz w:val="32"/>
        </w:rPr>
        <w:t>八、名词解释</w:t>
      </w:r>
      <w:bookmarkEnd w:id="17"/>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一般公共预算拨款收入：</w:t>
      </w:r>
      <w:r>
        <w:rPr>
          <w:rFonts w:ascii="Times New Roman" w:eastAsia="方正仿宋_GBK" w:cs="Times New Roman" w:hAnsi="Times New Roman"/>
          <w:b w:val="0"/>
          <w:color w:val="000000"/>
          <w:sz w:val="28"/>
        </w:rPr>
        <w:t>指县级财政当年拨付的资金。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其他收入：</w:t>
      </w:r>
      <w:r>
        <w:rPr>
          <w:rFonts w:ascii="Times New Roman" w:eastAsia="方正仿宋_GBK" w:cs="Times New Roman" w:hAnsi="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基本支出：</w:t>
      </w:r>
      <w:r>
        <w:rPr>
          <w:rFonts w:ascii="Times New Roman" w:eastAsia="方正仿宋_GBK" w:cs="Times New Roman" w:hAnsi="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项目支出：</w:t>
      </w:r>
      <w:r>
        <w:rPr>
          <w:rFonts w:ascii="Times New Roman" w:eastAsia="方正仿宋_GBK" w:cs="Times New Roman" w:hAnsi="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上缴上级支出：</w:t>
      </w:r>
      <w:r>
        <w:rPr>
          <w:rFonts w:ascii="Times New Roman" w:eastAsia="方正仿宋_GBK" w:cs="Times New Roman" w:hAnsi="Times New Roman"/>
          <w:b w:val="0"/>
          <w:color w:val="000000"/>
          <w:sz w:val="28"/>
        </w:rPr>
        <w:t>指下级单位上缴上级的支出。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机关运行费：</w:t>
      </w:r>
      <w:r>
        <w:rPr>
          <w:rFonts w:ascii="Times New Roman" w:eastAsia="方正仿宋_GBK" w:cs="Times New Roman" w:hAnsi="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8" w:name="_Toc_3_3_0000000018"/>
      <w:r>
        <w:rPr>
          <w:rFonts w:ascii="黑体" w:eastAsia="黑体" w:cs="黑体"/>
          <w:color w:val="000000"/>
          <w:sz w:val="32"/>
        </w:rPr>
        <w:t>九、其他需要说明的事项</w:t>
      </w:r>
      <w:bookmarkEnd w:id="18"/>
    </w:p>
    <w:p>
      <w:pPr>
        <w:spacing w:before="0" w:after="0" w:line="500" w:lineRule="exact"/>
        <w:ind w:firstLine="560"/>
        <w:jc w:val="left"/>
        <w:outlineLvl w:val="9"/>
        <w:sectPr>
          <w:pgSz w:w="16840" w:h="11900" w:orient="landscape"/>
          <w:pgMar w:top="1361" w:right="1020" w:bottom="1134" w:left="1020" w:header="720" w:footer="720" w:gutter="0"/>
          <w:docGrid w:linePitch="326" w:charSpace="0"/>
        </w:sectPr>
      </w:pPr>
      <w:r>
        <w:rPr>
          <w:rFonts w:ascii="Times New Roman" w:eastAsia="方正仿宋_GBK" w:cs="Times New Roman" w:hAnsi="Times New Roman"/>
          <w:b w:val="0"/>
          <w:color w:val="000000"/>
          <w:sz w:val="28"/>
        </w:rPr>
        <w:t>我部门无其他需要说明的事项。</w:t>
      </w:r>
    </w:p>
    <w:p>
      <w:pPr>
        <w:ind w:firstLine="0"/>
        <w:jc w:val="both"/>
      </w:pP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altName w:val="宋体"/>
    <w:panose1 w:val="00000000000000000000"/>
    <w:charset w:val="00"/>
    <w:family w:val="auto"/>
    <w:pitch w:val="variable"/>
    <w:sig w:usb0="00000000" w:usb1="00000000" w:usb2="00000000" w:usb3="00000000" w:csb0="00000000" w:csb1="00000000"/>
  </w:font>
  <w:font w:name="方正小标宋_GBK">
    <w:altName w:val="宋体"/>
    <w:panose1 w:val="00000000000000000000"/>
    <w:charset w:val="00"/>
    <w:family w:val="auto"/>
    <w:pitch w:val="variable"/>
    <w:sig w:usb0="00000000" w:usb1="00000000" w:usb2="00000000" w:usb3="00000000" w:csb0="00000000" w:csb1="00000000"/>
  </w:font>
  <w:font w:name="方正书宋_GBK">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方正仿宋_GBK">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page number</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page number</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720"/>
  <w:evenAndOddHeaders/>
  <w:drawingGridHorizontalSpacing w:val="120"/>
  <w:drawingGridVerticalSpacing w:val="163"/>
  <w:displayHorizontalDrawingGridEvery w:val="0"/>
  <w:displayVerticalDrawingGridEvery w:val="1"/>
  <w:compat>
    <w:spaceForUL/>
    <w:doNotExpandShiftReturn/>
    <w:adjustLineHeightInTable/>
    <w:compatSetting w:name="compatibilityMode" w:uri="http://schemas.microsoft.com/office/word" w:val="12"/>
  </w:compat>
  <w:docVars>
    <w:docVar w:name="commondata" w:val="eyJoZGlkIjoiNTFmY2M5ZTlmZDY0NjQzZDFiMTRmMDdmYTM1YjkzZ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b/>
      <w:sz w:val="21"/>
    </w:rPr>
  </w:style>
  <w:style w:type="paragraph" w:customStyle="1" w:styleId="25">
    <w:name w:val="插入文本样式-插入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basedOn w:val="0"/>
    <w:pPr>
      <w:spacing w:before="0" w:after="0"/>
      <w:ind w:firstLine="0"/>
      <w:jc w:val="right"/>
      <w:outlineLvl w:val="9"/>
    </w:pPr>
    <w:rPr>
      <w:rFonts w:ascii="方正书宋_GBK" w:eastAsia="方正书宋_GBK" w:cs="方正书宋_GBK"/>
      <w:sz w:val="24"/>
    </w:rPr>
  </w:style>
  <w:style w:type="paragraph" w:customStyle="1" w:styleId="33">
    <w:name w:val="插入文本样式-插入单位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4">
    <w:name w:val="插入文本样式-插入预算公开单位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5">
    <w:name w:val="插入文本样式-插入预算公开单位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6">
    <w:name w:val="插入文本样式-插入预算公开单位财政拨款三公经费预算情况及增减变化原因文件"/>
    <w:basedOn w:val="0"/>
    <w:pPr>
      <w:spacing w:line="500" w:lineRule="exact"/>
      <w:ind w:firstLine="560"/>
    </w:pPr>
    <w:rPr>
      <w:rFonts w:ascii="Times New Roman" w:eastAsia="方正仿宋_GBK" w:cs="Times New Roman" w:hAnsi="Times New Roman"/>
      <w:sz w:val="28"/>
      <w:szCs w:val="24"/>
      <w:lang w:val="en-US" w:eastAsia="uk-UA" w:bidi="ar-SA"/>
    </w:rPr>
  </w:style>
  <w:style w:type="paragraph" w:customStyle="1" w:styleId="37">
    <w:name w:val="TOC 2"/>
    <w:basedOn w:val="0"/>
    <w:pPr>
      <w:ind w:left="240"/>
    </w:pPr>
  </w:style>
  <w:style w:type="paragraph" w:customStyle="1" w:styleId="38">
    <w:name w:val="TOC 3"/>
    <w:basedOn w:val="0"/>
    <w:pPr>
      <w:ind w:left="480"/>
    </w:pPr>
  </w:style>
  <w:style w:type="paragraph" w:customStyle="1" w:styleId="39">
    <w:name w:val="TOC 4"/>
    <w:basedOn w:val="0"/>
    <w:pPr>
      <w:ind w:left="720"/>
    </w:pPr>
  </w:style>
  <w:style w:type="paragraph" w:customStyle="1" w:styleId="40">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33</TotalTime>
  <Application>Yozo_Office27021597764231179</Application>
  <Pages>47</Pages>
  <Words>12292</Words>
  <Characters>14131</Characters>
  <Lines>2428</Lines>
  <Paragraphs>1634</Paragraphs>
  <CharactersWithSpaces>14278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安雄</dc:creator>
  <cp:lastModifiedBy>LENOVO</cp:lastModifiedBy>
  <cp:revision>1</cp:revision>
  <dcterms:created xsi:type="dcterms:W3CDTF">2023-03-07T11:37:00Z</dcterms:created>
  <dcterms:modified xsi:type="dcterms:W3CDTF">2024-10-18T06:20:37Z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16ED8E60A1FB4161B52C1FC498E3DB94_12</vt:lpwstr>
  </property>
</Properties>
</file>