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eastAsia="黑体" w:cs="黑体"/>
          <w:b/>
          <w:color w:val="000000"/>
          <w:sz w:val="44"/>
        </w:rPr>
        <w:t>2023年</w:t>
      </w:r>
      <w:r>
        <w:rPr>
          <w:rFonts w:hint="eastAsia" w:ascii="黑体" w:eastAsia="黑体" w:cs="黑体"/>
          <w:b/>
          <w:color w:val="000000"/>
          <w:sz w:val="44"/>
          <w:lang w:eastAsia="zh-CN"/>
        </w:rPr>
        <w:t>单位</w:t>
      </w:r>
      <w:r>
        <w:rPr>
          <w:rFonts w:ascii="黑体" w:eastAsia="黑体" w:cs="黑体"/>
          <w:b/>
          <w:color w:val="000000"/>
          <w:sz w:val="44"/>
        </w:rPr>
        <w:t>预算信息公开目录</w:t>
      </w:r>
    </w:p>
    <w:p>
      <w:pPr>
        <w:jc w:val="center"/>
      </w:pPr>
    </w:p>
    <w:p/>
    <w:p>
      <w:pPr>
        <w:jc w:val="center"/>
      </w:pPr>
      <w:r>
        <w:rPr>
          <w:rFonts w:ascii="黑体" w:eastAsia="黑体" w:cs="黑体"/>
          <w:b/>
          <w:color w:val="000000"/>
          <w:sz w:val="30"/>
        </w:rPr>
        <w:t>第二部分  部门所属单位预算</w:t>
      </w:r>
    </w:p>
    <w:p>
      <w:pPr>
        <w:pStyle w:val="34"/>
        <w:tabs>
          <w:tab w:val="right" w:leader="dot" w:pos="14562"/>
        </w:tabs>
      </w:pPr>
      <w:r>
        <w:fldChar w:fldCharType="begin"/>
      </w:r>
      <w:r>
        <w:instrText xml:space="preserve">TOC \o "4-4" \h \z \u </w:instrText>
      </w:r>
      <w:r>
        <w:fldChar w:fldCharType="separate"/>
      </w:r>
      <w:r>
        <w:fldChar w:fldCharType="begin"/>
      </w:r>
      <w:r>
        <w:instrText xml:space="preserve"> HYPERLINK \l "_Toc_4_4_0000000020" </w:instrText>
      </w:r>
      <w:r>
        <w:fldChar w:fldCharType="separate"/>
      </w:r>
      <w:r>
        <w:rPr>
          <w:rFonts w:hint="eastAsia"/>
          <w:lang w:eastAsia="zh-CN"/>
        </w:rPr>
        <w:t>一</w:t>
      </w:r>
      <w:r>
        <w:t>、高阳县工人文化宫收支预算</w:t>
      </w:r>
      <w:r>
        <w:tab/>
      </w:r>
      <w:r>
        <w:rPr>
          <w:rFonts w:hint="eastAsia"/>
          <w:lang w:eastAsia="zh-CN"/>
        </w:rPr>
        <w:t>2</w:t>
      </w:r>
      <w:r>
        <w:rPr>
          <w:rFonts w:hint="eastAsia"/>
          <w:lang w:eastAsia="zh-CN"/>
        </w:rP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jc w:val="center"/>
      </w:pPr>
    </w:p>
    <w:p>
      <w:pPr>
        <w:jc w:val="center"/>
      </w:pPr>
    </w:p>
    <w:p>
      <w:pPr>
        <w:jc w:val="center"/>
      </w:pPr>
    </w:p>
    <w:p>
      <w:pPr>
        <w:jc w:val="center"/>
      </w:pPr>
    </w:p>
    <w:p>
      <w:pPr>
        <w:jc w:val="center"/>
      </w:pPr>
    </w:p>
    <w:p>
      <w:pPr>
        <w:jc w:val="center"/>
        <w:outlineLvl w:val="3"/>
      </w:pPr>
      <w:bookmarkStart w:id="0" w:name="_Toc_4_4_0000000020"/>
      <w:r>
        <w:rPr>
          <w:rFonts w:hint="eastAsia" w:ascii="方正小标宋_GBK" w:eastAsia="方正小标宋_GBK" w:cs="方正小标宋_GBK"/>
          <w:color w:val="000000"/>
          <w:sz w:val="44"/>
          <w:lang w:eastAsia="zh-CN"/>
        </w:rPr>
        <w:t>一</w:t>
      </w:r>
      <w:r>
        <w:rPr>
          <w:rFonts w:ascii="方正小标宋_GBK" w:eastAsia="方正小标宋_GBK" w:cs="方正小标宋_GBK"/>
          <w:color w:val="000000"/>
          <w:sz w:val="44"/>
        </w:rPr>
        <w:t>、高阳县工人文化宫收支预算</w:t>
      </w:r>
      <w:bookmarkEnd w:id="0"/>
    </w:p>
    <w:p>
      <w:pPr>
        <w:jc w:val="center"/>
        <w:outlineLvl w:val="4"/>
      </w:pPr>
      <w:r>
        <w:rPr>
          <w:rFonts w:asci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217004高阳县工人文化宫</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80.74</w:t>
            </w:r>
          </w:p>
        </w:tc>
        <w:tc>
          <w:tcPr>
            <w:tcW w:w="4535" w:type="dxa"/>
            <w:vAlign w:val="center"/>
          </w:tcPr>
          <w:p>
            <w:pPr>
              <w:pStyle w:val="14"/>
            </w:pPr>
            <w:r>
              <w:t>一、一般公共服务支出</w:t>
            </w:r>
          </w:p>
        </w:tc>
        <w:tc>
          <w:tcPr>
            <w:tcW w:w="2126" w:type="dxa"/>
            <w:vAlign w:val="center"/>
          </w:tcPr>
          <w:p>
            <w:pPr>
              <w:pStyle w:val="13"/>
            </w:pPr>
            <w:r>
              <w:t>80.74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80.74</w:t>
            </w:r>
          </w:p>
        </w:tc>
        <w:tc>
          <w:tcPr>
            <w:tcW w:w="4535" w:type="dxa"/>
            <w:vAlign w:val="center"/>
          </w:tcPr>
          <w:p>
            <w:pPr>
              <w:pStyle w:val="16"/>
            </w:pPr>
            <w:r>
              <w:t>本年支出合计</w:t>
            </w:r>
          </w:p>
        </w:tc>
        <w:tc>
          <w:tcPr>
            <w:tcW w:w="2126" w:type="dxa"/>
            <w:vAlign w:val="center"/>
          </w:tcPr>
          <w:p>
            <w:pPr>
              <w:pStyle w:val="17"/>
            </w:pPr>
            <w:r>
              <w:t>80.74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80.74</w:t>
            </w:r>
          </w:p>
        </w:tc>
        <w:tc>
          <w:tcPr>
            <w:tcW w:w="4535" w:type="dxa"/>
            <w:vAlign w:val="center"/>
          </w:tcPr>
          <w:p>
            <w:pPr>
              <w:pStyle w:val="16"/>
            </w:pPr>
            <w:r>
              <w:t>支出总计</w:t>
            </w:r>
          </w:p>
        </w:tc>
        <w:tc>
          <w:tcPr>
            <w:tcW w:w="2126" w:type="dxa"/>
            <w:vAlign w:val="center"/>
          </w:tcPr>
          <w:p>
            <w:pPr>
              <w:pStyle w:val="17"/>
            </w:pPr>
            <w:r>
              <w:t>80.74</w:t>
            </w:r>
          </w:p>
        </w:tc>
      </w:tr>
    </w:tbl>
    <w:p>
      <w:pPr>
        <w:sectPr>
          <w:footerReference r:id="rId3" w:type="default"/>
          <w:footerReference r:id="rId4" w:type="even"/>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217004高阳县工人文化宫</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80.74</w:t>
            </w:r>
          </w:p>
        </w:tc>
        <w:tc>
          <w:tcPr>
            <w:tcW w:w="1134" w:type="dxa"/>
            <w:vAlign w:val="center"/>
          </w:tcPr>
          <w:p>
            <w:pPr>
              <w:pStyle w:val="17"/>
            </w:pPr>
            <w:r>
              <w:t>80.74</w:t>
            </w:r>
          </w:p>
        </w:tc>
        <w:tc>
          <w:tcPr>
            <w:tcW w:w="1134" w:type="dxa"/>
            <w:vAlign w:val="center"/>
          </w:tcPr>
          <w:p>
            <w:pPr>
              <w:pStyle w:val="17"/>
            </w:pPr>
            <w:r>
              <w:t>80.74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20129</w:t>
            </w:r>
          </w:p>
        </w:tc>
        <w:tc>
          <w:tcPr>
            <w:tcW w:w="1559" w:type="dxa"/>
            <w:vAlign w:val="center"/>
          </w:tcPr>
          <w:p>
            <w:pPr>
              <w:pStyle w:val="14"/>
            </w:pPr>
            <w:r>
              <w:t>群众团体事务</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2012950</w:t>
            </w:r>
          </w:p>
        </w:tc>
        <w:tc>
          <w:tcPr>
            <w:tcW w:w="1559" w:type="dxa"/>
            <w:vAlign w:val="center"/>
          </w:tcPr>
          <w:p>
            <w:pPr>
              <w:pStyle w:val="14"/>
            </w:pPr>
            <w:r>
              <w:t>事业运行</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r>
              <w:t>80.74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80.74</w:t>
            </w:r>
          </w:p>
        </w:tc>
        <w:tc>
          <w:tcPr>
            <w:tcW w:w="1361" w:type="dxa"/>
            <w:vAlign w:val="center"/>
          </w:tcPr>
          <w:p>
            <w:pPr>
              <w:pStyle w:val="17"/>
            </w:pPr>
            <w:r>
              <w:t>80.74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80.74</w:t>
            </w:r>
          </w:p>
        </w:tc>
        <w:tc>
          <w:tcPr>
            <w:tcW w:w="1361" w:type="dxa"/>
            <w:vAlign w:val="center"/>
          </w:tcPr>
          <w:p>
            <w:pPr>
              <w:pStyle w:val="13"/>
            </w:pPr>
            <w:r>
              <w:t>80.74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20129</w:t>
            </w:r>
          </w:p>
        </w:tc>
        <w:tc>
          <w:tcPr>
            <w:tcW w:w="4535" w:type="dxa"/>
            <w:vAlign w:val="center"/>
          </w:tcPr>
          <w:p>
            <w:pPr>
              <w:pStyle w:val="14"/>
            </w:pPr>
            <w:r>
              <w:t>群众团体事务</w:t>
            </w:r>
          </w:p>
        </w:tc>
        <w:tc>
          <w:tcPr>
            <w:tcW w:w="1361" w:type="dxa"/>
            <w:vAlign w:val="center"/>
          </w:tcPr>
          <w:p>
            <w:pPr>
              <w:pStyle w:val="13"/>
            </w:pPr>
            <w:r>
              <w:t>80.74</w:t>
            </w:r>
          </w:p>
        </w:tc>
        <w:tc>
          <w:tcPr>
            <w:tcW w:w="1361" w:type="dxa"/>
            <w:vAlign w:val="center"/>
          </w:tcPr>
          <w:p>
            <w:pPr>
              <w:pStyle w:val="13"/>
            </w:pPr>
            <w:r>
              <w:t>80.74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2012950</w:t>
            </w:r>
          </w:p>
        </w:tc>
        <w:tc>
          <w:tcPr>
            <w:tcW w:w="4535" w:type="dxa"/>
            <w:vAlign w:val="center"/>
          </w:tcPr>
          <w:p>
            <w:pPr>
              <w:pStyle w:val="14"/>
            </w:pPr>
            <w:r>
              <w:t>事业运行</w:t>
            </w:r>
          </w:p>
        </w:tc>
        <w:tc>
          <w:tcPr>
            <w:tcW w:w="1361" w:type="dxa"/>
            <w:vAlign w:val="center"/>
          </w:tcPr>
          <w:p>
            <w:pPr>
              <w:pStyle w:val="13"/>
            </w:pPr>
            <w:r>
              <w:t>80.74</w:t>
            </w:r>
          </w:p>
        </w:tc>
        <w:tc>
          <w:tcPr>
            <w:tcW w:w="1361" w:type="dxa"/>
            <w:vAlign w:val="center"/>
          </w:tcPr>
          <w:p>
            <w:pPr>
              <w:pStyle w:val="13"/>
            </w:pPr>
            <w:r>
              <w:t>80.74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80.74</w:t>
            </w:r>
          </w:p>
        </w:tc>
        <w:tc>
          <w:tcPr>
            <w:tcW w:w="3402" w:type="dxa"/>
            <w:vAlign w:val="center"/>
          </w:tcPr>
          <w:p>
            <w:pPr>
              <w:pStyle w:val="14"/>
            </w:pPr>
            <w:r>
              <w:t>一、一般公共服务支出</w:t>
            </w:r>
          </w:p>
        </w:tc>
        <w:tc>
          <w:tcPr>
            <w:tcW w:w="1474" w:type="dxa"/>
            <w:vAlign w:val="center"/>
          </w:tcPr>
          <w:p>
            <w:pPr>
              <w:pStyle w:val="13"/>
            </w:pPr>
            <w:r>
              <w:t>80.74</w:t>
            </w:r>
          </w:p>
        </w:tc>
        <w:tc>
          <w:tcPr>
            <w:tcW w:w="1474" w:type="dxa"/>
            <w:vAlign w:val="center"/>
          </w:tcPr>
          <w:p>
            <w:pPr>
              <w:pStyle w:val="13"/>
            </w:pPr>
            <w:r>
              <w:t>80.74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80.74</w:t>
            </w:r>
          </w:p>
        </w:tc>
        <w:tc>
          <w:tcPr>
            <w:tcW w:w="3402" w:type="dxa"/>
            <w:vAlign w:val="center"/>
          </w:tcPr>
          <w:p>
            <w:pPr>
              <w:pStyle w:val="16"/>
            </w:pPr>
            <w:r>
              <w:t>本年支出合计</w:t>
            </w:r>
          </w:p>
        </w:tc>
        <w:tc>
          <w:tcPr>
            <w:tcW w:w="1474" w:type="dxa"/>
            <w:vAlign w:val="center"/>
          </w:tcPr>
          <w:p>
            <w:pPr>
              <w:pStyle w:val="17"/>
            </w:pPr>
            <w:r>
              <w:t>80.74</w:t>
            </w:r>
          </w:p>
        </w:tc>
        <w:tc>
          <w:tcPr>
            <w:tcW w:w="1474" w:type="dxa"/>
            <w:vAlign w:val="center"/>
          </w:tcPr>
          <w:p>
            <w:pPr>
              <w:pStyle w:val="17"/>
            </w:pPr>
            <w:r>
              <w:t>80.74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80.74</w:t>
            </w:r>
          </w:p>
        </w:tc>
        <w:tc>
          <w:tcPr>
            <w:tcW w:w="3402" w:type="dxa"/>
            <w:vAlign w:val="center"/>
          </w:tcPr>
          <w:p>
            <w:pPr>
              <w:pStyle w:val="16"/>
            </w:pPr>
            <w:r>
              <w:t>支出总计</w:t>
            </w:r>
          </w:p>
        </w:tc>
        <w:tc>
          <w:tcPr>
            <w:tcW w:w="1474" w:type="dxa"/>
            <w:vAlign w:val="center"/>
          </w:tcPr>
          <w:p>
            <w:pPr>
              <w:pStyle w:val="17"/>
            </w:pPr>
            <w:r>
              <w:t>80.74</w:t>
            </w:r>
          </w:p>
        </w:tc>
        <w:tc>
          <w:tcPr>
            <w:tcW w:w="1474" w:type="dxa"/>
            <w:vAlign w:val="center"/>
          </w:tcPr>
          <w:p>
            <w:pPr>
              <w:pStyle w:val="17"/>
            </w:pPr>
            <w:r>
              <w:t>80.74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80.74</w:t>
            </w:r>
          </w:p>
        </w:tc>
        <w:tc>
          <w:tcPr>
            <w:tcW w:w="2551" w:type="dxa"/>
            <w:vAlign w:val="center"/>
          </w:tcPr>
          <w:p>
            <w:pPr>
              <w:pStyle w:val="17"/>
            </w:pPr>
            <w:r>
              <w:t>80.74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80.74</w:t>
            </w:r>
          </w:p>
        </w:tc>
        <w:tc>
          <w:tcPr>
            <w:tcW w:w="2551" w:type="dxa"/>
            <w:vAlign w:val="center"/>
          </w:tcPr>
          <w:p>
            <w:pPr>
              <w:pStyle w:val="13"/>
            </w:pPr>
            <w:r>
              <w:t>80.74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20129</w:t>
            </w:r>
          </w:p>
        </w:tc>
        <w:tc>
          <w:tcPr>
            <w:tcW w:w="4535" w:type="dxa"/>
            <w:vAlign w:val="center"/>
          </w:tcPr>
          <w:p>
            <w:pPr>
              <w:pStyle w:val="14"/>
            </w:pPr>
            <w:r>
              <w:t>群众团体事务</w:t>
            </w:r>
          </w:p>
        </w:tc>
        <w:tc>
          <w:tcPr>
            <w:tcW w:w="2551" w:type="dxa"/>
            <w:vAlign w:val="center"/>
          </w:tcPr>
          <w:p>
            <w:pPr>
              <w:pStyle w:val="13"/>
            </w:pPr>
            <w:r>
              <w:t>80.74</w:t>
            </w:r>
          </w:p>
        </w:tc>
        <w:tc>
          <w:tcPr>
            <w:tcW w:w="2551" w:type="dxa"/>
            <w:vAlign w:val="center"/>
          </w:tcPr>
          <w:p>
            <w:pPr>
              <w:pStyle w:val="13"/>
            </w:pPr>
            <w:r>
              <w:t>80.74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2012950</w:t>
            </w:r>
          </w:p>
        </w:tc>
        <w:tc>
          <w:tcPr>
            <w:tcW w:w="4535" w:type="dxa"/>
            <w:vAlign w:val="center"/>
          </w:tcPr>
          <w:p>
            <w:pPr>
              <w:pStyle w:val="14"/>
            </w:pPr>
            <w:r>
              <w:t>事业运行</w:t>
            </w:r>
          </w:p>
        </w:tc>
        <w:tc>
          <w:tcPr>
            <w:tcW w:w="2551" w:type="dxa"/>
            <w:vAlign w:val="center"/>
          </w:tcPr>
          <w:p>
            <w:pPr>
              <w:pStyle w:val="13"/>
            </w:pPr>
            <w:r>
              <w:t>80.74</w:t>
            </w:r>
          </w:p>
        </w:tc>
        <w:tc>
          <w:tcPr>
            <w:tcW w:w="2551" w:type="dxa"/>
            <w:vAlign w:val="center"/>
          </w:tcPr>
          <w:p>
            <w:pPr>
              <w:pStyle w:val="13"/>
            </w:pPr>
            <w:r>
              <w:t>80.74</w:t>
            </w:r>
          </w:p>
        </w:tc>
        <w:tc>
          <w:tcPr>
            <w:tcW w:w="2551" w:type="dxa"/>
            <w:vAlign w:val="center"/>
          </w:tcPr>
          <w:p>
            <w:pPr>
              <w:pStyle w:val="13"/>
            </w:pP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80.74</w:t>
            </w:r>
          </w:p>
        </w:tc>
        <w:tc>
          <w:tcPr>
            <w:tcW w:w="2551" w:type="dxa"/>
            <w:vAlign w:val="center"/>
          </w:tcPr>
          <w:p>
            <w:pPr>
              <w:pStyle w:val="17"/>
            </w:pPr>
            <w:r>
              <w:t>76.50</w:t>
            </w:r>
          </w:p>
        </w:tc>
        <w:tc>
          <w:tcPr>
            <w:tcW w:w="2551" w:type="dxa"/>
            <w:vAlign w:val="center"/>
          </w:tcPr>
          <w:p>
            <w:pPr>
              <w:pStyle w:val="17"/>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76.50</w:t>
            </w:r>
          </w:p>
        </w:tc>
        <w:tc>
          <w:tcPr>
            <w:tcW w:w="2551" w:type="dxa"/>
            <w:vAlign w:val="center"/>
          </w:tcPr>
          <w:p>
            <w:pPr>
              <w:pStyle w:val="13"/>
            </w:pPr>
            <w:r>
              <w:t>76.50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76.50</w:t>
            </w:r>
          </w:p>
        </w:tc>
        <w:tc>
          <w:tcPr>
            <w:tcW w:w="2551" w:type="dxa"/>
            <w:vAlign w:val="center"/>
          </w:tcPr>
          <w:p>
            <w:pPr>
              <w:pStyle w:val="13"/>
            </w:pPr>
            <w:r>
              <w:t>76.50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4.24</w:t>
            </w:r>
          </w:p>
        </w:tc>
        <w:tc>
          <w:tcPr>
            <w:tcW w:w="2551" w:type="dxa"/>
            <w:vAlign w:val="center"/>
          </w:tcPr>
          <w:p>
            <w:pPr>
              <w:pStyle w:val="13"/>
            </w:pPr>
          </w:p>
        </w:tc>
        <w:tc>
          <w:tcPr>
            <w:tcW w:w="2551" w:type="dxa"/>
            <w:vAlign w:val="center"/>
          </w:tcPr>
          <w:p>
            <w:pPr>
              <w:pStyle w:val="13"/>
            </w:pPr>
            <w:r>
              <w:t>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2.24</w:t>
            </w:r>
          </w:p>
        </w:tc>
        <w:tc>
          <w:tcPr>
            <w:tcW w:w="2551" w:type="dxa"/>
            <w:vAlign w:val="center"/>
          </w:tcPr>
          <w:p>
            <w:pPr>
              <w:pStyle w:val="13"/>
            </w:pPr>
          </w:p>
        </w:tc>
        <w:tc>
          <w:tcPr>
            <w:tcW w:w="2551" w:type="dxa"/>
            <w:vAlign w:val="center"/>
          </w:tcPr>
          <w:p>
            <w:pPr>
              <w:pStyle w:val="13"/>
            </w:pPr>
            <w:r>
              <w:t>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0.96</w:t>
            </w:r>
          </w:p>
        </w:tc>
        <w:tc>
          <w:tcPr>
            <w:tcW w:w="2551" w:type="dxa"/>
            <w:vAlign w:val="center"/>
          </w:tcPr>
          <w:p>
            <w:pPr>
              <w:pStyle w:val="13"/>
            </w:pPr>
          </w:p>
        </w:tc>
        <w:tc>
          <w:tcPr>
            <w:tcW w:w="2551" w:type="dxa"/>
            <w:vAlign w:val="center"/>
          </w:tcPr>
          <w:p>
            <w:pPr>
              <w:pStyle w:val="13"/>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0.59</w:t>
            </w:r>
          </w:p>
        </w:tc>
        <w:tc>
          <w:tcPr>
            <w:tcW w:w="2551" w:type="dxa"/>
            <w:vAlign w:val="center"/>
          </w:tcPr>
          <w:p>
            <w:pPr>
              <w:pStyle w:val="13"/>
            </w:pPr>
          </w:p>
        </w:tc>
        <w:tc>
          <w:tcPr>
            <w:tcW w:w="2551" w:type="dxa"/>
            <w:vAlign w:val="center"/>
          </w:tcPr>
          <w:p>
            <w:pPr>
              <w:pStyle w:val="13"/>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0.05</w:t>
            </w:r>
          </w:p>
        </w:tc>
        <w:tc>
          <w:tcPr>
            <w:tcW w:w="2551" w:type="dxa"/>
            <w:vAlign w:val="center"/>
          </w:tcPr>
          <w:p>
            <w:pPr>
              <w:pStyle w:val="13"/>
            </w:pPr>
          </w:p>
        </w:tc>
        <w:tc>
          <w:tcPr>
            <w:tcW w:w="2551" w:type="dxa"/>
            <w:vAlign w:val="center"/>
          </w:tcPr>
          <w:p>
            <w:pPr>
              <w:pStyle w:val="13"/>
            </w:pPr>
            <w:r>
              <w:t>0.05</w:t>
            </w:r>
          </w:p>
        </w:tc>
      </w:tr>
    </w:tbl>
    <w:p>
      <w:pPr>
        <w:sectPr>
          <w:pgSz w:w="16840" w:h="11900" w:orient="landscape"/>
          <w:pgMar w:top="1361" w:right="1020" w:bottom="1134" w:left="1020" w:header="720" w:footer="720" w:gutter="0"/>
          <w:cols w:space="720" w:num="1"/>
          <w:docGrid w:linePitch="326" w:charSpace="0"/>
        </w:sectPr>
      </w:pPr>
    </w:p>
    <w:p>
      <w:pPr>
        <w:jc w:val="center"/>
        <w:outlineLvl w:val="4"/>
      </w:pPr>
      <w:r>
        <w:rPr>
          <w:rFonts w:ascii="方正小标宋_GBK" w:eastAsia="方正小标宋_GBK" w:cs="方正小标宋_GBK"/>
          <w:color w:val="000000"/>
          <w:sz w:val="36"/>
        </w:rPr>
        <w:t>单位预算政府基金预算财政拨款支出表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注：无政府基金预算财政拨款预算，空表列示。</w:t>
      </w:r>
    </w:p>
    <w:p>
      <w:pPr>
        <w:jc w:val="center"/>
        <w:outlineLvl w:val="4"/>
      </w:pPr>
      <w:r>
        <w:rPr>
          <w:rFonts w:asci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注：无国有资本经营预算财政拨款预算，空表列示。</w:t>
      </w:r>
    </w:p>
    <w:p>
      <w:pPr>
        <w:jc w:val="center"/>
        <w:outlineLvl w:val="4"/>
      </w:pPr>
      <w:r>
        <w:rPr>
          <w:rFonts w:asci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217004高阳县工人文化宫</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注：无财政拨款“三公”经费支出表预算，空表列示。</w:t>
      </w:r>
    </w:p>
    <w:p>
      <w:pPr>
        <w:jc w:val="center"/>
        <w:outlineLvl w:val="4"/>
      </w:pPr>
      <w:r>
        <w:rPr>
          <w:rFonts w:ascii="方正小标宋_GBK" w:eastAsia="方正小标宋_GBK" w:cs="方正小标宋_GBK"/>
          <w:color w:val="000000"/>
          <w:sz w:val="44"/>
        </w:rPr>
        <w:t>高阳县工人文化宫2023年单位预算信息公开情况说明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、《地方预决算公开操作规程》和《关于进一步推进预算公开工作的实施意见》规定，现将高阳县工人文化宫2023年单位预算公开如下：</w:t>
      </w:r>
    </w:p>
    <w:p>
      <w:pPr>
        <w:spacing w:before="10" w:after="10"/>
        <w:ind w:firstLine="640"/>
        <w:outlineLvl w:val="5"/>
      </w:pPr>
      <w:r>
        <w:rPr>
          <w:rFonts w:ascii="黑体" w:eastAsia="黑体" w:cs="黑体"/>
          <w:color w:val="000000"/>
          <w:sz w:val="32"/>
        </w:rPr>
        <w:t>一、单位职责及机构设置情况</w:t>
      </w:r>
    </w:p>
    <w:p>
      <w:pPr>
        <w:ind w:firstLine="640"/>
      </w:pPr>
      <w:r>
        <w:rPr>
          <w:rFonts w:ascii="方正楷体_GBK" w:eastAsia="方正楷体_GBK" w:cs="方正楷体_GBK"/>
          <w:b/>
          <w:color w:val="000000"/>
          <w:sz w:val="32"/>
        </w:rPr>
        <w:t>单位职责：</w:t>
      </w:r>
    </w:p>
    <w:p>
      <w:pPr>
        <w:pStyle w:val="27"/>
      </w:pPr>
      <w:r>
        <w:t>（一）根据党的基本理论、基本路线、基本纲领和工运方针，围绕党和全县工作大局，贯彻执行中国工会全国代表大会和省、市工会代表大会确定的方针任务和作出的决议。</w:t>
      </w:r>
    </w:p>
    <w:p>
      <w:pPr>
        <w:pStyle w:val="27"/>
      </w:pPr>
      <w:r>
        <w:t>（二）依照法律和《中国工会章程》，组织和指导全县各级工会，坚定不移地落实党的全心全意依靠工人阶级的根本指导方针，进一步突出和履行维护职工合法权益的职能。</w:t>
      </w:r>
    </w:p>
    <w:p>
      <w:pPr>
        <w:pStyle w:val="27"/>
      </w:pPr>
      <w:r>
        <w:t>（三）围绕职工合法权益的重大问题进行调研，向县委、县政府和市总工会反映职工群众的思想、愿望和要求，提出意见和建议；参与涉及职工切身利益的有关地方性规章、政策、制度、措施的拟定；参与职工重大伤亡事故的调查处理。</w:t>
      </w:r>
    </w:p>
    <w:p>
      <w:pPr>
        <w:pStyle w:val="27"/>
      </w:pPr>
      <w:r>
        <w:t xml:space="preserve">（四）负责工会理论政策研究；研究拟定工会的组织制度和民主制度，监督检查《中国工会章程》的贯彻执行；研究指导全县各级工会自身改革和建设，指导全县各级工会组织开展以职工代表大会为基本制度的民主选举、民主决策、民主管理和民主监督工作；研究和推动基层工会建立集体合同制度、工资集体协商和监督保证机制；参与指导劳动合同签订工作；指导基层工会开展群众性经济技术创新活动。 </w:t>
      </w:r>
    </w:p>
    <w:p>
      <w:pPr>
        <w:pStyle w:val="27"/>
      </w:pPr>
      <w:r>
        <w:t>（五）协助乡党委管理乡级工会干部，协助县政府有关部门管理本级工会的领导干部；监督、检查县总工会机关党员干部廉政建设情况；研究制定基层工会干部的管理制度和培训规划，负责各级工会和大型企事业单位工会领导干部的培训工作。</w:t>
      </w:r>
    </w:p>
    <w:p>
      <w:pPr>
        <w:pStyle w:val="27"/>
      </w:pPr>
      <w:r>
        <w:t>（六）协助县政府做好县级、市级、省级及全国劳动模范的推荐、评选、管理工作，负责全国和省“五一”奖章、奖状获得者的推荐、评选和管理工作。</w:t>
      </w:r>
    </w:p>
    <w:p>
      <w:pPr>
        <w:pStyle w:val="27"/>
      </w:pPr>
      <w:r>
        <w:t>（七）负责工会经费和工会资产的管理、审查、审计工作；</w:t>
      </w:r>
    </w:p>
    <w:p>
      <w:pPr>
        <w:pStyle w:val="27"/>
      </w:pPr>
      <w:r>
        <w:t>（八）承担县委、县政府交办的其他事项。</w:t>
      </w:r>
    </w:p>
    <w:p>
      <w:pPr>
        <w:ind w:firstLine="640"/>
      </w:pPr>
      <w:r>
        <w:rPr>
          <w:rFonts w:ascii="方正楷体_GBK" w:eastAsia="方正楷体_GBK" w:cs="方正楷体_GBK"/>
          <w:b/>
          <w:color w:val="000000"/>
          <w:sz w:val="32"/>
        </w:rPr>
        <w:t>机构设置：</w:t>
      </w:r>
    </w:p>
    <w:p>
      <w:pPr>
        <w:jc w:val="center"/>
      </w:pPr>
      <w:r>
        <w:rPr>
          <w:rFonts w:asci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高阳县工人文化宫</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ind w:firstLine="640"/>
        <w:outlineLvl w:val="5"/>
      </w:pPr>
      <w:r>
        <w:rPr>
          <w:rFonts w:ascii="黑体" w:eastAsia="黑体" w:cs="黑体"/>
          <w:color w:val="000000"/>
          <w:sz w:val="32"/>
        </w:rPr>
        <w:t>二、单位预算安排的总体情况</w:t>
      </w:r>
    </w:p>
    <w:p>
      <w:pPr>
        <w:pStyle w:val="28"/>
      </w:pPr>
      <w:r>
        <w:t>按照预算管理有关规定，目前我县单位预算的编制实行综合预算管理，即全部收入和支出都反映在预算中。</w:t>
      </w:r>
    </w:p>
    <w:p>
      <w:pPr>
        <w:pStyle w:val="28"/>
      </w:pPr>
      <w:r>
        <w:t>单位预算安排的总体情况</w:t>
      </w:r>
      <w:r>
        <w:rPr>
          <w:rFonts w:ascii="Times New Roman" w:hAnsi="Times New Roman" w:eastAsia="方正仿宋_GBK" w:cs="Times New Roman"/>
          <w:color w:val="000000"/>
          <w:sz w:val="28"/>
        </w:rPr>
        <w:t>包含在部门预算中。</w:t>
      </w:r>
    </w:p>
    <w:p>
      <w:pPr>
        <w:pStyle w:val="28"/>
      </w:pPr>
      <w:r>
        <w:t>一、收入说明</w:t>
      </w:r>
    </w:p>
    <w:p>
      <w:pPr>
        <w:pStyle w:val="28"/>
      </w:pPr>
      <w:r>
        <w:t>2023年度高阳县总工会年初单位收入预算总额为80.74万元。按资金来源，一般预算收入80.74元，政府性基金收入0元，财政拨款收入为0元，其他收入来源0元。</w:t>
      </w:r>
    </w:p>
    <w:p>
      <w:pPr>
        <w:pStyle w:val="28"/>
      </w:pPr>
      <w:r>
        <w:t>其中：人员经费预算为76.5万元</w:t>
      </w:r>
    </w:p>
    <w:p>
      <w:pPr>
        <w:pStyle w:val="28"/>
      </w:pPr>
      <w:r>
        <w:t xml:space="preserve">正常公用经费预算为4.24万元 </w:t>
      </w:r>
    </w:p>
    <w:p>
      <w:pPr>
        <w:pStyle w:val="28"/>
      </w:pPr>
      <w:r>
        <w:t>二、支出说明</w:t>
      </w:r>
    </w:p>
    <w:p>
      <w:pPr>
        <w:pStyle w:val="28"/>
      </w:pPr>
      <w:r>
        <w:t>2023年度高阳县总工会支出预算80.74万元。</w:t>
      </w:r>
    </w:p>
    <w:p>
      <w:pPr>
        <w:pStyle w:val="28"/>
      </w:pPr>
      <w:r>
        <w:t>基本支出：80.74万元,其中：人员经费76.5万元,日常公用经费4.24万元。</w:t>
      </w:r>
    </w:p>
    <w:p>
      <w:pPr>
        <w:spacing w:line="500" w:lineRule="exact"/>
        <w:ind w:firstLine="560"/>
        <w:rPr>
          <w:rFonts w:hint="eastAsia" w:eastAsia="方正仿宋_GBK"/>
          <w:color w:val="000000"/>
          <w:sz w:val="28"/>
          <w:lang w:val="en-US" w:eastAsia="zh-CN"/>
        </w:rPr>
      </w:pPr>
      <w:r>
        <w:rPr>
          <w:rFonts w:hint="eastAsia" w:eastAsia="方正仿宋_GBK"/>
          <w:color w:val="000000"/>
          <w:sz w:val="28"/>
          <w:lang w:val="en-US" w:eastAsia="zh-CN"/>
        </w:rPr>
        <w:t>三、与上年相比增减变化情况</w:t>
      </w:r>
    </w:p>
    <w:p>
      <w:pPr>
        <w:pStyle w:val="28"/>
      </w:pPr>
      <w:r>
        <w:rPr>
          <w:rFonts w:hint="eastAsia" w:eastAsia="方正仿宋_GBK"/>
          <w:color w:val="000000"/>
          <w:sz w:val="28"/>
          <w:lang w:val="en-US" w:eastAsia="zh-CN"/>
        </w:rPr>
        <w:t>本年度预算收支安排</w:t>
      </w:r>
      <w:r>
        <w:rPr>
          <w:rFonts w:hint="eastAsia"/>
          <w:color w:val="000000"/>
          <w:sz w:val="28"/>
          <w:lang w:val="en-US" w:eastAsia="zh-CN"/>
        </w:rPr>
        <w:t>80.74</w:t>
      </w:r>
      <w:r>
        <w:rPr>
          <w:rFonts w:hint="eastAsia" w:eastAsia="方正仿宋_GBK"/>
          <w:color w:val="000000"/>
          <w:sz w:val="28"/>
          <w:lang w:val="en-US" w:eastAsia="zh-CN"/>
        </w:rPr>
        <w:t>万元，较上年</w:t>
      </w:r>
      <w:r>
        <w:rPr>
          <w:rFonts w:hint="eastAsia"/>
          <w:color w:val="000000"/>
          <w:sz w:val="28"/>
          <w:lang w:val="en-US" w:eastAsia="zh-CN"/>
        </w:rPr>
        <w:t>增加80.74万</w:t>
      </w:r>
      <w:r>
        <w:rPr>
          <w:rFonts w:hint="eastAsia" w:eastAsia="方正仿宋_GBK"/>
          <w:color w:val="000000"/>
          <w:sz w:val="28"/>
          <w:lang w:val="en-US" w:eastAsia="zh-CN"/>
        </w:rPr>
        <w:t>元。其中:基本支出</w:t>
      </w:r>
      <w:r>
        <w:rPr>
          <w:rFonts w:hint="eastAsia"/>
          <w:color w:val="000000"/>
          <w:sz w:val="28"/>
          <w:lang w:val="en-US" w:eastAsia="zh-CN"/>
        </w:rPr>
        <w:t>增加80.74</w:t>
      </w:r>
      <w:r>
        <w:rPr>
          <w:rFonts w:hint="eastAsia" w:eastAsia="方正仿宋_GBK"/>
          <w:color w:val="000000"/>
          <w:sz w:val="28"/>
          <w:lang w:val="en-US" w:eastAsia="zh-CN"/>
        </w:rPr>
        <w:t>万元，主要原因是</w:t>
      </w:r>
      <w:r>
        <w:rPr>
          <w:rFonts w:hint="eastAsia"/>
          <w:color w:val="000000"/>
          <w:sz w:val="28"/>
          <w:lang w:val="en-US" w:eastAsia="zh-CN"/>
        </w:rPr>
        <w:t>预算调整增加</w:t>
      </w:r>
      <w:r>
        <w:rPr>
          <w:rFonts w:hint="eastAsia" w:eastAsia="方正仿宋_GBK"/>
          <w:color w:val="000000"/>
          <w:sz w:val="28"/>
          <w:lang w:val="en-US" w:eastAsia="zh-CN"/>
        </w:rPr>
        <w:t>；项目支出增加</w:t>
      </w:r>
      <w:r>
        <w:rPr>
          <w:rFonts w:hint="eastAsia"/>
          <w:color w:val="000000"/>
          <w:sz w:val="28"/>
          <w:lang w:val="en-US" w:eastAsia="zh-CN"/>
        </w:rPr>
        <w:t>0</w:t>
      </w:r>
      <w:r>
        <w:rPr>
          <w:rFonts w:hint="eastAsia" w:eastAsia="方正仿宋_GBK"/>
          <w:color w:val="000000"/>
          <w:sz w:val="28"/>
          <w:lang w:val="en-US" w:eastAsia="zh-CN"/>
        </w:rPr>
        <w:t>万元，主要原因是</w:t>
      </w:r>
      <w:r>
        <w:rPr>
          <w:rFonts w:hint="eastAsia"/>
          <w:color w:val="000000"/>
          <w:sz w:val="28"/>
          <w:lang w:val="en-US" w:eastAsia="zh-CN"/>
        </w:rPr>
        <w:t>无</w:t>
      </w:r>
      <w:r>
        <w:rPr>
          <w:rFonts w:hint="eastAsia" w:eastAsia="方正仿宋_GBK"/>
          <w:color w:val="000000"/>
          <w:sz w:val="28"/>
          <w:lang w:val="en-US" w:eastAsia="zh-CN"/>
        </w:rPr>
        <w:t>项目。</w:t>
      </w:r>
    </w:p>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textAlignment w:val="auto"/>
        <w:outlineLvl w:val="5"/>
      </w:pPr>
      <w:r>
        <w:rPr>
          <w:rFonts w:ascii="黑体" w:eastAsia="黑体" w:cs="黑体"/>
          <w:color w:val="000000"/>
          <w:sz w:val="32"/>
        </w:rPr>
        <w:t>三、机关运行经费安排情况</w:t>
      </w:r>
    </w:p>
    <w:p>
      <w:pPr>
        <w:pStyle w:val="29"/>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pPr>
      <w:r>
        <w:t>2023年高阳县总工会日常公用经费支出4.24万元，其中办公费2.24万元、电费0万，邮电费0.96万元、工会经费0.59万元、福利费0.4万元、党建费0.05万元，其他费用安排均为0</w:t>
      </w:r>
    </w:p>
    <w:p>
      <w:pPr>
        <w:keepNext w:val="0"/>
        <w:keepLines w:val="0"/>
        <w:pageBreakBefore w:val="0"/>
        <w:widowControl/>
        <w:kinsoku/>
        <w:wordWrap/>
        <w:overflowPunct/>
        <w:topLinePunct w:val="0"/>
        <w:autoSpaceDE/>
        <w:autoSpaceDN/>
        <w:bidi w:val="0"/>
        <w:adjustRightInd/>
        <w:snapToGrid/>
        <w:spacing w:before="10" w:after="10" w:line="500" w:lineRule="exact"/>
        <w:ind w:firstLine="640" w:firstLineChars="200"/>
        <w:textAlignment w:val="auto"/>
        <w:outlineLvl w:val="5"/>
      </w:pPr>
      <w:r>
        <w:rPr>
          <w:rFonts w:ascii="黑体" w:eastAsia="黑体" w:cs="黑体"/>
          <w:color w:val="000000"/>
          <w:sz w:val="32"/>
        </w:rPr>
        <w:t>四、财政拨款“三公”经费预算情况及增减变化原因</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ind w:firstLine="640" w:firstLineChars="200"/>
        <w:textAlignment w:val="auto"/>
        <w:outlineLvl w:val="5"/>
        <w:rPr>
          <w:rFonts w:hint="eastAsia" w:ascii="仿宋_GB2312" w:hAnsi="仿宋_GB2312" w:eastAsia="仿宋_GB2312" w:cs="仿宋_GB2312"/>
          <w:b w:val="0"/>
          <w:bCs w:val="0"/>
          <w:color w:val="000000"/>
          <w:sz w:val="32"/>
          <w:lang w:eastAsia="zh-CN"/>
        </w:rPr>
      </w:pPr>
      <w:r>
        <w:rPr>
          <w:rFonts w:hint="eastAsia" w:ascii="仿宋_GB2312" w:hAnsi="仿宋_GB2312" w:eastAsia="仿宋_GB2312" w:cs="仿宋_GB2312"/>
          <w:b w:val="0"/>
          <w:bCs w:val="0"/>
          <w:color w:val="000000"/>
          <w:sz w:val="32"/>
          <w:lang w:eastAsia="zh-CN"/>
        </w:rPr>
        <w:t>无</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firstLine="640" w:firstLineChars="200"/>
        <w:textAlignment w:val="auto"/>
        <w:outlineLvl w:val="5"/>
        <w:rPr>
          <w:rFonts w:ascii="黑体" w:eastAsia="黑体" w:cs="黑体"/>
          <w:color w:val="000000"/>
          <w:sz w:val="32"/>
        </w:rPr>
      </w:pPr>
      <w:r>
        <w:rPr>
          <w:rFonts w:ascii="黑体" w:eastAsia="黑体" w:cs="黑体"/>
          <w:color w:val="000000"/>
          <w:sz w:val="32"/>
        </w:rPr>
        <w:t>预算绩效信息</w:t>
      </w:r>
    </w:p>
    <w:p>
      <w:pPr>
        <w:keepNext w:val="0"/>
        <w:keepLines w:val="0"/>
        <w:pageBreakBefore w:val="0"/>
        <w:widowControl/>
        <w:numPr>
          <w:numId w:val="0"/>
        </w:numPr>
        <w:kinsoku/>
        <w:wordWrap/>
        <w:overflowPunct/>
        <w:topLinePunct w:val="0"/>
        <w:autoSpaceDE/>
        <w:autoSpaceDN/>
        <w:bidi w:val="0"/>
        <w:adjustRightInd/>
        <w:snapToGrid/>
        <w:spacing w:before="10" w:after="10" w:line="500" w:lineRule="exact"/>
        <w:ind w:firstLine="640" w:firstLineChars="200"/>
        <w:textAlignment w:val="auto"/>
        <w:outlineLvl w:val="5"/>
        <w:rPr>
          <w:rFonts w:hint="eastAsia" w:ascii="仿宋_GB2312" w:hAnsi="仿宋_GB2312" w:eastAsia="仿宋_GB2312" w:cs="仿宋_GB2312"/>
          <w:b w:val="0"/>
          <w:bCs w:val="0"/>
          <w:color w:val="000000"/>
          <w:sz w:val="32"/>
          <w:lang w:eastAsia="zh-CN"/>
        </w:rPr>
        <w:sectPr>
          <w:pgSz w:w="16840" w:h="11900" w:orient="landscape"/>
          <w:pgMar w:top="1361" w:right="1020" w:bottom="1361" w:left="1020" w:header="720" w:footer="720" w:gutter="0"/>
          <w:cols w:space="720" w:num="1"/>
          <w:docGrid w:linePitch="326" w:charSpace="0"/>
        </w:sectPr>
      </w:pPr>
      <w:r>
        <w:rPr>
          <w:rFonts w:hint="eastAsia" w:ascii="仿宋_GB2312" w:hAnsi="仿宋_GB2312" w:eastAsia="仿宋_GB2312" w:cs="仿宋_GB2312"/>
          <w:b w:val="0"/>
          <w:bCs w:val="0"/>
          <w:color w:val="000000"/>
          <w:sz w:val="32"/>
          <w:lang w:eastAsia="zh-CN"/>
        </w:rPr>
        <w:t>无</w:t>
      </w:r>
      <w:bookmarkStart w:id="1" w:name="_GoBack"/>
      <w:bookmarkEnd w:id="1"/>
    </w:p>
    <w:p>
      <w:pPr>
        <w:spacing w:before="10" w:after="10"/>
        <w:ind w:firstLine="640"/>
        <w:outlineLvl w:val="5"/>
      </w:pPr>
      <w:r>
        <w:rPr>
          <w:rFonts w:ascii="黑体" w:eastAsia="黑体" w:cs="黑体"/>
          <w:color w:val="000000"/>
          <w:sz w:val="32"/>
        </w:rPr>
        <w:t>六、政府采购预算情况</w:t>
      </w:r>
    </w:p>
    <w:p>
      <w:pPr>
        <w:spacing w:line="500" w:lineRule="exact"/>
        <w:ind w:firstLine="560"/>
      </w:pPr>
      <w:r>
        <w:rPr>
          <w:rFonts w:eastAsia="方正仿宋_GBK"/>
          <w:color w:val="000000"/>
          <w:sz w:val="28"/>
        </w:rPr>
        <w:t>2023年，高阳县工人文化宫安排政府采购预算0.00万元。具体内容见下表。</w:t>
      </w:r>
    </w:p>
    <w:p>
      <w:pPr>
        <w:jc w:val="center"/>
      </w:pPr>
      <w:r>
        <w:rPr>
          <w:rFonts w:asci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217004高阳县工人文化宫</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eastAsia="黑体" w:cs="黑体"/>
          <w:color w:val="000000"/>
          <w:sz w:val="32"/>
        </w:rPr>
        <w:t>七、国有资产信息</w:t>
      </w:r>
    </w:p>
    <w:p>
      <w:pPr>
        <w:spacing w:line="500" w:lineRule="exact"/>
        <w:ind w:firstLine="560"/>
      </w:pPr>
      <w:r>
        <w:rPr>
          <w:rFonts w:eastAsia="方正仿宋_GBK"/>
          <w:color w:val="000000"/>
          <w:sz w:val="28"/>
        </w:rPr>
        <w:t>高阳县工人文化宫上年末固定资产金额为0.00万元（详见下表）。本年度拟购置固定资产总额为0.00万元。</w:t>
      </w:r>
    </w:p>
    <w:p>
      <w:pPr>
        <w:jc w:val="center"/>
      </w:pPr>
      <w:r>
        <w:rPr>
          <w:rFonts w:ascii="方正小标宋_GBK" w:eastAsia="方正小标宋_GBK" w:cs="方正小标宋_GBK"/>
          <w:color w:val="000000"/>
          <w:sz w:val="36"/>
        </w:rPr>
        <w:t>单位固定资产占用情况表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217004高阳县工人文化宫</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ind w:firstLine="420"/>
      </w:pPr>
      <w:r>
        <w:rPr>
          <w:rFonts w:asci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DB4BB"/>
    <w:multiLevelType w:val="singleLevel"/>
    <w:tmpl w:val="B52DB4B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20"/>
  <w:drawingGridVerticalSpacing w:val="163"/>
  <w:displayHorizontalDrawingGridEvery w:val="0"/>
  <w:characterSpacingControl w:val="doNotCompress"/>
  <w:compat>
    <w:spaceForUL/>
    <w:doNotExpandShiftReturn/>
    <w:adjustLineHeightInTable/>
    <w:useFELayout/>
    <w:compatSetting w:name="compatibilityMode" w:uri="http://schemas.microsoft.com/office/word" w:val="12"/>
  </w:compat>
  <w:docVars>
    <w:docVar w:name="commondata" w:val="eyJoZGlkIjoiMDM0NmM1MWZmNGE0NzkzZWJiMzVkYzNiNDQ4OWFmYzUifQ=="/>
  </w:docVars>
  <w:rsids>
    <w:rsidRoot w:val="00DE63F8"/>
    <w:rsid w:val="00604FEE"/>
    <w:rsid w:val="00DE63F8"/>
    <w:rsid w:val="00F921A9"/>
    <w:rsid w:val="260B57DA"/>
    <w:rsid w:val="2AE05E0B"/>
    <w:rsid w:val="55C63542"/>
    <w:rsid w:val="6CA36F61"/>
    <w:rsid w:val="6ECD18C5"/>
    <w:rsid w:val="7E304F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36"/>
    <w:qFormat/>
    <w:uiPriority w:val="0"/>
    <w:pPr>
      <w:tabs>
        <w:tab w:val="center" w:pos="4153"/>
        <w:tab w:val="right" w:pos="8306"/>
      </w:tabs>
      <w:snapToGrid w:val="0"/>
    </w:pPr>
    <w:rPr>
      <w:sz w:val="18"/>
      <w:szCs w:val="18"/>
    </w:rPr>
  </w:style>
  <w:style w:type="paragraph" w:styleId="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单元格样式22"/>
    <w:basedOn w:val="1"/>
    <w:qFormat/>
    <w:uiPriority w:val="0"/>
    <w:pPr>
      <w:jc w:val="right"/>
    </w:pPr>
    <w:rPr>
      <w:rFonts w:ascii="方正小标宋_GBK" w:eastAsia="方正小标宋_GBK" w:cs="方正小标宋_GBK"/>
    </w:rPr>
  </w:style>
  <w:style w:type="paragraph" w:customStyle="1" w:styleId="10">
    <w:name w:val="单元格样式21"/>
    <w:basedOn w:val="1"/>
    <w:qFormat/>
    <w:uiPriority w:val="0"/>
    <w:pPr>
      <w:jc w:val="center"/>
    </w:pPr>
    <w:rPr>
      <w:rFonts w:ascii="方正小标宋_GBK" w:eastAsia="方正小标宋_GBK" w:cs="方正小标宋_GBK"/>
    </w:rPr>
  </w:style>
  <w:style w:type="paragraph" w:customStyle="1" w:styleId="11">
    <w:name w:val="单元格样式20"/>
    <w:basedOn w:val="1"/>
    <w:qFormat/>
    <w:uiPriority w:val="0"/>
    <w:rPr>
      <w:rFonts w:ascii="方正小标宋_GBK" w:eastAsia="方正小标宋_GBK" w:cs="方正小标宋_GBK"/>
    </w:rPr>
  </w:style>
  <w:style w:type="paragraph" w:customStyle="1" w:styleId="12">
    <w:name w:val="单元格样式1"/>
    <w:basedOn w:val="1"/>
    <w:qFormat/>
    <w:uiPriority w:val="0"/>
    <w:pPr>
      <w:jc w:val="center"/>
    </w:pPr>
    <w:rPr>
      <w:rFonts w:ascii="方正书宋_GBK" w:eastAsia="方正书宋_GBK" w:cs="方正书宋_GBK"/>
      <w:b/>
      <w:sz w:val="21"/>
    </w:rPr>
  </w:style>
  <w:style w:type="paragraph" w:customStyle="1" w:styleId="13">
    <w:name w:val="单元格样式4"/>
    <w:basedOn w:val="1"/>
    <w:qFormat/>
    <w:uiPriority w:val="0"/>
    <w:pPr>
      <w:jc w:val="right"/>
    </w:pPr>
    <w:rPr>
      <w:rFonts w:ascii="方正书宋_GBK" w:eastAsia="方正书宋_GBK" w:cs="方正书宋_GBK"/>
      <w:sz w:val="21"/>
    </w:rPr>
  </w:style>
  <w:style w:type="paragraph" w:customStyle="1" w:styleId="14">
    <w:name w:val="单元格样式2"/>
    <w:basedOn w:val="1"/>
    <w:qFormat/>
    <w:uiPriority w:val="0"/>
    <w:rPr>
      <w:rFonts w:ascii="方正书宋_GBK" w:eastAsia="方正书宋_GBK" w:cs="方正书宋_GBK"/>
      <w:sz w:val="21"/>
    </w:rPr>
  </w:style>
  <w:style w:type="paragraph" w:customStyle="1" w:styleId="15">
    <w:name w:val="单元格样式3"/>
    <w:basedOn w:val="1"/>
    <w:qFormat/>
    <w:uiPriority w:val="0"/>
    <w:pPr>
      <w:jc w:val="center"/>
    </w:pPr>
    <w:rPr>
      <w:rFonts w:ascii="方正书宋_GBK" w:eastAsia="方正书宋_GBK" w:cs="方正书宋_GBK"/>
      <w:sz w:val="21"/>
    </w:rPr>
  </w:style>
  <w:style w:type="paragraph" w:customStyle="1" w:styleId="16">
    <w:name w:val="单元格样式6"/>
    <w:basedOn w:val="1"/>
    <w:qFormat/>
    <w:uiPriority w:val="0"/>
    <w:pPr>
      <w:jc w:val="center"/>
    </w:pPr>
    <w:rPr>
      <w:rFonts w:ascii="方正书宋_GBK" w:eastAsia="方正书宋_GBK" w:cs="方正书宋_GBK"/>
      <w:b/>
      <w:sz w:val="21"/>
    </w:rPr>
  </w:style>
  <w:style w:type="paragraph" w:customStyle="1" w:styleId="17">
    <w:name w:val="单元格样式7"/>
    <w:basedOn w:val="1"/>
    <w:qFormat/>
    <w:uiPriority w:val="0"/>
    <w:pPr>
      <w:jc w:val="right"/>
    </w:pPr>
    <w:rPr>
      <w:rFonts w:ascii="方正书宋_GBK" w:eastAsia="方正书宋_GBK" w:cs="方正书宋_GBK"/>
      <w:b/>
      <w:sz w:val="21"/>
    </w:rPr>
  </w:style>
  <w:style w:type="paragraph" w:customStyle="1" w:styleId="18">
    <w:name w:val="单元格样式5"/>
    <w:basedOn w:val="1"/>
    <w:qFormat/>
    <w:uiPriority w:val="0"/>
    <w:rPr>
      <w:rFonts w:asci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插入文本样式-插入总体目标文件"/>
    <w:basedOn w:val="1"/>
    <w:qFormat/>
    <w:uiPriority w:val="0"/>
    <w:pPr>
      <w:spacing w:line="500" w:lineRule="exact"/>
      <w:ind w:firstLine="560"/>
    </w:pPr>
    <w:rPr>
      <w:rFonts w:eastAsia="方正仿宋_GBK"/>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6">
    <w:name w:val="单元格样式23"/>
    <w:basedOn w:val="1"/>
    <w:qFormat/>
    <w:uiPriority w:val="0"/>
    <w:pPr>
      <w:jc w:val="right"/>
    </w:pPr>
    <w:rPr>
      <w:rFonts w:asci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1">
    <w:name w:val="TOC 2"/>
    <w:basedOn w:val="1"/>
    <w:qFormat/>
    <w:uiPriority w:val="0"/>
    <w:pPr>
      <w:ind w:left="240"/>
    </w:pPr>
  </w:style>
  <w:style w:type="paragraph" w:customStyle="1" w:styleId="32">
    <w:name w:val="TOC 3"/>
    <w:basedOn w:val="1"/>
    <w:qFormat/>
    <w:uiPriority w:val="0"/>
    <w:pPr>
      <w:ind w:left="480"/>
    </w:pPr>
  </w:style>
  <w:style w:type="paragraph" w:customStyle="1" w:styleId="33">
    <w:name w:val="TOC 4"/>
    <w:basedOn w:val="1"/>
    <w:qFormat/>
    <w:uiPriority w:val="0"/>
    <w:pPr>
      <w:ind w:left="720"/>
    </w:pPr>
  </w:style>
  <w:style w:type="paragraph" w:customStyle="1" w:styleId="34">
    <w:name w:val="TOC 1"/>
    <w:basedOn w:val="1"/>
    <w:qFormat/>
    <w:uiPriority w:val="0"/>
    <w:pPr>
      <w:spacing w:before="120"/>
      <w:ind w:firstLine="560"/>
    </w:pPr>
    <w:rPr>
      <w:rFonts w:eastAsia="方正仿宋_GBK"/>
      <w:color w:val="000000"/>
      <w:sz w:val="28"/>
    </w:rPr>
  </w:style>
  <w:style w:type="character" w:customStyle="1" w:styleId="35">
    <w:name w:val="页眉 Char"/>
    <w:basedOn w:val="8"/>
    <w:link w:val="6"/>
    <w:qFormat/>
    <w:uiPriority w:val="0"/>
    <w:rPr>
      <w:rFonts w:eastAsia="Times New Roman"/>
      <w:sz w:val="18"/>
      <w:szCs w:val="18"/>
      <w:lang w:eastAsia="uk-UA"/>
    </w:rPr>
  </w:style>
  <w:style w:type="character" w:customStyle="1" w:styleId="36">
    <w:name w:val="页脚 Char"/>
    <w:basedOn w:val="8"/>
    <w:link w:val="5"/>
    <w:uiPriority w:val="0"/>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4193</Words>
  <Characters>4730</Characters>
  <Lines>42</Lines>
  <Paragraphs>11</Paragraphs>
  <TotalTime>19</TotalTime>
  <ScaleCrop>false</ScaleCrop>
  <LinksUpToDate>false</LinksUpToDate>
  <CharactersWithSpaces>4844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2023-03-07T10:10:00Z</dcterms:created>
  <dc:creator>Admin</dc:creator>
  <cp:lastModifiedBy>Administrator</cp:lastModifiedBy>
  <dcterms:modified xsi:type="dcterms:W3CDTF">2024-10-21T02:29:21Z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16581886AE2A4BF79077D5B59F6E2ADA</vt:lpwstr>
  </property>
</Properties>
</file>