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仿宋_GB2312"/>
          <w:lang w:val="en-US" w:eastAsia="zh-CN"/>
        </w:rPr>
      </w:pPr>
      <w:bookmarkStart w:id="0" w:name="_GoBack"/>
      <w:bookmarkEnd w:id="0"/>
      <w:r>
        <w:rPr>
          <w:rFonts w:hint="eastAsia"/>
        </w:rPr>
        <w:t>高阳县卫健局</w:t>
      </w:r>
      <w:r>
        <w:rPr>
          <w:rFonts w:hint="eastAsia"/>
          <w:lang w:val="en-US" w:eastAsia="zh-CN"/>
        </w:rPr>
        <w:t>权责清单事项总表</w:t>
      </w:r>
    </w:p>
    <w:p>
      <w:pPr>
        <w:jc w:val="both"/>
      </w:pPr>
      <w:r>
        <w:rPr>
          <w:rFonts w:hint="eastAsia"/>
          <w:lang w:val="en-US" w:eastAsia="zh-CN"/>
        </w:rPr>
        <w:t xml:space="preserve">单位：                             </w:t>
      </w:r>
      <w:r>
        <w:rPr>
          <w:rFonts w:hint="eastAsia"/>
          <w:lang w:eastAsia="zh-CN"/>
        </w:rPr>
        <w:t>（</w:t>
      </w:r>
      <w:r>
        <w:rPr>
          <w:rFonts w:hint="eastAsia"/>
          <w:lang w:val="en-US" w:eastAsia="zh-CN"/>
        </w:rPr>
        <w:t>共5类、95项</w:t>
      </w:r>
      <w:r>
        <w:rPr>
          <w:rFonts w:hint="eastAsia"/>
          <w:lang w:eastAsia="zh-CN"/>
        </w:rPr>
        <w:t>）</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3137"/>
        <w:gridCol w:w="7024"/>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hint="eastAsia" w:ascii="黑体" w:hAnsi="黑体" w:eastAsia="黑体"/>
                <w:sz w:val="21"/>
                <w:szCs w:val="21"/>
                <w:vertAlign w:val="baseline"/>
                <w:lang w:val="en-US" w:eastAsia="zh-CN"/>
              </w:rPr>
            </w:pPr>
            <w:r>
              <w:rPr>
                <w:rFonts w:hint="eastAsia" w:ascii="黑体" w:hAnsi="黑体" w:eastAsia="黑体"/>
                <w:color w:val="000000"/>
                <w:sz w:val="21"/>
                <w:szCs w:val="21"/>
                <w:lang w:val="zh-CN"/>
              </w:rPr>
              <w:t>总序号</w:t>
            </w:r>
          </w:p>
        </w:tc>
        <w:tc>
          <w:tcPr>
            <w:tcW w:w="3137" w:type="dxa"/>
            <w:noWrap w:val="0"/>
            <w:vAlign w:val="center"/>
          </w:tcPr>
          <w:p>
            <w:pPr>
              <w:autoSpaceDE w:val="0"/>
              <w:autoSpaceDN w:val="0"/>
              <w:adjustRightInd w:val="0"/>
              <w:ind w:left="0" w:leftChars="0" w:right="0" w:rightChars="0" w:firstLine="0" w:firstLineChars="0"/>
              <w:jc w:val="center"/>
              <w:rPr>
                <w:rFonts w:hint="eastAsia" w:ascii="黑体" w:hAnsi="黑体" w:eastAsia="黑体"/>
                <w:sz w:val="21"/>
                <w:szCs w:val="21"/>
                <w:vertAlign w:val="baseline"/>
                <w:lang w:val="en-US" w:eastAsia="zh-CN"/>
              </w:rPr>
            </w:pPr>
            <w:r>
              <w:rPr>
                <w:rFonts w:hint="eastAsia" w:ascii="黑体" w:hAnsi="黑体" w:eastAsia="黑体"/>
                <w:color w:val="000000"/>
                <w:sz w:val="21"/>
                <w:szCs w:val="21"/>
                <w:lang w:val="zh-CN"/>
              </w:rPr>
              <w:t>类别及序号</w:t>
            </w:r>
          </w:p>
        </w:tc>
        <w:tc>
          <w:tcPr>
            <w:tcW w:w="7024" w:type="dxa"/>
            <w:noWrap w:val="0"/>
            <w:vAlign w:val="center"/>
          </w:tcPr>
          <w:p>
            <w:pPr>
              <w:autoSpaceDE w:val="0"/>
              <w:autoSpaceDN w:val="0"/>
              <w:adjustRightInd w:val="0"/>
              <w:ind w:left="0" w:leftChars="0" w:right="0" w:rightChars="0" w:firstLine="0" w:firstLineChars="0"/>
              <w:jc w:val="center"/>
              <w:rPr>
                <w:rFonts w:hint="eastAsia" w:ascii="黑体" w:hAnsi="黑体" w:eastAsia="黑体"/>
                <w:sz w:val="21"/>
                <w:szCs w:val="21"/>
                <w:vertAlign w:val="baseline"/>
                <w:lang w:val="en-US" w:eastAsia="zh-CN"/>
              </w:rPr>
            </w:pPr>
            <w:r>
              <w:rPr>
                <w:rFonts w:hint="eastAsia" w:ascii="黑体" w:hAnsi="黑体" w:eastAsia="黑体"/>
                <w:color w:val="000000"/>
                <w:sz w:val="21"/>
                <w:szCs w:val="21"/>
                <w:lang w:val="zh-CN"/>
              </w:rPr>
              <w:t>项目名称及数量</w:t>
            </w:r>
          </w:p>
        </w:tc>
        <w:tc>
          <w:tcPr>
            <w:tcW w:w="225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黑体" w:hAnsi="黑体" w:eastAsia="黑体"/>
                <w:sz w:val="21"/>
                <w:szCs w:val="21"/>
                <w:vertAlign w:val="baseline"/>
                <w:lang w:val="en-US" w:eastAsia="zh-CN"/>
              </w:rPr>
            </w:pPr>
            <w:r>
              <w:rPr>
                <w:rFonts w:hint="eastAsia" w:ascii="黑体" w:hAnsi="黑体" w:eastAsia="黑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right="0" w:rightChars="0" w:firstLine="0"/>
              <w:jc w:val="center"/>
              <w:textAlignment w:val="auto"/>
              <w:rPr>
                <w:rFonts w:hint="eastAsia" w:ascii="仿宋_GB2312"/>
                <w:sz w:val="21"/>
                <w:szCs w:val="21"/>
                <w:vertAlign w:val="baseline"/>
                <w:lang w:val="en-US" w:eastAsia="zh-CN"/>
              </w:rPr>
            </w:pPr>
          </w:p>
        </w:tc>
        <w:tc>
          <w:tcPr>
            <w:tcW w:w="3137"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r>
              <w:rPr>
                <w:rFonts w:hint="eastAsia" w:ascii="仿宋_GB2312"/>
                <w:sz w:val="21"/>
                <w:szCs w:val="21"/>
                <w:vertAlign w:val="baseline"/>
                <w:lang w:val="en-US" w:eastAsia="zh-CN"/>
              </w:rPr>
              <w:t>一、行政处罚</w:t>
            </w:r>
          </w:p>
        </w:tc>
        <w:tc>
          <w:tcPr>
            <w:tcW w:w="7024"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r>
              <w:rPr>
                <w:rFonts w:hint="eastAsia" w:ascii="仿宋_GB2312"/>
                <w:sz w:val="21"/>
                <w:szCs w:val="21"/>
                <w:vertAlign w:val="baseline"/>
                <w:lang w:val="en-US" w:eastAsia="zh-CN"/>
              </w:rPr>
              <w:t>共52项</w:t>
            </w:r>
          </w:p>
        </w:tc>
        <w:tc>
          <w:tcPr>
            <w:tcW w:w="225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2" w:type="dxa"/>
            <w:noWrap w:val="0"/>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noWrap w:val="0"/>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对违反医护人员管理法律法规规章行为的处罚</w:t>
            </w:r>
          </w:p>
        </w:tc>
        <w:tc>
          <w:tcPr>
            <w:tcW w:w="225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noWrap w:val="0"/>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noWrap w:val="0"/>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对违反医疗机构管理法规、规章行为的处罚</w:t>
            </w:r>
          </w:p>
        </w:tc>
        <w:tc>
          <w:tcPr>
            <w:tcW w:w="225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52" w:type="dxa"/>
            <w:noWrap w:val="0"/>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noWrap w:val="0"/>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对违反麻醉药品、精神药品、医疗用毒性药品管理法规和处方管理规章行为的处罚</w:t>
            </w:r>
          </w:p>
        </w:tc>
        <w:tc>
          <w:tcPr>
            <w:tcW w:w="2253"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对违反医疗事故处理法规行为的处罚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对违反血液管理法律法规及规章行为的处罚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sz w:val="21"/>
                <w:szCs w:val="21"/>
              </w:rPr>
              <w:t>对违反院前急救管理规章行为的处罚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对未取得国家颁发的有关合格证书，从事婚前医学检查、遗传病诊断、产前诊断或者医学技术鉴定、施行终止妊娠手术、出具有关医学证明的处罚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对违反母婴保健法实施办法规定的处罚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b w:val="0"/>
                <w:i w:val="0"/>
                <w:snapToGrid/>
                <w:color w:val="000000"/>
                <w:kern w:val="2"/>
                <w:sz w:val="21"/>
                <w:szCs w:val="21"/>
                <w:u w:val="no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对医疗卫生机构违反职业病防治法相关规定的处罚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b w:val="0"/>
                <w:i w:val="0"/>
                <w:snapToGrid/>
                <w:color w:val="000000"/>
                <w:kern w:val="2"/>
                <w:sz w:val="21"/>
                <w:szCs w:val="21"/>
                <w:u w:val="none"/>
                <w:lang w:val="en-US" w:eastAsia="zh-CN" w:bidi="ar-SA"/>
              </w:rPr>
              <w:t>对医疗卫生机构违反职业健康监护管理办法规定的处罚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vertAlign w:val="baseline"/>
                <w:lang w:val="en-US" w:eastAsia="zh-CN" w:bidi="ar-SA"/>
              </w:rPr>
              <w:t>对医疗卫生机构违反职业病诊断与鉴定管理办法规定的处罚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对放射工作单位违反放射工作人员职业健康管理办法规定的处罚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对医疗机构违反放射诊疗管理规定相关规定的处罚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对医疗卫生机构违反传染病防治法相关规定的处罚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对医疗卫生机构违反医疗废物管理条例相关规定的处罚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bidi="ar-SA"/>
              </w:rPr>
              <w:t>对违反消毒管理办法相关规定的处罚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对违反疫苗流通和预防接种管理条例相关规定的处罚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对医疗卫生机构违反艾滋病防治条例相关规定的处罚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对违反病原微生物实验室生物安全管理条例相关规定的处罚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对学校违反学校卫生工作条例相关规定的处罚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对托幼机构违反托儿所幼儿园卫生保健管理办法相关规定的处罚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对违反国家和我省生活饮用水卫生监督管理办法相关规定的处罚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对政府举办的医疗卫生机构与其他组织，投资设立非独立法人资格的医疗卫生机构、医疗卫生机构对外出租、承包医疗科室、非营利性医疗卫生机构向出资人、举办者分配或者变相分配收益的处罚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对医疗卫生机构等的医疗信息安全制度、保障措施不健全，导致医疗信息泄露，或者医疗质量管理和医疗技术管理制度、安全措施不健全的处罚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对医疗卫生人员利用职务之便索要、非法收受财物或者牟取其他不正当利益、泄露公民个人健康信息、在开展医学研究或提供医疗卫生服务过程中未按照规定履行告知义务或者违反医学伦理规范的处罚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对疾病预防控制机构、接种单位、疫苗上市许可持有人、疫苗配送单位违反疫苗储存、运输管理规范有关冷链储存、运输要求的处罚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疾病预防控制机构、接种单位未按照规定提供追溯信息、接收或者购进疫苗时未按照规定索取并保存相关证明文件、温度监测记录、未按照规定建立并保存疫苗接收、购进、储存、配送、供应、接种、处置记录、未按照规定告知、询问受种者或者其监护人有关情况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对疾病预防控制机构、接种单位、医疗机构未按照规定报告疑似预防接种异常反应、疫苗安全事件等，或者未按照规定对疑似预防接种异常反应组织调查、诊断等的行政处罚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对未经县级以上地方人民政府卫生健康主管部门指定擅自从事免疫规划疫苗接种工作、从事非免疫规划疫苗接种工作不符合条件或者未备案的行政处罚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对存在职业病危害的用人单位违反职业病防治法律法规规定的处罚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对医疗机构违反职业健康检查管理办法相关规定的处罚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对职业卫生技术服务机构违反职业卫生技术服务机构监督管理暂行办法相关规定的处罚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对职业卫生技术服务机构（乙级）违规的处罚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sz w:val="21"/>
                <w:szCs w:val="21"/>
              </w:rPr>
              <w:t>对建设单位未按照规定进行职业病危害预评价或者未提交职业病危害预评价报告，或者职业病危害预评价报告未经安全生产监督管理部门审核同意，开工建设的；建设项目的职业病防护设施未按照规定与主体工程同时投入生产和使用的；职业病危害严重的建设项目，其职业病防护设施设计未经安全生产监督管理部门审查，或者不符合国家职业卫生标准和卫生要求施工的；未按照规定对职业病防护设施进行职业病危害控制效果评价、未经安全生产监督管理部门验收或者验收不合格，擅自投入使用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工作场所职业病危害因素检测、评价结果没有存档、上报、公布的；未采取本法第二十一条规定的职业病防治管理措施的；未按照规定公布有关职业病防治的规章制度、操作规程、职业病危害事故应急救援措施的；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未按照规定及时、如实向卫生行政部门申报产生职业病危害的项目的；未实施由专人负责的职业病危害因素日常监测，或者监测系统不能正常监测的；订立或者变更劳动合同时，未告知劳动者职业病危害真实情况的；未按照规定组织职业健康检查、建立职业健康监护档案或者未将检查结果书面告知劳动者的；未依照本法规定在劳动者离开用人单位时提供职业健康监护档案复印件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工作场所职业病危害因素的强度或者浓度超过国家职业卫生标准的；未提供职业病防护设施和个人使用的职业病防护用品，或者提供的职业病防护设施和个人使对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向用人单位提供可能产生职业病危害的设备、材料，未按照规定提供中文说明书或者设置警示标识和中文警示说明的处罚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用人单位和医疗卫生机构未按照规定报告职业病、疑似职业病的处罚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隐瞒技术、工艺、设备、材料所产生的职业病危害而采用的；隐瞒本单位职业卫生真实情况的；可能发生急性职业损伤的有毒、有害工作场所、放射工作场所或者放射性同位素的运输、贮存不符合本法第二十六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用人单位违反本法规定，已经对劳动者生命健康造成严重损害的处罚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未取得职业卫生技术服务资质认可擅自从事职业卫生技术服务的，或者医疗卫生机构未经批准擅自从事职业健康检查、职业病诊断的处罚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从事职业卫生技术服务的机构超出资质认可或者批准范围从事职业卫生技术服务或者职业健康检查、职业病诊断的；不按照本法规定履行法定职责的；出具虚假证明文件的处罚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对生产经营单位不配发或配发不合格劳动防护用品的处罚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未按规定为从业人员配备符合国家标准或者行业标准的劳动防护用品处罚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职业卫生技术服务机构泄露服务对象的技术秘密和商业秘密的；转让或者租借资质证书的；转包职业卫生技术服务项目的；采取不正当竞争手段，故意贬低、诋毁其他职业卫生技术服务机构的；未按照规定办理资质证书变更手续的；未依法与建设单位、用人单位签订职业卫生技术服务合同的；擅自更改、简化职业卫生技术服务程序和相关内容的；在申请资质、资质延续、接受监督检查时，隐瞒有关情况或者提供虚假文件、资料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对职业卫生专职技术人员同时在两个以上职业卫生技术服务机构从业</w:t>
            </w:r>
            <w:r>
              <w:rPr>
                <w:rFonts w:hint="eastAsia" w:ascii="仿宋_GB2312" w:hAnsi="仿宋_GB2312" w:cs="仿宋_GB2312"/>
                <w:kern w:val="2"/>
                <w:sz w:val="21"/>
                <w:szCs w:val="21"/>
                <w:lang w:val="en-US" w:eastAsia="zh-CN" w:bidi="ar-SA"/>
              </w:rPr>
              <w:t>的</w:t>
            </w:r>
            <w:r>
              <w:rPr>
                <w:rFonts w:hint="eastAsia" w:ascii="仿宋_GB2312" w:hAnsi="仿宋_GB2312" w:eastAsia="仿宋_GB2312" w:cs="仿宋_GB2312"/>
                <w:kern w:val="2"/>
                <w:sz w:val="21"/>
                <w:szCs w:val="21"/>
                <w:lang w:val="en-US" w:eastAsia="zh-CN" w:bidi="ar-SA"/>
              </w:rPr>
              <w:t>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对建设单位在职业病危害预评价报告、职业病防护设施设计、职业病危害控制效果评价报告评审以及职业病防护设施验收中弄虚作假的处罚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用人单位未按照规定实行有害作业与无害作业分开、工作场所与生活场所分开的；用人单位的主要负责人、职业卫生管理人员未接受职业卫生培训的处罚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对未按照本办法规定进行职业病危害预评价的；建设项目的职业病防护设施未按照规定与主体工程同时设计、同时施工、同时投入生产和使用的；建设项目的职业病防护设施设计不符合国家职业卫生标准和卫生要求的；未按照本办法规定进行职业病危害控制效果评价的；建设项目竣工投入生产和使用前，职业病防护设施未按照本办法规定验收合格</w:t>
            </w:r>
            <w:r>
              <w:rPr>
                <w:rFonts w:hint="eastAsia" w:ascii="仿宋_GB2312" w:hAnsi="仿宋_GB2312" w:cs="仿宋_GB2312"/>
                <w:kern w:val="2"/>
                <w:sz w:val="21"/>
                <w:szCs w:val="21"/>
                <w:vertAlign w:val="baseline"/>
                <w:lang w:val="en-US" w:eastAsia="zh-CN" w:bidi="ar-SA"/>
              </w:rPr>
              <w:t>的</w:t>
            </w:r>
            <w:r>
              <w:rPr>
                <w:rFonts w:hint="eastAsia" w:ascii="仿宋_GB2312" w:hAnsi="仿宋_GB2312" w:eastAsia="仿宋_GB2312" w:cs="仿宋_GB2312"/>
                <w:kern w:val="2"/>
                <w:sz w:val="21"/>
                <w:szCs w:val="21"/>
                <w:vertAlign w:val="baseline"/>
                <w:lang w:val="en-US" w:eastAsia="zh-CN" w:bidi="ar-SA"/>
              </w:rPr>
              <w:t>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sz w:val="21"/>
                <w:szCs w:val="21"/>
                <w:vertAlign w:val="baseline"/>
                <w:lang w:val="en-US" w:eastAsia="zh-CN"/>
              </w:rPr>
            </w:pP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未按照本办法规定，对职业病危害预评价报告、职业病防护设施设计、职业病危害控制效果评价报告进行评审或者组织职业病防护设施验收的；职业病危害预评价、职业病防护设施设计、职业病危害控制效果评价或者职业病防护设施验收工作过程未形成书面报告备查的；建设项目的生产规模、工艺等发生变更导致职业病危害风险发生重大变化的，建设单位未对变更内容重新进行职业病危害预评价和评审，或者未对变更内容重新进行职业病防护设施设计和评审的；（四）需要试运行的职业病防护设施未与主体工程同时试运行的；（五）建设单位未按照本办法第八条规定公布有关信息的处罚</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Chars="0" w:right="0" w:rightChars="0"/>
              <w:jc w:val="both"/>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r>
              <w:rPr>
                <w:rFonts w:hint="eastAsia" w:ascii="仿宋_GB2312"/>
                <w:sz w:val="21"/>
                <w:szCs w:val="21"/>
                <w:vertAlign w:val="baseline"/>
                <w:lang w:val="en-US" w:eastAsia="zh-CN"/>
              </w:rPr>
              <w:t>二、行政检查</w:t>
            </w:r>
          </w:p>
        </w:tc>
        <w:tc>
          <w:tcPr>
            <w:tcW w:w="7024"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sz w:val="21"/>
                <w:szCs w:val="21"/>
                <w:vertAlign w:val="baseline"/>
                <w:lang w:val="en-US" w:eastAsia="zh-CN"/>
              </w:rPr>
              <w:t>共29项</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对人体器官移植技术及临床应用的监督检查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对医院感染管理工作的监督</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3</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对医疗废物收集、运送、贮存、处置活动中的疾病防治工作的监督检查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4</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对公共场所的监督检查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5</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对学校卫生工作的监督检查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6</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对消毒工作、消毒服务机构的监督检查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7</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对餐饮具集中消毒企业的监督检查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8</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对涉及饮用水卫生安全的产品的监督检查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9</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对生活饮用水卫生监督检查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10</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对医疗美容服务质量的监督检查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11</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《出生医学证明》等母婴保健法律证件的发放的监督检查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12</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对医护人员执业行为的监督</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13</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对医疗机构执业行为的监督检查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14</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对献血工作、采供血、临床用血及原料血浆采集供应行为和单采血浆站的监督检查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15</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对院前医疗急救工作的监督检查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16</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对城乡医院对口支援工作的监督检查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17</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对医疗机构中药饮片质量及应用的监督检查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18</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对重大中医医疗违法案件的监督检查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19</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全县卫生技术人员继续医学教育学分和继续教育证书年度审验的监督检查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20</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对母婴保健、计划生育技术服务的监督检查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21</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人类辅助生殖技术的监督检查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22</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对医疗机构开展放射诊疗活动和放射卫生技术服务机构的监督检查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23</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对传染病防治工作的监督检查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24</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对母婴保健工作的监督检查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25</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对艾滋病防治工作的监督检查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26</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对预防接种工作的监督检查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27</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对放射工作人员职业健康的监督检查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28</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对职业病诊断机构、职业病鉴定办事机构、职业健康检查机构的监督检查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29</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对存在职业病危害的用人单位的监督检查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Chars="0" w:right="0" w:rightChars="0"/>
              <w:jc w:val="both"/>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r>
              <w:rPr>
                <w:rFonts w:hint="eastAsia" w:ascii="仿宋_GB2312"/>
                <w:sz w:val="21"/>
                <w:szCs w:val="21"/>
                <w:vertAlign w:val="baseline"/>
                <w:lang w:val="en-US" w:eastAsia="zh-CN"/>
              </w:rPr>
              <w:t>三、行政强制</w:t>
            </w:r>
          </w:p>
        </w:tc>
        <w:tc>
          <w:tcPr>
            <w:tcW w:w="7024"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sz w:val="21"/>
                <w:szCs w:val="21"/>
                <w:vertAlign w:val="baseline"/>
                <w:lang w:val="en-US" w:eastAsia="zh-CN"/>
              </w:rPr>
              <w:t>共8项</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1</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取缔未经卫生行政部门批准擅自开展的诊疗活动</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2</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对使用麻醉药品和精神药品管理存在安全隐患的单位实行强制措施，对有证据证明可能流入非法渠道的，进行查封、扣押</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3</w:t>
            </w:r>
          </w:p>
        </w:tc>
        <w:tc>
          <w:tcPr>
            <w:tcW w:w="7024" w:type="dxa"/>
            <w:vAlign w:val="center"/>
          </w:tcPr>
          <w:p>
            <w:pPr>
              <w:keepNext w:val="0"/>
              <w:keepLines w:val="0"/>
              <w:pageBreakBefore w:val="0"/>
              <w:widowControl w:val="0"/>
              <w:tabs>
                <w:tab w:val="left" w:pos="2593"/>
                <w:tab w:val="left" w:pos="7937"/>
              </w:tabs>
              <w:kinsoku/>
              <w:wordWrap/>
              <w:overflowPunct/>
              <w:topLinePunct w:val="0"/>
              <w:autoSpaceDE/>
              <w:bidi w:val="0"/>
              <w:adjustRightInd/>
              <w:snapToGrid/>
              <w:spacing w:line="360" w:lineRule="exact"/>
              <w:jc w:val="left"/>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kern w:val="2"/>
                <w:sz w:val="21"/>
                <w:szCs w:val="21"/>
                <w:lang w:val="en-US" w:eastAsia="zh-CN" w:bidi="ar-SA"/>
              </w:rPr>
              <w:t>对医疗废物管理不当导致或可能导致传染病传播采取控制措施</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4</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取缔非法采血、出售血液、组织卖血、未经批准擅自采集、提供脐带血行为</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5</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在履行传染病防治监督检查职责时，按照传染病防治法第五十五条规定，采取封闭公共饮用水源、封存食品以及相关物品或者暂停销售的临时控制措施的强制</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6</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查封或暂扣涉嫌违反医疗废物管理条例规定的场所、设备、运输工具和物品</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7</w:t>
            </w:r>
          </w:p>
        </w:tc>
        <w:tc>
          <w:tcPr>
            <w:tcW w:w="7024" w:type="dxa"/>
            <w:vAlign w:val="center"/>
          </w:tcPr>
          <w:p>
            <w:pPr>
              <w:keepNext w:val="0"/>
              <w:keepLines w:val="0"/>
              <w:pageBreakBefore w:val="0"/>
              <w:widowControl w:val="0"/>
              <w:tabs>
                <w:tab w:val="left" w:pos="2639"/>
                <w:tab w:val="left" w:pos="7937"/>
              </w:tabs>
              <w:kinsoku/>
              <w:wordWrap/>
              <w:overflowPunct/>
              <w:topLinePunct w:val="0"/>
              <w:autoSpaceDE/>
              <w:bidi w:val="0"/>
              <w:adjustRightInd/>
              <w:snapToGrid/>
              <w:spacing w:line="360" w:lineRule="exact"/>
              <w:jc w:val="both"/>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kern w:val="2"/>
                <w:sz w:val="21"/>
                <w:szCs w:val="21"/>
                <w:lang w:val="en-US" w:eastAsia="zh-CN" w:bidi="ar-SA"/>
              </w:rPr>
              <w:t>封闭病原微生物污染的实验室或者可能造成病原微生物扩散的场所</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tabs>
                <w:tab w:val="left" w:pos="0"/>
              </w:tabs>
              <w:kinsoku/>
              <w:wordWrap/>
              <w:overflowPunct/>
              <w:topLinePunct w:val="0"/>
              <w:autoSpaceDE/>
              <w:autoSpaceDN/>
              <w:bidi w:val="0"/>
              <w:adjustRightInd/>
              <w:snapToGrid/>
              <w:spacing w:before="0" w:beforeLines="0" w:after="0" w:afterLines="0" w:line="600" w:lineRule="exact"/>
              <w:ind w:leftChars="0" w:right="0" w:rightChars="0"/>
              <w:jc w:val="both"/>
              <w:textAlignment w:val="auto"/>
              <w:rPr>
                <w:rFonts w:hint="default" w:ascii="仿宋_GB2312"/>
                <w:sz w:val="21"/>
                <w:szCs w:val="21"/>
                <w:vertAlign w:val="baseline"/>
                <w:lang w:val="en-US" w:eastAsia="zh-CN"/>
              </w:rPr>
            </w:pPr>
            <w:r>
              <w:rPr>
                <w:rFonts w:hint="eastAsia" w:ascii="仿宋_GB2312"/>
                <w:sz w:val="21"/>
                <w:szCs w:val="21"/>
                <w:vertAlign w:val="baseline"/>
                <w:lang w:val="en-US" w:eastAsia="zh-CN"/>
              </w:rPr>
              <w:t>8</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封存有证据证明可能被艾滋病病毒污染的物品</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right="0" w:rightChars="0" w:firstLine="0"/>
              <w:jc w:val="center"/>
              <w:textAlignment w:val="auto"/>
              <w:rPr>
                <w:rFonts w:hint="default" w:ascii="仿宋_GB2312"/>
                <w:sz w:val="21"/>
                <w:szCs w:val="21"/>
                <w:vertAlign w:val="baseline"/>
                <w:lang w:val="en-US" w:eastAsia="zh-CN"/>
              </w:rPr>
            </w:pPr>
          </w:p>
        </w:tc>
        <w:tc>
          <w:tcPr>
            <w:tcW w:w="313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Times New Roman" w:eastAsia="仿宋_GB2312" w:cs="Times New Roman"/>
                <w:kern w:val="2"/>
                <w:sz w:val="21"/>
                <w:szCs w:val="21"/>
                <w:vertAlign w:val="baseline"/>
                <w:lang w:val="en-US" w:eastAsia="zh-CN" w:bidi="ar-SA"/>
              </w:rPr>
            </w:pPr>
            <w:r>
              <w:rPr>
                <w:rFonts w:hint="eastAsia" w:ascii="仿宋_GB2312"/>
                <w:sz w:val="21"/>
                <w:szCs w:val="21"/>
                <w:vertAlign w:val="baseline"/>
                <w:lang w:val="en-US" w:eastAsia="zh-CN"/>
              </w:rPr>
              <w:t>四、行政奖励</w:t>
            </w:r>
          </w:p>
        </w:tc>
        <w:tc>
          <w:tcPr>
            <w:tcW w:w="7024"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sz w:val="21"/>
                <w:szCs w:val="21"/>
                <w:vertAlign w:val="baseline"/>
                <w:lang w:val="en-US" w:eastAsia="zh-CN"/>
              </w:rPr>
              <w:t>共2项</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sz w:val="21"/>
                <w:szCs w:val="21"/>
                <w:lang w:val="en-US" w:eastAsia="zh-CN"/>
              </w:rPr>
            </w:pPr>
            <w:r>
              <w:rPr>
                <w:rFonts w:hint="eastAsia" w:ascii="仿宋_GB2312"/>
                <w:sz w:val="21"/>
                <w:szCs w:val="21"/>
                <w:lang w:val="en-US" w:eastAsia="zh-CN"/>
              </w:rPr>
              <w:t>1</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对事迹突出医师、护士的表彰和奖励</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default" w:ascii="仿宋_GB2312"/>
                <w:sz w:val="21"/>
                <w:szCs w:val="21"/>
                <w:lang w:val="en-US" w:eastAsia="zh-CN"/>
              </w:rPr>
            </w:pPr>
            <w:r>
              <w:rPr>
                <w:rFonts w:hint="eastAsia" w:ascii="仿宋_GB2312"/>
                <w:sz w:val="21"/>
                <w:szCs w:val="21"/>
                <w:lang w:val="en-US" w:eastAsia="zh-CN"/>
              </w:rPr>
              <w:t>2</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对在对口支援工作中表现突出医务人员、单位的表彰和奖励</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right="0" w:rightChars="0" w:firstLine="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仿宋_GB2312" w:hAnsi="Times New Roman" w:eastAsia="仿宋_GB2312" w:cs="Times New Roman"/>
                <w:kern w:val="2"/>
                <w:sz w:val="21"/>
                <w:szCs w:val="21"/>
                <w:lang w:val="en-US" w:eastAsia="zh-CN" w:bidi="ar-SA"/>
              </w:rPr>
            </w:pPr>
            <w:r>
              <w:rPr>
                <w:rFonts w:hint="eastAsia" w:ascii="仿宋_GB2312"/>
                <w:sz w:val="21"/>
                <w:szCs w:val="21"/>
                <w:lang w:val="en-US" w:eastAsia="zh-CN"/>
              </w:rPr>
              <w:t>五</w:t>
            </w:r>
            <w:r>
              <w:rPr>
                <w:rFonts w:hint="eastAsia" w:ascii="仿宋_GB2312"/>
                <w:sz w:val="21"/>
                <w:szCs w:val="21"/>
                <w:lang w:eastAsia="zh-CN"/>
              </w:rPr>
              <w:t>、</w:t>
            </w:r>
            <w:r>
              <w:rPr>
                <w:rFonts w:hint="eastAsia" w:ascii="仿宋_GB2312"/>
                <w:sz w:val="21"/>
                <w:szCs w:val="21"/>
              </w:rPr>
              <w:t>其他</w:t>
            </w:r>
            <w:r>
              <w:rPr>
                <w:rFonts w:hint="eastAsia" w:ascii="仿宋_GB2312"/>
                <w:sz w:val="21"/>
                <w:szCs w:val="21"/>
                <w:lang w:eastAsia="zh-CN"/>
              </w:rPr>
              <w:t>类</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共</w:t>
            </w:r>
            <w:r>
              <w:rPr>
                <w:rFonts w:hint="eastAsia" w:ascii="仿宋_GB2312" w:hAnsi="仿宋_GB2312" w:cs="仿宋_GB2312"/>
                <w:kern w:val="2"/>
                <w:sz w:val="21"/>
                <w:szCs w:val="21"/>
                <w:lang w:val="en-US" w:eastAsia="zh-CN" w:bidi="ar-SA"/>
              </w:rPr>
              <w:t>4</w:t>
            </w:r>
            <w:r>
              <w:rPr>
                <w:rFonts w:hint="eastAsia" w:ascii="仿宋_GB2312" w:hAnsi="仿宋_GB2312" w:eastAsia="仿宋_GB2312" w:cs="仿宋_GB2312"/>
                <w:kern w:val="2"/>
                <w:sz w:val="21"/>
                <w:szCs w:val="21"/>
                <w:lang w:val="en-US" w:eastAsia="zh-CN" w:bidi="ar-SA"/>
              </w:rPr>
              <w:t>项</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Times New Roman" w:eastAsia="仿宋_GB2312" w:cs="Times New Roman"/>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1</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全县护士执业资格考试报名资格审核</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Times New Roman" w:eastAsia="仿宋_GB2312" w:cs="Times New Roman"/>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2</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全县的医师执业资格考试报名资格审查，</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Times New Roman" w:eastAsia="仿宋_GB2312" w:cs="Times New Roman"/>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3</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default"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对一级病原微生物实验室备案</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Times New Roman" w:eastAsia="仿宋_GB2312" w:cs="Times New Roman"/>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2" w:type="dxa"/>
            <w:vAlign w:val="center"/>
          </w:tcPr>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仿宋_GB2312"/>
                <w:sz w:val="21"/>
                <w:szCs w:val="21"/>
                <w:vertAlign w:val="baseline"/>
                <w:lang w:val="en-US" w:eastAsia="zh-CN"/>
              </w:rPr>
            </w:pPr>
          </w:p>
        </w:tc>
        <w:tc>
          <w:tcPr>
            <w:tcW w:w="3137" w:type="dxa"/>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4</w:t>
            </w:r>
          </w:p>
        </w:tc>
        <w:tc>
          <w:tcPr>
            <w:tcW w:w="7024" w:type="dxa"/>
            <w:vAlign w:val="center"/>
          </w:tcPr>
          <w:p>
            <w:pPr>
              <w:keepNext w:val="0"/>
              <w:keepLines w:val="0"/>
              <w:pageBreakBefore w:val="0"/>
              <w:widowControl w:val="0"/>
              <w:tabs>
                <w:tab w:val="left" w:pos="7937"/>
              </w:tabs>
              <w:kinsoku/>
              <w:wordWrap/>
              <w:overflowPunct/>
              <w:topLinePunct w:val="0"/>
              <w:autoSpaceDE/>
              <w:bidi w:val="0"/>
              <w:adjustRightInd/>
              <w:snapToGrid/>
              <w:spacing w:line="360" w:lineRule="exact"/>
              <w:jc w:val="center"/>
              <w:rPr>
                <w:rFonts w:hint="default" w:ascii="仿宋_GB2312" w:hAnsi="仿宋_GB2312" w:eastAsia="仿宋_GB2312" w:cs="仿宋_GB2312"/>
                <w:kern w:val="2"/>
                <w:sz w:val="21"/>
                <w:szCs w:val="21"/>
                <w:lang w:val="en-US" w:eastAsia="zh-CN" w:bidi="ar-SA"/>
              </w:rPr>
            </w:pPr>
            <w:r>
              <w:rPr>
                <w:rFonts w:hint="default" w:ascii="仿宋_GB2312" w:hAnsi="仿宋_GB2312" w:eastAsia="仿宋_GB2312" w:cs="仿宋_GB2312"/>
                <w:kern w:val="2"/>
                <w:sz w:val="21"/>
                <w:szCs w:val="21"/>
                <w:lang w:val="en-US" w:eastAsia="zh-CN" w:bidi="ar-SA"/>
              </w:rPr>
              <w:t>对医疗机构《放射诊疗许可证》的校验</w:t>
            </w:r>
          </w:p>
        </w:tc>
        <w:tc>
          <w:tcPr>
            <w:tcW w:w="2253" w:type="dxa"/>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600" w:lineRule="exact"/>
              <w:ind w:right="0" w:rightChars="0"/>
              <w:jc w:val="center"/>
              <w:textAlignment w:val="auto"/>
              <w:rPr>
                <w:rFonts w:hint="eastAsia" w:ascii="仿宋_GB2312" w:hAnsi="Times New Roman" w:eastAsia="仿宋_GB2312" w:cs="Times New Roman"/>
                <w:kern w:val="2"/>
                <w:sz w:val="21"/>
                <w:szCs w:val="21"/>
                <w:vertAlign w:val="baseline"/>
                <w:lang w:val="en-US" w:eastAsia="zh-CN" w:bidi="ar-SA"/>
              </w:rPr>
            </w:pPr>
          </w:p>
        </w:tc>
      </w:tr>
    </w:tbl>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2B730"/>
    <w:multiLevelType w:val="singleLevel"/>
    <w:tmpl w:val="E472B730"/>
    <w:lvl w:ilvl="0" w:tentative="0">
      <w:start w:val="1"/>
      <w:numFmt w:val="decimal"/>
      <w:isLgl/>
      <w:suff w:val="nothing"/>
      <w:lvlText w:val="%1"/>
      <w:lvlJc w:val="center"/>
      <w:pPr>
        <w:tabs>
          <w:tab w:val="left" w:pos="0"/>
        </w:tabs>
        <w:ind w:left="0" w:leftChars="0" w:firstLine="0" w:firstLineChars="0"/>
      </w:pPr>
      <w:rPr>
        <w:rFonts w:hint="default" w:ascii="宋体" w:hAnsi="宋体" w:eastAsia="宋体" w:cs="宋体"/>
        <w:szCs w:val="16"/>
      </w:rPr>
    </w:lvl>
  </w:abstractNum>
  <w:abstractNum w:abstractNumId="1">
    <w:nsid w:val="14510D5A"/>
    <w:multiLevelType w:val="singleLevel"/>
    <w:tmpl w:val="14510D5A"/>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3B531362"/>
    <w:rsid w:val="021A56CC"/>
    <w:rsid w:val="04325DAA"/>
    <w:rsid w:val="06871025"/>
    <w:rsid w:val="0AA83E4A"/>
    <w:rsid w:val="1C155BE9"/>
    <w:rsid w:val="28BB185F"/>
    <w:rsid w:val="2A93682B"/>
    <w:rsid w:val="340630C8"/>
    <w:rsid w:val="395A7046"/>
    <w:rsid w:val="3B531362"/>
    <w:rsid w:val="3EBB1CD7"/>
    <w:rsid w:val="42A51A26"/>
    <w:rsid w:val="44873E4D"/>
    <w:rsid w:val="47210130"/>
    <w:rsid w:val="48D36B4A"/>
    <w:rsid w:val="50C53A61"/>
    <w:rsid w:val="5A804E33"/>
    <w:rsid w:val="601D1AC0"/>
    <w:rsid w:val="64277287"/>
    <w:rsid w:val="650E74C7"/>
    <w:rsid w:val="67041E89"/>
    <w:rsid w:val="67246619"/>
    <w:rsid w:val="676A6447"/>
    <w:rsid w:val="69877940"/>
    <w:rsid w:val="73E52576"/>
    <w:rsid w:val="7451108A"/>
    <w:rsid w:val="78F7013F"/>
    <w:rsid w:val="7BD61FB2"/>
    <w:rsid w:val="7FF4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2021-01-06T09:21:00Z</dcterms:created>
  <dc:creator>我</dc:creator>
  <cp:lastModifiedBy>Desdemo</cp:lastModifiedBy>
  <cp:lastPrinted>2021-02-01T08:14:00Z</cp:lastPrinted>
  <dcterms:modified xsi:type="dcterms:W3CDTF">2023-11-08T11:07:28Z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1D4057957F45460BB374416210265BDD</vt:lpwstr>
  </property>
</Properties>
</file>