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eastAsia="方正小标宋简体"/>
          <w:sz w:val="36"/>
          <w:lang w:val="en-US" w:eastAsia="zh-CN"/>
        </w:rPr>
      </w:pPr>
      <w:bookmarkStart w:id="0" w:name="_GoBack"/>
      <w:bookmarkEnd w:id="0"/>
      <w:r>
        <w:rPr>
          <w:rFonts w:hint="eastAsia" w:ascii="方正小标宋简体" w:eastAsia="方正小标宋简体"/>
          <w:sz w:val="36"/>
          <w:lang w:val="en-US" w:eastAsia="zh-CN"/>
        </w:rPr>
        <w:t>高阳县发展和改革局权责清单事项分表</w:t>
      </w: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0"/>
        <w:jc w:val="center"/>
        <w:textAlignment w:val="auto"/>
        <w:rPr>
          <w:rFonts w:hint="eastAsia" w:ascii="楷体_GB2312" w:eastAsia="楷体_GB2312"/>
          <w:sz w:val="36"/>
          <w:highlight w:val="none"/>
          <w:lang w:val="en-US" w:eastAsia="zh-CN"/>
        </w:rPr>
      </w:pPr>
      <w:r>
        <w:rPr>
          <w:rFonts w:hint="eastAsia" w:ascii="楷体_GB2312" w:eastAsia="楷体_GB2312"/>
          <w:highlight w:val="none"/>
          <w:lang w:val="en-US" w:eastAsia="zh-CN"/>
        </w:rPr>
        <w:t>（共4类、42项）</w:t>
      </w:r>
    </w:p>
    <w:p>
      <w:pPr>
        <w:keepNext w:val="0"/>
        <w:keepLines w:val="0"/>
        <w:pageBreakBefore w:val="0"/>
        <w:widowControl w:val="0"/>
        <w:kinsoku/>
        <w:wordWrap/>
        <w:overflowPunct/>
        <w:topLinePunct w:val="0"/>
        <w:autoSpaceDE/>
        <w:autoSpaceDN/>
        <w:bidi w:val="0"/>
        <w:adjustRightInd/>
        <w:snapToGrid/>
        <w:spacing w:before="0" w:after="0" w:line="600" w:lineRule="exact"/>
        <w:ind w:right="0"/>
        <w:textAlignment w:val="auto"/>
        <w:rPr>
          <w:rFonts w:hint="eastAsia" w:ascii="仿宋_GB2312"/>
          <w:lang w:val="en-US" w:eastAsia="zh-CN"/>
        </w:rPr>
      </w:pPr>
      <w:r>
        <w:rPr>
          <w:rFonts w:hint="eastAsia" w:ascii="楷体_GB2312" w:eastAsia="楷体_GB2312"/>
          <w:sz w:val="28"/>
          <w:lang w:val="en-US" w:eastAsia="zh-CN"/>
        </w:rPr>
        <w:t>单位：高阳县发展和改革局</w:t>
      </w:r>
      <w:r>
        <w:rPr>
          <w:rFonts w:hint="eastAsia" w:ascii="楷体_GB2312" w:eastAsia="楷体_GB2312" w:cs="Arial"/>
          <w:sz w:val="28"/>
          <w:lang w:val="en-US" w:eastAsia="zh-CN" w:bidi="ar-SA"/>
        </w:rPr>
        <w:t>（公章）</w:t>
      </w:r>
    </w:p>
    <w:tbl>
      <w:tblPr>
        <w:tblStyle w:val="6"/>
        <w:tblW w:w="14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50"/>
        <w:gridCol w:w="1379"/>
        <w:gridCol w:w="786"/>
        <w:gridCol w:w="2605"/>
        <w:gridCol w:w="4920"/>
        <w:gridCol w:w="198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序号</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权力类型</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权力事项</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行政主体</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实施依据</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责任事项</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追责情形</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center"/>
              <w:textAlignment w:val="center"/>
              <w:outlineLvl w:val="9"/>
              <w:rPr>
                <w:rFonts w:hint="eastAsia" w:asciiTheme="majorEastAsia" w:hAnsiTheme="majorEastAsia" w:eastAsiaTheme="majorEastAsia" w:cstheme="majorEastAsia"/>
                <w:b/>
                <w:bCs/>
                <w:sz w:val="18"/>
                <w:szCs w:val="18"/>
                <w:vertAlign w:val="baseline"/>
                <w:lang w:val="en-US" w:eastAsia="zh-CN"/>
              </w:rPr>
            </w:pPr>
            <w:r>
              <w:rPr>
                <w:rFonts w:hint="eastAsia" w:asciiTheme="majorEastAsia" w:hAnsiTheme="majorEastAsia" w:eastAsiaTheme="majorEastAsia" w:cstheme="majorEastAsia"/>
                <w:b/>
                <w:bCs/>
                <w:snapToGrid/>
                <w:color w:val="000000"/>
                <w:sz w:val="18"/>
                <w:szCs w:val="18"/>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2"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实行核准管理的项目，企业未依照行政法规规定办理核准手续开工建设或者未按照核准的建设地点、建设规模、建设内容等进行建设的处罚；以欺骗、贿赂等不正当手段取得项目核准文件，尚未开工建设的或已经开工建设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2"/>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1、《企业投资项目核准和备案管理条例》（中华人民共和国国务院令第673号）第十八条、第二十条</w:t>
            </w:r>
            <w:r>
              <w:rPr>
                <w:rFonts w:hint="eastAsia" w:asciiTheme="majorEastAsia" w:hAnsiTheme="majorEastAsia" w:eastAsiaTheme="majorEastAsia" w:cstheme="majorEastAsia"/>
                <w:color w:val="auto"/>
                <w:kern w:val="0"/>
                <w:sz w:val="18"/>
                <w:szCs w:val="18"/>
                <w:u w:val="none"/>
                <w:lang w:val="en-US" w:eastAsia="zh-CN" w:bidi="ar-SA"/>
              </w:rPr>
              <w:br w:type="textWrapping"/>
            </w:r>
            <w:r>
              <w:rPr>
                <w:rFonts w:hint="eastAsia" w:asciiTheme="majorEastAsia" w:hAnsiTheme="majorEastAsia" w:eastAsiaTheme="majorEastAsia" w:cstheme="majorEastAsia"/>
                <w:i w:val="0"/>
                <w:color w:val="000000"/>
                <w:kern w:val="0"/>
                <w:sz w:val="18"/>
                <w:szCs w:val="18"/>
                <w:u w:val="none"/>
                <w:lang w:val="en-US" w:eastAsia="zh-CN"/>
              </w:rPr>
              <w:t>2、《企业投资项目核准和备案管理办法》（ 2023年3月23日 2023年第1号令修订）第五十六条、第五十八条</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1、立案责任：发现涉嫌违反</w:t>
            </w:r>
            <w:r>
              <w:rPr>
                <w:rFonts w:hint="eastAsia" w:asciiTheme="majorEastAsia" w:hAnsiTheme="majorEastAsia" w:eastAsiaTheme="majorEastAsia" w:cstheme="majorEastAsia"/>
                <w:color w:val="auto"/>
                <w:sz w:val="18"/>
                <w:szCs w:val="18"/>
                <w:lang w:eastAsia="zh-CN"/>
              </w:rPr>
              <w:t>投资</w:t>
            </w:r>
            <w:r>
              <w:rPr>
                <w:rFonts w:hint="eastAsia" w:asciiTheme="majorEastAsia" w:hAnsiTheme="majorEastAsia" w:eastAsiaTheme="majorEastAsia" w:cstheme="majorEastAsia"/>
                <w:color w:val="auto"/>
                <w:sz w:val="18"/>
                <w:szCs w:val="18"/>
              </w:rPr>
              <w:t>法律、法规相关的违法行为，予以审查，决定是否立案。</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2、调查责任：</w:t>
            </w:r>
            <w:r>
              <w:rPr>
                <w:rFonts w:hint="eastAsia" w:asciiTheme="majorEastAsia" w:hAnsiTheme="majorEastAsia" w:eastAsiaTheme="majorEastAsia" w:cstheme="majorEastAsia"/>
                <w:color w:val="auto"/>
                <w:sz w:val="18"/>
                <w:szCs w:val="18"/>
                <w:lang w:eastAsia="zh-CN"/>
              </w:rPr>
              <w:t>投资</w:t>
            </w:r>
            <w:r>
              <w:rPr>
                <w:rFonts w:hint="eastAsia" w:asciiTheme="majorEastAsia" w:hAnsiTheme="majorEastAsia" w:eastAsiaTheme="majorEastAsia" w:cstheme="majorEastAsia"/>
                <w:color w:val="auto"/>
                <w:sz w:val="18"/>
                <w:szCs w:val="18"/>
              </w:rPr>
              <w:t>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4、告知责任：作出行政处罚决定前，应制作《限期整改通知书》送达当事人，告知违法事实并在规定期限内完成整改。</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5、决定责任：制作行政处罚决定书，载明行政处罚告知、当事人陈述申辩或者听证情况等内容。</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6、送达责任：行政处罚决定书按法律规定的方式送达当事人。</w:t>
            </w:r>
          </w:p>
          <w:p>
            <w:pPr>
              <w:keepNext w:val="0"/>
              <w:keepLines w:val="0"/>
              <w:pageBreakBefore w:val="0"/>
              <w:widowControl w:val="0"/>
              <w:tabs>
                <w:tab w:val="left" w:pos="7937"/>
              </w:tabs>
              <w:kinsoku/>
              <w:wordWrap/>
              <w:overflowPunct/>
              <w:topLinePunct w:val="0"/>
              <w:autoSpaceDE/>
              <w:autoSpaceDN/>
              <w:bidi w:val="0"/>
              <w:adjustRightInd/>
              <w:snapToGrid/>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7、执行责任：依照生效的行政处罚决定进行处罚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napToGrid/>
                <w:color w:val="000000"/>
                <w:sz w:val="18"/>
                <w:szCs w:val="18"/>
                <w:u w:val="none"/>
                <w:lang w:eastAsia="zh-CN" w:bidi="ar-SA"/>
              </w:rPr>
              <w:t>根据《企业投资项目核准和备案管理条例》第二十一条：核准机关、备案机关及其工作人员在项目核准、备案工作中玩忽职守、滥用职权、徇私舞弊的，对负有责任的领导人员和直接责任人员依法给予处分；构成犯罪的，依法追究刑事责任。</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left"/>
              <w:textAlignment w:val="center"/>
              <w:rPr>
                <w:rFonts w:hint="eastAsia" w:asciiTheme="majorEastAsia" w:hAnsiTheme="majorEastAsia" w:eastAsiaTheme="majorEastAsia" w:cstheme="majorEastAsia"/>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6"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napToGrid/>
                <w:color w:val="000000"/>
                <w:sz w:val="18"/>
                <w:szCs w:val="18"/>
                <w:u w:val="none"/>
                <w:lang w:val="en-US" w:eastAsia="zh-CN" w:bidi="ar-SA"/>
              </w:rPr>
              <w:t>实行备案管理的项目，企业未依照行政法规规定将项目信息或者已备案项目的信息变更情况告知备案机关，或者向备案机关提供虚假信息的处罚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val="0"/>
              <w:bidi w:val="0"/>
              <w:adjustRightInd/>
              <w:snapToGrid/>
              <w:spacing w:before="0" w:after="0" w:line="360" w:lineRule="exact"/>
              <w:ind w:left="0" w:right="0" w:firstLine="0"/>
              <w:jc w:val="both"/>
              <w:textAlignment w:val="center"/>
              <w:outlineLvl w:val="9"/>
              <w:rPr>
                <w:rFonts w:hint="eastAsia" w:asciiTheme="majorEastAsia" w:hAnsiTheme="majorEastAsia" w:eastAsiaTheme="majorEastAsia" w:cstheme="majorEastAsia"/>
                <w:snapToGrid/>
                <w:color w:val="000000"/>
                <w:sz w:val="18"/>
                <w:szCs w:val="18"/>
                <w:u w:val="none"/>
                <w:lang w:val="en-US" w:eastAsia="zh-CN" w:bidi="ar-SA"/>
              </w:rPr>
            </w:pPr>
            <w:r>
              <w:rPr>
                <w:rFonts w:hint="eastAsia" w:asciiTheme="majorEastAsia" w:hAnsiTheme="majorEastAsia" w:eastAsiaTheme="majorEastAsia" w:cstheme="majorEastAsia"/>
                <w:snapToGrid/>
                <w:color w:val="000000"/>
                <w:sz w:val="18"/>
                <w:szCs w:val="18"/>
                <w:u w:val="none"/>
                <w:lang w:eastAsia="zh-CN" w:bidi="ar-SA"/>
              </w:rPr>
              <w:t>1、《企业投资项目核准和备案管理条例》（中华人民共和国国务院令第673号）第十九条、第二十条：实行备案管理的项目，企业未按照本条例规定将项目信息或者已备案项目的信息备案情况告知备案机关，或者向备案机关提供虚假信息的，由备案机关责令限期改正；逾期不改正的，处</w:t>
            </w:r>
            <w:r>
              <w:rPr>
                <w:rFonts w:hint="eastAsia" w:asciiTheme="majorEastAsia" w:hAnsiTheme="majorEastAsia" w:eastAsiaTheme="majorEastAsia" w:cstheme="majorEastAsia"/>
                <w:snapToGrid/>
                <w:color w:val="000000"/>
                <w:sz w:val="18"/>
                <w:szCs w:val="18"/>
                <w:u w:val="none"/>
                <w:lang w:val="en-US" w:eastAsia="zh-CN" w:bidi="ar-SA"/>
              </w:rPr>
              <w:t>2万元以上5万元以下的罚款。企业投资建设产业政策禁止投资建设项目的，由县级以上人民政府投资主管部门责令停止建设或者责令停产并恢复原状，对企业处项目总投资5‰以上10‰以下的罚款；对直接负责的主管人员和其他直接责任人员处5万元以上10万元以下的罚款，属于国家工作人员的，依法给予处分。法律、行政法规另有规定的，依照其规定。</w:t>
            </w:r>
          </w:p>
          <w:p>
            <w:pPr>
              <w:keepNext w:val="0"/>
              <w:keepLines w:val="0"/>
              <w:pageBreakBefore w:val="0"/>
              <w:widowControl/>
              <w:suppressLineNumbers w:val="0"/>
              <w:kinsoku/>
              <w:wordWrap/>
              <w:overflowPunct/>
              <w:topLinePunct w:val="0"/>
              <w:autoSpaceDE/>
              <w:bidi w:val="0"/>
              <w:adjustRightInd/>
              <w:snapToGrid/>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napToGrid/>
                <w:color w:val="000000"/>
                <w:sz w:val="18"/>
                <w:szCs w:val="18"/>
                <w:u w:val="none"/>
                <w:lang w:eastAsia="zh-CN" w:bidi="ar-SA"/>
              </w:rPr>
              <w:t>2、</w:t>
            </w:r>
            <w:r>
              <w:rPr>
                <w:rFonts w:hint="eastAsia" w:asciiTheme="majorEastAsia" w:hAnsiTheme="majorEastAsia" w:eastAsiaTheme="majorEastAsia" w:cstheme="majorEastAsia"/>
                <w:b w:val="0"/>
                <w:i w:val="0"/>
                <w:snapToGrid/>
                <w:color w:val="000000"/>
                <w:sz w:val="18"/>
                <w:szCs w:val="18"/>
                <w:u w:val="none"/>
                <w:lang w:eastAsia="zh-CN"/>
              </w:rPr>
              <w:t>《企业投资项目核准和备案管理办法》</w:t>
            </w:r>
            <w:r>
              <w:rPr>
                <w:rFonts w:hint="eastAsia" w:asciiTheme="majorEastAsia" w:hAnsiTheme="majorEastAsia" w:eastAsiaTheme="majorEastAsia" w:cstheme="majorEastAsia"/>
                <w:i w:val="0"/>
                <w:color w:val="000000"/>
                <w:kern w:val="0"/>
                <w:sz w:val="18"/>
                <w:szCs w:val="18"/>
                <w:u w:val="none"/>
                <w:lang w:val="en-US" w:eastAsia="zh-CN"/>
              </w:rPr>
              <w:t>（ 2023年3月23日 2023年第1号令修订</w:t>
            </w:r>
            <w:r>
              <w:rPr>
                <w:rFonts w:hint="eastAsia" w:asciiTheme="majorEastAsia" w:hAnsiTheme="majorEastAsia" w:eastAsiaTheme="majorEastAsia" w:cstheme="majorEastAsia"/>
                <w:i w:val="0"/>
                <w:color w:val="FF0000"/>
                <w:kern w:val="0"/>
                <w:sz w:val="18"/>
                <w:szCs w:val="18"/>
                <w:u w:val="none"/>
                <w:lang w:val="en-US" w:eastAsia="zh-CN"/>
              </w:rPr>
              <w:t>）</w:t>
            </w:r>
            <w:r>
              <w:rPr>
                <w:rFonts w:hint="eastAsia" w:asciiTheme="majorEastAsia" w:hAnsiTheme="majorEastAsia" w:eastAsiaTheme="majorEastAsia" w:cstheme="majorEastAsia"/>
                <w:snapToGrid/>
                <w:color w:val="000000"/>
                <w:sz w:val="18"/>
                <w:szCs w:val="18"/>
                <w:u w:val="none"/>
                <w:lang w:eastAsia="zh-CN" w:bidi="ar-SA"/>
              </w:rPr>
              <w:t>第五十七条、第五十八条：实行备案管理的项目，企业未依法将项目信息或者已备案项目信息变更情况告知备案机关，或者向备案机关提供虚假信息的，由备案机关责令限期改正；逾期不改正的，处</w:t>
            </w:r>
            <w:r>
              <w:rPr>
                <w:rFonts w:hint="eastAsia" w:asciiTheme="majorEastAsia" w:hAnsiTheme="majorEastAsia" w:eastAsiaTheme="majorEastAsia" w:cstheme="majorEastAsia"/>
                <w:snapToGrid/>
                <w:color w:val="000000"/>
                <w:sz w:val="18"/>
                <w:szCs w:val="18"/>
                <w:u w:val="none"/>
                <w:lang w:val="en-US" w:eastAsia="zh-CN" w:bidi="ar-SA"/>
              </w:rPr>
              <w:t>2万元以上，5万元以下的罚款。企业投资建设产业政策禁止投资建设项目的，由县级以上人民政府投资主管部门责令停止建设或者责令停产并恢复原状，对企业处项目总投资5‰以上10‰以下的罚款；直接负责的主管人员和其他直接责任人员处5万元以上10万元以下的罚款，属于国家工作人员的，依法给予处分。法律、行政法规另有规定的，依照其规定。</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1、立案责任：发现涉嫌违反投资法律、法规相关的违法行为，予以审查，决定是否立案。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调查责任：投资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4、告知责任：作出行政处罚决定前，应制作《限期整改通知书》送达当事人，告知违法事实并在规定期限内完成整改。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根据《企业投资项目核准和备案管理条例》第二十一条：核准机关、备案机关及其工作人员在项目核准、备案工作中玩忽职守、滥用职权、徇私舞弊的，对负有责任的领导人员和直接责任人员依法给予处分；构成犯罪的，依法追究刑事责任。</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5"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3</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val="en-US" w:eastAsia="zh-CN" w:bidi="ar-SA"/>
              </w:rPr>
            </w:pPr>
            <w:r>
              <w:rPr>
                <w:rFonts w:hint="eastAsia" w:asciiTheme="majorEastAsia" w:hAnsiTheme="majorEastAsia" w:eastAsiaTheme="majorEastAsia" w:cstheme="majorEastAsia"/>
                <w:snapToGrid/>
                <w:color w:val="000000"/>
                <w:sz w:val="18"/>
                <w:szCs w:val="18"/>
                <w:u w:val="none"/>
                <w:lang w:val="en-US" w:eastAsia="zh-CN" w:bidi="ar-SA"/>
              </w:rPr>
              <w:t>节能服务机构提供虚假信息、无偿向本单位职工提供能源或者对能源消费实行包费制，重点用能单位未按规定报送能源利用状况报告或者报告内容不实、无正当理由拒不落实整改要求、未按规定设立能源管理岗位，聘任能源管理负责人并备案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《中华人民共和国节约能源法》 第七十七条　违反本法规定，无偿向本单位职工提供能源或者对能源消费实行包费制的，由管理节能工作的部门责令限期改正；逾期不改正的，处五万元以上二十万元以下罚款。</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第八十二条　重点用能单位未按照本法规定报送能源利用状况报告或者报告内容不实的，由管理节能工作的部门责令限期改正；逾期不改正的，处一万元以上五万元以下罚款。第八十三条　重点用能单位无正当理由拒不落实本法第五十四条规定的整改要求或者整改没有达到要求的，由管理节能工作的部门处十万元以上三十万元以下罚款。</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1、立案责任：发现涉嫌违反节能法律、法规相关的违法行为，予以审查，决定是否立案。</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调查责任：节能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4、告知责任：作出行政处罚决定前，应制作《限期整改通知书》送达当事人，告知违法事实并在规定期限内完成整改。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《中华人民共和国行政处罚法》</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第五十五条 行政机关实施行政处罚，有下列情形之一的，由上级行政机关或者有关部门责令改正，可以对直接负责的主管人员和其他直接责任人员依法给予行政处分: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（一）没有法定的行政处罚依据的；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（二）擅自改变行政处罚种类、幅度的；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（三）违反法定的行政处罚程序的；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（四）违反本法第十八条关于委托处罚的规定的。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napToGrid/>
                <w:color w:val="000000"/>
                <w:sz w:val="18"/>
                <w:szCs w:val="18"/>
                <w:u w:val="none"/>
                <w:lang w:eastAsia="zh-CN" w:bidi="ar-SA"/>
              </w:rPr>
              <w:t>以及其他法律法规有关规定的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4</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val="en-US" w:eastAsia="zh-CN" w:bidi="ar-SA"/>
              </w:rPr>
            </w:pPr>
            <w:r>
              <w:rPr>
                <w:rFonts w:hint="eastAsia" w:asciiTheme="majorEastAsia" w:hAnsiTheme="majorEastAsia" w:eastAsiaTheme="majorEastAsia" w:cstheme="majorEastAsia"/>
                <w:snapToGrid/>
                <w:color w:val="000000"/>
                <w:sz w:val="18"/>
                <w:szCs w:val="18"/>
                <w:u w:val="none"/>
                <w:lang w:val="en-US" w:eastAsia="zh-CN" w:bidi="ar-SA"/>
              </w:rPr>
              <w:t>用能单位无正当理由拒绝节能监测，电网经营单位不允许符合并网调度条件的资源综合利用电厂并网的处罚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《中华人民共和国节约能源法》第六章第七十八条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1、立案责任：发现涉嫌违反节能法律、法规相关的违法行为，予以审查，决定是否立案。</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责任：节能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4、告知责任：作出行政处罚决定前，应制作《限期整改通知书》送达当事人，告知违法事实并在规定期限内完成整改。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3、执法人员玩忽职守，对应当予以制止和处罚的违法行为不予制止、处罚4、不具备行政执法资格实施行政处罚的；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5、在制止以及查处违法案件中受阻，依照有关规定应当向本级人民政府或者上级主管部门报告而未报告的；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napToGrid/>
                <w:color w:val="000000"/>
                <w:sz w:val="18"/>
                <w:szCs w:val="18"/>
                <w:u w:val="none"/>
                <w:lang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5</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拒绝节能监察，不如实提供有关资料和样品或者伪造、篡改、隐匿、销毁有关资料和样品的处罚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000000"/>
                <w:sz w:val="18"/>
                <w:szCs w:val="18"/>
              </w:rPr>
              <w:t>《河北省节能监察办法》第三十条被监察单位拒绝依法实施的节能监察，不如实提供有关资料和样品或者隐瞒事实真相，伪造、篡改、隐匿、销毁有关资料和样品的，由节能主管部门责令限期改正，拒不改正的，处一万元以上三万元以下罚款。阻碍依法实施节能监察，构成违反治安管理行为的，由公安机关依照《中华人民共和国治安管理处罚法》予以处罚；构成犯罪的，依法追究刑事责任。</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1、立案责任：发现涉嫌违反节能法律、法规相关的违法行为，予以审查，决定是否立案。</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责任：节能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4、告知责任：作出行政处罚决定前，应制作《限期整改通知书》送达当事人，告知违法事实并在规定期限内完成整改。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3、执法人员玩忽职守，对应当予以制止和处罚的违法行为不予制止、处罚4、不具备行政执法资格实施行政处罚的；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5、在制止以及查处违法案件中受阻，依照有关规定应当向本级人民政府或者上级主管部门报告而未报告的；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6</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rPr>
              <w:t>禁止生产、进口、销售列入淘汰名录的设备、材料和产品，禁止使用列入淘汰名录的技术、工艺、设备和材料的处罚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bidi w:val="0"/>
              <w:adjustRightInd w:val="0"/>
              <w:snapToGrid w:val="0"/>
              <w:spacing w:line="360" w:lineRule="exact"/>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《中华人民共和国循环经济促进法》第五十条生产、销售列入淘汰名录的产品、设备的，依照《中华人民共和国产品质量法》的规定处罚。</w:t>
            </w:r>
          </w:p>
          <w:p>
            <w:pPr>
              <w:keepNext w:val="0"/>
              <w:keepLines w:val="0"/>
              <w:pageBreakBefore w:val="0"/>
              <w:kinsoku/>
              <w:wordWrap/>
              <w:overflowPunct/>
              <w:topLinePunct w:val="0"/>
              <w:autoSpaceDE/>
              <w:bidi w:val="0"/>
              <w:adjustRightInd w:val="0"/>
              <w:snapToGrid w:val="0"/>
              <w:spacing w:line="360" w:lineRule="exact"/>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pPr>
              <w:keepNext w:val="0"/>
              <w:keepLines w:val="0"/>
              <w:pageBreakBefore w:val="0"/>
              <w:kinsoku/>
              <w:wordWrap/>
              <w:overflowPunct/>
              <w:topLinePunct w:val="0"/>
              <w:autoSpaceDE/>
              <w:bidi w:val="0"/>
              <w:adjustRightInd w:val="0"/>
              <w:snapToGrid w:val="0"/>
              <w:spacing w:line="360" w:lineRule="exact"/>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　　违反本法规定，进口列入淘汰名录的设备、材料或者产品的，由海关责令退运，可以处十万元以上一百万元以下的罚款。进口者不明的，由承运人承担退运责任，或者承担有关处置费用。</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1、立案责任：发现涉嫌违反节能法律、法规相关的违法行为，予以审查，决定是否立案。</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责任：节能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4、告知责任：作出行政处罚决定前，应制作《限期整改通知书》送达当事人，告知违法事实并在规定期限内完成整改。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3、执法人员玩忽职守，对应当予以制止和处罚的违法行为不予制止、处罚4、不具备行政执法资格实施行政处罚的；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5、在制止以及查处违法案件中受阻，依照有关规定应当向本级人民政府或者上级主管部门报告而未报告的；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7</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对未经节能审查或者节能审查未通过擅自开工建设的固定资产投资项目的处罚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000000"/>
                <w:sz w:val="18"/>
                <w:szCs w:val="18"/>
              </w:rPr>
              <w:t>《固定资产投资项目节能审查办法》第二十三条 对未按本办法规定进行节能审查，或节能审查未获通过，擅自开工建设或擅自投入生产、使用的固定资产投资项目，由节能审查机关责令停止建设或停止生产、使用，限期整改，并对建设单位进行通报批评，视情节处10万元以下罚款。经节能审查机关认定完成整改的项目，节能审查机关可依据实际情况出具整改完成证明。不能整改或逾期不整改的生产性项目，由节能审查机关报请本级人民政府按照国务院规定的权限责令关闭，并依法追究有关责任人的责任。</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1、立案责任：发现涉嫌违反节能法律、法规相关的违法行为，予以审查，决定是否立案。</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责任：节能监察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4、告知责任：作出行政处罚决定前，应制作《限期整改通知书》送达当事人，告知违法事实并在规定期限内完成整改。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7、执行责任：依照生效的行政处罚决定进行处罚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3、执法人员玩忽职守，对应当予以制止和处罚的违法行为不予制止、处罚4、不具备行政执法资格实施行政处罚的；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5、在制止以及查处违法案件中受阻，依照有关规定应当向本级人民政府或者上级主管部门报告而未报告的；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jc w:val="both"/>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8</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u w:val="none"/>
                <w:lang w:val="en-US" w:eastAsia="zh-CN" w:bidi="ar-SA"/>
              </w:rPr>
              <w:t>对粮食收购企业违反粮食收购备案管理规定的处罚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四十三条：粮食收购企业未按照规定备案或者提供虚假备案信息的，由粮食和储备行政管理部门责令改正，给予警告；拒不改正的，处2万元以上5万元以下罚款。</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1.立案责任:发现涉嫌违反粮食收购备案管理制度违法行为的(或者上级粮食行政管理部门交办或其他机关移送的违法案件等)，予以审查，决定是否立案。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w:t>
            </w:r>
            <w:r>
              <w:rPr>
                <w:rFonts w:hint="eastAsia" w:asciiTheme="majorEastAsia" w:hAnsiTheme="majorEastAsia" w:eastAsiaTheme="majorEastAsia" w:cstheme="majorEastAsia"/>
                <w:sz w:val="18"/>
                <w:szCs w:val="18"/>
                <w:lang w:eastAsia="zh-CN"/>
              </w:rPr>
              <w:t>粮食企业</w:t>
            </w:r>
            <w:r>
              <w:rPr>
                <w:rFonts w:hint="eastAsia" w:asciiTheme="majorEastAsia" w:hAnsiTheme="majorEastAsia" w:eastAsiaTheme="majorEastAsia" w:cstheme="majorEastAsia"/>
                <w:sz w:val="18"/>
                <w:szCs w:val="18"/>
              </w:rPr>
              <w:t>的合法权益</w:t>
            </w:r>
            <w:r>
              <w:rPr>
                <w:rFonts w:hint="eastAsia" w:asciiTheme="majorEastAsia" w:hAnsiTheme="majorEastAsia" w:eastAsiaTheme="majorEastAsia" w:cstheme="majorEastAsia"/>
                <w:sz w:val="18"/>
                <w:szCs w:val="18"/>
                <w:lang w:eastAsia="zh-CN"/>
              </w:rPr>
              <w:t>遭受损害的</w:t>
            </w:r>
            <w:r>
              <w:rPr>
                <w:rFonts w:hint="eastAsia" w:asciiTheme="majorEastAsia" w:hAnsiTheme="majorEastAsia" w:eastAsiaTheme="majorEastAsia" w:cstheme="majorEastAsia"/>
                <w:sz w:val="18"/>
                <w:szCs w:val="18"/>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w:t>
            </w:r>
            <w:r>
              <w:rPr>
                <w:rFonts w:hint="eastAsia" w:asciiTheme="majorEastAsia" w:hAnsiTheme="majorEastAsia" w:eastAsiaTheme="majorEastAsia" w:cstheme="majorEastAsia"/>
                <w:sz w:val="18"/>
                <w:szCs w:val="18"/>
                <w:lang w:eastAsia="zh-CN"/>
              </w:rPr>
              <w:t>粮食</w:t>
            </w:r>
            <w:r>
              <w:rPr>
                <w:rFonts w:hint="eastAsia" w:asciiTheme="majorEastAsia" w:hAnsiTheme="majorEastAsia" w:eastAsiaTheme="majorEastAsia" w:cstheme="majorEastAsia"/>
                <w:sz w:val="18"/>
                <w:szCs w:val="18"/>
              </w:rPr>
              <w:t>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rPr>
              <w:t>11、其他违反法律法规规章文件规定的行为</w:t>
            </w:r>
            <w:r>
              <w:rPr>
                <w:rFonts w:hint="eastAsia" w:asciiTheme="majorEastAsia" w:hAnsiTheme="majorEastAsia" w:eastAsiaTheme="majorEastAsia" w:cstheme="majorEastAsia"/>
                <w:sz w:val="18"/>
                <w:szCs w:val="18"/>
                <w:lang w:eastAsia="zh-CN"/>
              </w:rPr>
              <w:t>。</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9</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对粮食收购者、粮食经营者违法情形的处罚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四十五条：有下列情形之一的，由粮食和储备行政管理部门责令改正，给予警告，可以并处20万元以下罚款；情节严重的，并处20万元以上50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（一）粮食收购者未执行国家粮食质量标准；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（二）粮食收购者未及时向售粮者支付售粮款；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（三）粮食收购者违反本条例规定代扣、代缴税、费和其他款项；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（四）粮食收购者收购粮食，未按照国家有关规定进行质量安全检验，或者对不符合食品安全标准的粮食未作为非食用用途单独储存；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（五）从事粮食收购、销售、储存、加工的粮食经营者以及饲料、工业用粮企业未建立粮食经营台账，或者未按照规定报送粮食基本数据和有关情况；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（六）粮食储存企业未按照规定进行粮食销售出库质量安全检验。</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1.立案责任:发现涉嫌违反粮食流通相关法规的违法行为(或者上级粮食行政管理部门交办或其他机关移送的违法案件等)，予以审查，决定是否立案。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10</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对粮食收购者、粮食储存企业未按照《粮食流通管理条例》规定使用仓储设施运输工具的处罚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四十六条：粮食收购者、粮食储存企业未按照本条例规定使用仓储设施、运输工具的，由粮食和储备行政管理等部门按照职责责令改正，给予警告；被污染的粮食不得非法销售、加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1.立案责任:发现涉嫌违反粮食流通相关法规的违法行为(或者上级粮食行政管理部门交办或其他机关移送的违法案件等)，予以审查，决定是否立案。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对粮食收购者、粮食储存企业将不符合质量安全标准的粮食作为食用用途销售出库的处罚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（一）真菌毒素、农药残留、重金属等污染物质以及其他危害人体健康的物质含量超过食品安全标准限量的；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（二）霉变或者色泽、气味异常的；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（三）储存期间使用储粮药剂未满安全间隔期的；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（四）被包装材料、容器、运输工具等污染的；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（五）其他法律、法规或者国家有关规定明确不得作为食用用途销售的。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1"/>
              </w:numPr>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立案责任:发现涉嫌违反粮食流通相关法规的违法行为(或者上级粮食行政管理部门交办或其他机关移送的违法案件等)，予以审查，决定是否立案。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对粮食经营者从事政策性粮食经营活动违反国家有关规定情形的处罚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四十九条：从事政策性粮食经营活动，有下列情形之一的，由粮食和储备行政管理部门责令改正，给予警告，没收违法所得，并处50万元以上200万元以下罚款；情节严重的，并处200万元以上500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（一）虚报粮食收储数量；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（二）通过以陈顶新、以次充好、低收高转、虚假购销、虚假轮换、违规倒卖等方式，套取粮食价差和财政补贴，骗取信贷资金；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（三）挤占、挪用、克扣财政补贴、信贷资金；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（四）以政策性粮食为债务作担保或者清偿债务；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（五）利用政策性粮食进行除政府委托的政策性任务以外的其他商业经营；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（六）在政策性粮食出库时掺杂使假、以次充好、调换标的物，拒不执行出库指令或者阻挠出库；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（七）购买国家限定用途的政策性粮食，违规倒卖或者不按照规定用途处置；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（八）擅自动用政策性粮食；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（九）其他违反国家政策性粮食经营管理规定的行为。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粮食应急预案启动后，不按照国家要求承担应急任务，不服从国家的统一安排和调度的，依照前款规定予以处罚。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1.立案责任:发现涉嫌违反从事政策性粮食经营活动有关规定的违法行为(或者上级粮食行政管理部门交办或其他机关移送的违法案件等)，予以审查，决定是否立案。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13</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对规模以上粮食经营者未执行特定情况下粮食库存量规定的处罚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2"/>
              </w:numPr>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《粮食流通管理条例》（2021年1月4日修订，4月15日执行）第十九条：从事粮食收购、加工、销售的规模以上经营者，应当按照所在地省、自治区、直辖市人民政府的规定，执行特定情况下的粮食库存量。</w:t>
            </w:r>
          </w:p>
          <w:p>
            <w:pPr>
              <w:keepNext w:val="0"/>
              <w:keepLines w:val="0"/>
              <w:pageBreakBefore w:val="0"/>
              <w:widowControl/>
              <w:suppressLineNumbers w:val="0"/>
              <w:kinsoku/>
              <w:wordWrap/>
              <w:overflowPunct/>
              <w:topLinePunct w:val="0"/>
              <w:autoSpaceDE/>
              <w:bidi w:val="0"/>
              <w:spacing w:line="360" w:lineRule="exact"/>
              <w:ind w:left="0" w:firstLine="0"/>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河北省粮食流通管理规定》（河北省人民政府令【2016】第一号令）第十一条：违反本规定第十八条规定的，由粮食行政管理部门予以警告，责令限期改正；情节严重的，处不足或者超出标准部分粮食价值一倍以上五倍以下的罚款，并可以取消粮食收购资格。</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1.立案责任:发现涉嫌违反特定情况下粮食库存量规定的违法行为(或者上级粮食行政管理部门交办或其他机关移送的违法案件等)，予以审查，决定是否立案。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14</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对粮油仓储单位违反备案规定的处罚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油仓储管理办法》（国家发展和改革委员会【2009】第5号令)第二十八条：粮油仓储单位违反本办法第六条规定，未在规定时间向粮食行政管理部门备案，或者备案内容弄虚作假的，由负责备案管理的粮食行政管理部门责令改正，给予警告；拒不改正的，处1万元以下罚款。</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第二十九条：粮油仓储单位不具备本办法第七条规定条件的，由负责备案管理的粮食行政管理部门责令改正，给予警告；拒不改正的，处1万元以上3万元以下罚款。</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1.立案责任:发现涉嫌违反粮油仓储单位备案管理规定行为的(或者上级粮食行政管理部门交办或其他机关移送的违法案件等)，予以审查，决定是否立案。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15</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对违规拆除、迁移、侵占、损坏</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国有粮油仓储物流设施或擅自改变其用途的处罚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国有粮油仓储物流设施保护办法》（2016年6月国家发展和改革委员会令第40号）第二十一条：“任何公民、法人和其他组织违反本办法规定拆除、迁移粮油仓储物流设施，非法侵占、损坏粮油仓储物流设施或者擅自改变其用途，由粮油仓储物流设施所在地粮食行政管理部门责令其限期改正，并依法予以警告或者罚款；有违法所得的，没收违法所得；造成财产损失的，依法承担民事赔偿责任；构成犯罪的，依法追究刑事责任”。</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1.立案责任:发现涉嫌</w:t>
            </w:r>
            <w:r>
              <w:rPr>
                <w:rFonts w:hint="eastAsia" w:asciiTheme="majorEastAsia" w:hAnsiTheme="majorEastAsia" w:eastAsiaTheme="majorEastAsia" w:cstheme="majorEastAsia"/>
                <w:color w:val="000000"/>
                <w:kern w:val="0"/>
                <w:sz w:val="18"/>
                <w:szCs w:val="18"/>
                <w:u w:val="none"/>
                <w:lang w:val="en-US" w:eastAsia="zh-CN" w:bidi="ar-SA"/>
              </w:rPr>
              <w:t>违规拆除、迁移、侵占、损坏国有粮油仓储物流设施或擅自改变其用途的</w:t>
            </w:r>
            <w:r>
              <w:rPr>
                <w:rFonts w:hint="eastAsia" w:asciiTheme="majorEastAsia" w:hAnsiTheme="majorEastAsia" w:eastAsiaTheme="majorEastAsia" w:cstheme="majorEastAsia"/>
                <w:sz w:val="18"/>
                <w:szCs w:val="18"/>
                <w:lang w:val="en-US" w:eastAsia="zh-CN"/>
              </w:rPr>
              <w:t>行为(或者上级粮食行政管理部门交办或其他机关移送的违法案件等)，予以审查，决定是否立案。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调查责任:粮食行政管理部门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4.告知责任:做出行政处罚决定前，应制作《行政处罚告知书》送达当事人，告知违法事实及其享有的陈述、申辩等权利。符合听证规定的，制作并送达《行政处罚听证告知书》。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5.决定责任:制作行政处罚决定书，载明行政处罚告知、当事人陈述申辩或者听证情况等内容。</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6、送达责任:行政处罚决定书按法律规定的方式送达当事人。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7.执行责任:依照生效的行政处罚决定。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3、执法人员玩忽职守，对应当予以制止和处罚的违法行为不予制止、处罚，致使粮食企业的合法权益遭受损害的；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5、在制止以及查处违法案件中受阻，依照有关规定应当向本级人民政府或者上级粮食主管部门报告而未报告的；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16</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sz w:val="18"/>
                <w:szCs w:val="18"/>
              </w:rPr>
              <w:t>违反汽车销售相关规定给予的行政处罚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汽车销售管理办法》（2017年4月5日商务部令第1号）第十条经销商应当在经营场所以适当形式明示销售汽车、配件及其他相关产品的价格和各项服务收费标准，不得在标价之外加价销售或收取额外费用。第十二条 经销商出售未经供应商授权销售的汽车，或者未经境外汽车生产企业授权销售的进口汽车，应当以书面形式向消费者作出提醒和说明，并书面告知向消费者承担相关责任的主体。未经供应商授权或者授权终止的，经销商不得以供应商授权销售汽车的名义从事经营活动。第十四条 供应商、经销商不得限定消费者户籍所在地，不得对消费者限定汽车配件、用品、金融、保险、救援等产品的提供商和售后服务商，但家用汽车产品“三包”服务、召回等由供应商承担费用时使用的配件和服务除外。经销商销售汽车时不得强制消费者购买保险或者强制为其提供代办车辆注册登记等服务。第十七条 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第二十一条 供应商不得限制配件生产商（进口产品为进口商）的销售对象，不得限制经销商、售后服务商转售配件，有关法律法规规章及其配套的规范性文件另有规定的除外。第二十三条 供应商发生变更时，应当妥善处理相关事宜，确保经销商和消费者的合法权益。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第二十四条 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第二十五条 供应商制定或实施营销奖励等商务政策应当遵循公平、公正、透明的原则。供应商应当向经销商明确商务政策的主要内容，对于临时性商务政策，应当提前以双方约定的方式告知；对于被解除授权的经销商，应当维护经销商在授权期间应有的权益，不得拒绝或延迟支付销售返利。第二十六条 除双方合同另有约定外，供应商在经销商获得授权销售区域内不得向消费者直接销售汽车。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1.立案阶段责任：发现涉嫌违法行为，应及时制止（对正在实施的违法行为，下达《责令停止违法行为通知书》），并予以审查，决定是否立案。</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2.调查阶段责任：对立案的案件，指定专人负责，及时组织调查取证，与当事人有直接利害关系的应当回避。执法人员不得少于两人，调查时应出示执法证件，允许当事人辩解陈述。执法人员应保守有关秘密。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3.审查阶段责任：审理案件调查报告，对案件违法事实、证据、调查取证程序、法律适用、处罚种类和幅度、当事人陈述和申辩理由等方面进行审查，提出处理意见。</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4.告知阶段责任：作出行政处罚决定前，告知违法事实及其享有的陈述、申辩等权利。符合听证规定的，告知当事人有要求举行听证的权利。</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5.决定阶段责任：制作行政处罚决定书，载明行政处罚告知、当事人陈述申辩或者听证情况等内容。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6.送达阶段责任：行政处罚决定书按法律规定的方式送达当事人。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7.执行阶段责任：依照生效的行政处罚决定，监督当事人履行。当事人逾期不履行的，可依法采取加处罚款、申请法院强制执行等措施。</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8.其他法律法规规章规定应履行的责任。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3.执法人员玩忽职守，对应当予以制止和处罚的违法行为不予制止、处罚，致使公民、法人或者其他组织的合法权益、公共利益和社会秩序遭受损害的；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5.擅自改变行政处罚种类、幅度的；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6.违反法定的行政处罚程序的；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7.违反“罚缴分离”规定，擅自收取罚款的；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8.不使用罚款单据或使用非法定部门制发的罚款单据的；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9.截留、私分或者变相私分罚款的；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11.在行政处罚过程中发生腐败行为的；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12.其他违反法律法规规章规定的行为。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17</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行政处罚</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违反单用途商业预付卡管理办法做出的处罚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单用途商业预付卡管理办法（试行）》（2012年9月21日商务部令第9号，2016年8月18日修订）第二十四条发卡企业应对预收资金进行严格管理。预收资金只能用于发卡企业主营业务，不得用于不动产、股权、证券等投资及借贷。第二十五条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集团发卡企业预收资金余额不得超过其上一会计年度本集团营业收入的30%。本办法所称预收资金是指发卡企业通过发行单用途卡所预收的资金总额，预收资金余额是指预收资金扣减已兑付商品或服务价款后的余额。第二十六条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第二十七条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第三十一条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发卡企业填报的信息应当准确、真实、完整，不得故意隐瞒或虚报。第三十七条第二款发卡企业违反本办法第二十四条至第二十七条、第三十一条规定的，由备案机关责令限期改正；逾期仍不改正的，处以1万元以上3万元以下罚款。</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1.立案阶段责任：发现涉嫌违法行为，应及时制止（对正在实施的违法行为，下达《责令停止违法行为通知书》），并予以审查，决定是否立案。</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2.调查阶段责任：对立案的案件，指定专人负责，及时组织调查取证，与当事人有直接利害关系的应当回避。执法人员不得少于两人，调查时应出示执法证件，允许当事人辩解陈述。执法人员应保守有关秘密。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3.审查阶段责任：审理案件调查报告，对案件违法事实、证据、调查取证程序、法律适用、处罚种类和幅度、当事人陈述和申辩理由等方面进行审查，提出处理意见。</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4.告知阶段责任：作出行政处罚决定前，告知违法事实及其享有的陈述、申辩等权利。符合听证规定的，告知当事人有要求举行听证的权利。</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5.决定阶段责任：制作行政处罚决定书，载明行政处罚告知、当事人陈述申辩或者听证情况等内容。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6.送达阶段责任：行政处罚决定书按法律规定的方式送达当事人。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7.执行阶段责任：依照生效的行政处罚决定，监督当事人履行。当事人逾期不履行的，可依法采取加处罚款、申请法院强制执行等措施。</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8.其他法律法规规章规定应履行的责任。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3.执法人员玩忽职守，对应当予以制止和处罚的违法行为不予制止、处罚，致使公民、法人或者其他组织的合法权益、公共利益和社会秩序遭受损害的；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5.擅自改变行政处罚种类、幅度的；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6.违反法定的行政处罚程序的；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7.违反“罚缴分离”规定，擅自收取罚款的；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8.不使用罚款单据或使用非法定部门制发的罚款单据的；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9.截留、私分或者变相私分罚款的；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10.符合听证条件、行政管理相对人要求听证，应予组织听证而不组织听证的；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11.在行政处罚过程中发生腐败行为的；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12.其他违反法律法规规章规定的行为。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18</w:t>
            </w: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spacing w:line="36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行政处罚</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对违反《汽车销售管理办法》的处罚</w:t>
            </w:r>
          </w:p>
        </w:tc>
        <w:tc>
          <w:tcPr>
            <w:tcW w:w="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spacing w:line="360" w:lineRule="exact"/>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商务局</w:t>
            </w:r>
          </w:p>
        </w:tc>
        <w:tc>
          <w:tcPr>
            <w:tcW w:w="26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b/>
                <w:bCs/>
                <w:sz w:val="18"/>
                <w:szCs w:val="18"/>
              </w:rPr>
              <w:t>部委规章：</w:t>
            </w:r>
            <w:r>
              <w:rPr>
                <w:rFonts w:hint="eastAsia" w:asciiTheme="majorEastAsia" w:hAnsiTheme="majorEastAsia" w:eastAsiaTheme="majorEastAsia" w:cstheme="majorEastAsia"/>
                <w:sz w:val="18"/>
                <w:szCs w:val="18"/>
              </w:rPr>
              <w:t>《汽车销售管理办法》(商务部令2017年第1号）</w:t>
            </w:r>
          </w:p>
          <w:p>
            <w:pPr>
              <w:keepNext w:val="0"/>
              <w:keepLines w:val="0"/>
              <w:pageBreakBefore w:val="0"/>
              <w:kinsoku/>
              <w:wordWrap/>
              <w:overflowPunct/>
              <w:topLinePunct w:val="0"/>
              <w:autoSpaceDE/>
              <w:bidi w:val="0"/>
              <w:spacing w:line="360" w:lineRule="exact"/>
              <w:ind w:firstLine="344" w:firstLineChars="200"/>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第三十二条 违反本办法第十条、第十二条、第十四条、第十七条第一款、第二十一条、第二十三条第二款、第二十四条、第二十五条、第二十六条有关规定的，由县级以上地方商务主管部门责令改正，并可给予警告或3万元以下罚款。</w:t>
            </w:r>
          </w:p>
          <w:p>
            <w:pPr>
              <w:keepNext w:val="0"/>
              <w:keepLines w:val="0"/>
              <w:pageBreakBefore w:val="0"/>
              <w:kinsoku/>
              <w:wordWrap/>
              <w:overflowPunct/>
              <w:topLinePunct w:val="0"/>
              <w:autoSpaceDE/>
              <w:bidi w:val="0"/>
              <w:spacing w:line="360" w:lineRule="exact"/>
              <w:ind w:firstLine="344" w:firstLineChars="200"/>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第三十三条 违反本办法第十一条、第十五条、第十八条、第二十条第二款、第二十七条、第二十八条有关规定的，由县级以上地方商务主管部门责令改正，并可给予警告或1万元以下罚款。</w:t>
            </w:r>
          </w:p>
        </w:tc>
        <w:tc>
          <w:tcPr>
            <w:tcW w:w="4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1、立案责任：发现</w:t>
            </w:r>
            <w:r>
              <w:rPr>
                <w:rFonts w:hint="eastAsia" w:asciiTheme="majorEastAsia" w:hAnsiTheme="majorEastAsia" w:eastAsiaTheme="majorEastAsia" w:cstheme="majorEastAsia"/>
                <w:sz w:val="18"/>
                <w:szCs w:val="18"/>
                <w:lang w:val="en-US" w:eastAsia="zh-CN"/>
              </w:rPr>
              <w:t>企业</w:t>
            </w:r>
            <w:r>
              <w:rPr>
                <w:rFonts w:hint="eastAsia" w:asciiTheme="majorEastAsia" w:hAnsiTheme="majorEastAsia" w:eastAsiaTheme="majorEastAsia" w:cstheme="majorEastAsia"/>
                <w:sz w:val="18"/>
                <w:szCs w:val="18"/>
              </w:rPr>
              <w:t>有</w:t>
            </w:r>
            <w:r>
              <w:rPr>
                <w:rFonts w:hint="eastAsia" w:asciiTheme="majorEastAsia" w:hAnsiTheme="majorEastAsia" w:eastAsiaTheme="majorEastAsia" w:cstheme="majorEastAsia"/>
                <w:sz w:val="18"/>
                <w:szCs w:val="18"/>
                <w:lang w:val="en-US" w:eastAsia="zh-CN"/>
              </w:rPr>
              <w:t>违法行为</w:t>
            </w:r>
            <w:r>
              <w:rPr>
                <w:rFonts w:hint="eastAsia" w:asciiTheme="majorEastAsia" w:hAnsiTheme="majorEastAsia" w:eastAsiaTheme="majorEastAsia" w:cstheme="majorEastAsia"/>
                <w:sz w:val="18"/>
                <w:szCs w:val="18"/>
              </w:rPr>
              <w:t>的，予以审查，决定是否立案。</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3、审查责任：审理案件调查报告，对案件违法事实、证据、调查取证程序、法律适用、处罚种类和幅度、当事人陈述和申辩理由等方面进行审查，提出处理意见（主要证据不足时，以适当的方式补充调查）。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4、告知责任：作出行政处罚决定前，应制作《行政处罚告知书》送达当事人，告知违法事实及其享有的陈述、申辩等权利。符合听证规定的，制作并送达《行政处罚听证告知书》。</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5、决定责任：制作行政处罚决定书，载明行政处罚告知、当事人陈述申辩或者听证情况等内容。</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6、送达责任：行政处罚决定书按法律规定的方式送达当事人。</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7、执行责任：依照生效的行政处罚决定，给予警告或罚款。</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8、其他法律法规规章文件规定应履行的责任。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因不履行或不正确履行行政职责，有下列情形的，行政机关及相关工作人员应承担相应责任：</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1、没有法律和事实依据实施行政处罚的；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2、行政处罚显失公正的；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3、执法人员玩忽职守，对应当予以制止和处罚的违法行为不予制止、处罚；</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4、不具备行政执法资格实施行政处罚的；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5、在制止以及查处违法案件中受阻，依照有关规定应当向本级人民政府或者上级商务主管部门报告而未报告的；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6、应当依法移送追究刑事责任，而未依法移送有权机关的；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7、擅自改变行政处罚种类、幅度的；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8、违反法定的行政处罚程序的；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9、符合听证条件、行政管理相对人要求听证，应予组织听证而不组织听证的；</w:t>
            </w:r>
          </w:p>
          <w:p>
            <w:pPr>
              <w:keepNext w:val="0"/>
              <w:keepLines w:val="0"/>
              <w:pageBreakBefore w:val="0"/>
              <w:tabs>
                <w:tab w:val="left" w:pos="7937"/>
              </w:tabs>
              <w:kinsoku/>
              <w:wordWrap/>
              <w:overflowPunct/>
              <w:topLinePunct w:val="0"/>
              <w:autoSpaceDE/>
              <w:bidi w:val="0"/>
              <w:spacing w:line="360" w:lineRule="exact"/>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10、在行政处罚过程中发生腐败行为的；</w:t>
            </w:r>
          </w:p>
          <w:p>
            <w:pPr>
              <w:keepNext w:val="0"/>
              <w:keepLines w:val="0"/>
              <w:pageBreakBefore w:val="0"/>
              <w:kinsoku/>
              <w:wordWrap/>
              <w:overflowPunct/>
              <w:topLinePunct w:val="0"/>
              <w:autoSpaceDE/>
              <w:bidi w:val="0"/>
              <w:spacing w:line="360" w:lineRule="exact"/>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rPr>
              <w:t>11、其他违反法律法规规章文件规定的行为。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19</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行政检查</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对从事粮食收购、加工、销售的规模以上经营者执行特定情况下粮食库存量的检查</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 xml:space="preserve">《粮食流通管理条例》（2021年1月4日修订，4月15日执行）第十九条：从事粮食收购、加工、销售的规模以上经营者，应当按照所在地省、自治区、直辖市人民政府的规定，执行特定情况下的粮食库存量。                                   </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1.检查责任:对本辖区负</w:t>
            </w:r>
            <w:r>
              <w:rPr>
                <w:rFonts w:hint="eastAsia" w:asciiTheme="majorEastAsia" w:hAnsiTheme="majorEastAsia" w:eastAsiaTheme="majorEastAsia" w:cstheme="majorEastAsia"/>
                <w:color w:val="000000"/>
                <w:kern w:val="0"/>
                <w:sz w:val="18"/>
                <w:szCs w:val="18"/>
                <w:u w:val="none"/>
                <w:lang w:val="en-US" w:eastAsia="zh-CN" w:bidi="ar-SA"/>
              </w:rPr>
              <w:t>从事粮食收购、加工、销售的规模以上经营者执行特定情况下粮食库存量进行</w:t>
            </w:r>
            <w:r>
              <w:rPr>
                <w:rFonts w:hint="eastAsia" w:asciiTheme="majorEastAsia" w:hAnsiTheme="majorEastAsia" w:eastAsiaTheme="majorEastAsia" w:cstheme="majorEastAsia"/>
                <w:sz w:val="18"/>
                <w:szCs w:val="18"/>
              </w:rPr>
              <w:t>监督检查。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2.处置责任:对监督检查发现的问题，责令限期整改、依法实施处罚。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3.移送责任:及时予以公告，对构成违法犯罪的移交司法机关。</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4.事后管理责任:对监督检查发现的问题，责令整改完成后，对整改情况组织进行核查。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z w:val="18"/>
                <w:szCs w:val="18"/>
                <w:lang w:eastAsia="zh-CN"/>
              </w:rPr>
              <w:t>因不履行或不正确履行行政职责，有下列情形的，行政机关及相关工作人员应承担相应责任：</w:t>
            </w:r>
            <w:r>
              <w:rPr>
                <w:rFonts w:hint="eastAsia" w:asciiTheme="majorEastAsia" w:hAnsiTheme="majorEastAsia" w:eastAsiaTheme="majorEastAsia" w:cstheme="majorEastAsia"/>
                <w:sz w:val="18"/>
                <w:szCs w:val="18"/>
                <w:lang w:val="en-US" w:eastAsia="zh-CN"/>
              </w:rPr>
              <w:t>1、不对本辖区相关职责内工作情况组织监督检查；2、对在检查中发现的问题，不责令限期整改、不依法实施处罚；3、不及时予以公告，对构成违法犯罪的不移交司法机关；4、对监督检查发现的问题，整改完成后，不对整改情况组织进行核查；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20</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行政检查</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对职责所涉及的县级粮食储备的检查</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高阳县县级储备粮管理办法》（高政规【2023】3号）第四十四条：县发展改革部门和县财政部门按照各自职责，依法对承储企业执行粮食法规、规章的情况进行监督检查。在监督检查过程中，可以行使下列职权：（一）进入承储企业检查县级储备粮的数量、质量和储存安全情况；（二）向有关单位和人员了解县级储备粮收购、销售、轮换计划及动用命令的执行情况；（三）调阅县级储备粮经营管理的有关资料、凭证；（四）依法处理违法行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1.检查责任:定期对职责所涉及的</w:t>
            </w:r>
            <w:r>
              <w:rPr>
                <w:rFonts w:hint="eastAsia" w:asciiTheme="majorEastAsia" w:hAnsiTheme="majorEastAsia" w:eastAsiaTheme="majorEastAsia" w:cstheme="majorEastAsia"/>
                <w:sz w:val="18"/>
                <w:szCs w:val="18"/>
                <w:lang w:eastAsia="zh-CN"/>
              </w:rPr>
              <w:t>县</w:t>
            </w:r>
            <w:r>
              <w:rPr>
                <w:rFonts w:hint="eastAsia" w:asciiTheme="majorEastAsia" w:hAnsiTheme="majorEastAsia" w:eastAsiaTheme="majorEastAsia" w:cstheme="majorEastAsia"/>
                <w:sz w:val="18"/>
                <w:szCs w:val="18"/>
              </w:rPr>
              <w:t>级粮食储备收储、轮换和日常管理组织监督检查。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2.处置责任:对监督检查中发现问题，责令限期整改，依据管理办法和协议规定实施处罚或取消粮食储备资格。对监督检查中发现构成违法犯罪的，及时上报</w:t>
            </w:r>
            <w:r>
              <w:rPr>
                <w:rFonts w:hint="eastAsia" w:asciiTheme="majorEastAsia" w:hAnsiTheme="majorEastAsia" w:eastAsiaTheme="majorEastAsia" w:cstheme="majorEastAsia"/>
                <w:sz w:val="18"/>
                <w:szCs w:val="18"/>
                <w:lang w:eastAsia="zh-CN"/>
              </w:rPr>
              <w:t>县</w:t>
            </w:r>
            <w:r>
              <w:rPr>
                <w:rFonts w:hint="eastAsia" w:asciiTheme="majorEastAsia" w:hAnsiTheme="majorEastAsia" w:eastAsiaTheme="majorEastAsia" w:cstheme="majorEastAsia"/>
                <w:sz w:val="18"/>
                <w:szCs w:val="18"/>
              </w:rPr>
              <w:t>局领导，做出处理。</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3.移送责任:及时予以公告，对构成违法犯罪的移交司法机关。</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4.事后管理责任:对监督检查发现的问题整改情况进行核查。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z w:val="18"/>
                <w:szCs w:val="18"/>
                <w:lang w:eastAsia="zh-CN"/>
              </w:rPr>
              <w:t>因不履行或不正确履行行政职责，有下列情形的，行政机关及相关工作人员应承担相应责任：</w:t>
            </w:r>
            <w:r>
              <w:rPr>
                <w:rFonts w:hint="eastAsia" w:asciiTheme="majorEastAsia" w:hAnsiTheme="majorEastAsia" w:eastAsiaTheme="majorEastAsia" w:cstheme="majorEastAsia"/>
                <w:sz w:val="18"/>
                <w:szCs w:val="18"/>
                <w:lang w:val="en-US" w:eastAsia="zh-CN"/>
              </w:rPr>
              <w:t>1、不对本辖区相关职责内工作情况组织监督检查；2、对在检查中发现的问题，不责令限期整改、不依法实施处罚；3、不及时予以公告，对构成违法犯罪的不移交司法机关；4、对监督检查发现的问题，整改完成后，不对整改情况组织进行核查；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行政检查</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对辖区内粮食收购、储存、运输活动和政策性粮食购销活动的检查</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三十八条：粮食和储备行政管理部门依照本条例对粮食经营者从事粮食收购、储存、运输活动和政策性粮食的购销活动，以及执行国家粮食流通统计制度的情况进行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360" w:lineRule="exact"/>
              <w:ind w:left="0" w:right="0" w:firstLine="420"/>
              <w:jc w:val="both"/>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1.检查责任：对辖区内粮食收</w:t>
            </w:r>
            <w:r>
              <w:rPr>
                <w:rFonts w:hint="eastAsia" w:asciiTheme="majorEastAsia" w:hAnsiTheme="majorEastAsia" w:eastAsiaTheme="majorEastAsia" w:cstheme="majorEastAsia"/>
                <w:sz w:val="18"/>
                <w:szCs w:val="18"/>
              </w:rPr>
              <w:t>购、储存、运输活动和政策性粮食用粮购销活动</w:t>
            </w:r>
            <w:r>
              <w:rPr>
                <w:rFonts w:hint="eastAsia" w:asciiTheme="majorEastAsia" w:hAnsiTheme="majorEastAsia" w:eastAsiaTheme="majorEastAsia" w:cstheme="majorEastAsia"/>
                <w:sz w:val="18"/>
                <w:szCs w:val="18"/>
                <w:lang w:eastAsia="zh-CN"/>
              </w:rPr>
              <w:t>进行</w:t>
            </w:r>
            <w:r>
              <w:rPr>
                <w:rFonts w:hint="eastAsia" w:asciiTheme="majorEastAsia" w:hAnsiTheme="majorEastAsia" w:eastAsiaTheme="majorEastAsia" w:cstheme="majorEastAsia"/>
                <w:sz w:val="18"/>
                <w:szCs w:val="18"/>
              </w:rPr>
              <w:t>监督检查。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2.处置责任:对监督检查发现的问题，责令限期整改、依法实施处罚。3.移送责任:及时予以公告，对构成违法犯罪的移交司法机关。</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4.事后管理责任:对监督检查发现的问题，责令整改完成后，对整改情况组织进行核查。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z w:val="18"/>
                <w:szCs w:val="18"/>
                <w:lang w:eastAsia="zh-CN"/>
              </w:rPr>
              <w:t>因不履行或不正确履行行政职责，有下列情形的，行政机关及相关工作人员应承担相应责任：</w:t>
            </w:r>
            <w:r>
              <w:rPr>
                <w:rFonts w:hint="eastAsia" w:asciiTheme="majorEastAsia" w:hAnsiTheme="majorEastAsia" w:eastAsiaTheme="majorEastAsia" w:cstheme="majorEastAsia"/>
                <w:sz w:val="18"/>
                <w:szCs w:val="18"/>
                <w:lang w:val="en-US" w:eastAsia="zh-CN"/>
              </w:rPr>
              <w:t>1、不对本辖区相关职责内工作情况组织监督检查；2、对在检查中发现的问题，不责令限期整改、不依法实施处罚；3、不及时予以公告，对构成违法犯罪的不移交司法机关；4、对监督检查发现的问题，整改完成后，不对整改情况组织进行核查；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行政检查</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对辖区内粮食经营者及饲料、工业用粮企业执行国家粮食流通统计制度情况的检查</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000000"/>
                <w:kern w:val="0"/>
                <w:sz w:val="18"/>
                <w:szCs w:val="18"/>
                <w:u w:val="none"/>
                <w:lang w:val="en-US" w:eastAsia="zh-CN" w:bidi="ar-SA"/>
              </w:rPr>
              <w:t>《粮食流通管理条例》（2021年1月4日修订，4月15日执行）第二十三条：所有从事粮食收购、销售、储存、加工的经营者以及饲料、工业用粮企业，应当建立粮食经营台账，并向所在地的县级人民政府粮食和储备行政管理部门报送粮食购进、销售、储存等基本数据和有关情况。粮食经</w:t>
            </w:r>
            <w:r>
              <w:rPr>
                <w:rFonts w:hint="eastAsia" w:asciiTheme="majorEastAsia" w:hAnsiTheme="majorEastAsia" w:eastAsiaTheme="majorEastAsia" w:cstheme="majorEastAsia"/>
                <w:sz w:val="18"/>
                <w:szCs w:val="18"/>
                <w:lang w:val="en-US" w:eastAsia="zh-CN"/>
              </w:rPr>
              <w:t>营台账的保存期限不得少于3年。粮食经营者报送的基本数据和有关情况涉及商业秘密的，粮食和储备行政管理部门负有保密义务。</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国家粮食流通统计依照《中华人民共和国统计法》的有关规定执行。</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第三十八条：粮食和储备行政管理部门依照本条例对粮食经营者从事粮食收购、储存、运输活动和政策性粮食的购销活动，以及执行国家粮食流通统计制度的情况进行监督检查。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rPr>
              <w:t>1.检查责任:对</w:t>
            </w:r>
            <w:r>
              <w:rPr>
                <w:rFonts w:hint="eastAsia" w:asciiTheme="majorEastAsia" w:hAnsiTheme="majorEastAsia" w:eastAsiaTheme="majorEastAsia" w:cstheme="majorEastAsia"/>
                <w:color w:val="000000"/>
                <w:kern w:val="0"/>
                <w:sz w:val="18"/>
                <w:szCs w:val="18"/>
                <w:u w:val="none"/>
                <w:lang w:val="en-US" w:eastAsia="zh-CN" w:bidi="ar-SA"/>
              </w:rPr>
              <w:t>辖区内粮食经营者及饲料、工业用粮企业执行国家粮食流通统计制度情况进行</w:t>
            </w:r>
            <w:r>
              <w:rPr>
                <w:rFonts w:hint="eastAsia" w:asciiTheme="majorEastAsia" w:hAnsiTheme="majorEastAsia" w:eastAsiaTheme="majorEastAsia" w:cstheme="majorEastAsia"/>
                <w:sz w:val="18"/>
                <w:szCs w:val="18"/>
              </w:rPr>
              <w:t>监督检查</w:t>
            </w:r>
            <w:r>
              <w:rPr>
                <w:rFonts w:hint="eastAsia" w:asciiTheme="majorEastAsia" w:hAnsiTheme="majorEastAsia" w:eastAsiaTheme="majorEastAsia" w:cstheme="majorEastAsia"/>
                <w:sz w:val="18"/>
                <w:szCs w:val="18"/>
                <w:lang w:eastAsia="zh-CN"/>
              </w:rPr>
              <w:t>。</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sz w:val="18"/>
                <w:szCs w:val="18"/>
              </w:rPr>
              <w:t>2.处置责任:对监督检查发现的问题，责令限期整改、依法实施处罚</w:t>
            </w:r>
            <w:r>
              <w:rPr>
                <w:rFonts w:hint="eastAsia" w:asciiTheme="majorEastAsia" w:hAnsiTheme="majorEastAsia" w:eastAsiaTheme="majorEastAsia" w:cstheme="majorEastAsia"/>
                <w:sz w:val="18"/>
                <w:szCs w:val="18"/>
                <w:lang w:eastAsia="zh-CN"/>
              </w:rPr>
              <w:t>。</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3.移送责任:及时予以公告，对构成违法犯罪的移交司法机关。</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4.事后管理责任:对监督检查发现的问题，责令整改完成后，对整改情况组织进行核查。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r>
              <w:rPr>
                <w:rFonts w:hint="eastAsia" w:asciiTheme="majorEastAsia" w:hAnsiTheme="majorEastAsia" w:eastAsiaTheme="majorEastAsia" w:cstheme="majorEastAsia"/>
                <w:sz w:val="18"/>
                <w:szCs w:val="18"/>
                <w:lang w:eastAsia="zh-CN"/>
              </w:rPr>
              <w:t>因不履行或不正确履行行政职责，有下列情形的，行政机关及相关工作人员应承担相应责任：</w:t>
            </w:r>
            <w:r>
              <w:rPr>
                <w:rFonts w:hint="eastAsia" w:asciiTheme="majorEastAsia" w:hAnsiTheme="majorEastAsia" w:eastAsiaTheme="majorEastAsia" w:cstheme="majorEastAsia"/>
                <w:sz w:val="18"/>
                <w:szCs w:val="18"/>
                <w:lang w:val="en-US" w:eastAsia="zh-CN"/>
              </w:rPr>
              <w:t>1、不对本辖区相关职责内工作情况组织监督检查；2、对在检查中发现的问题，不责令限期整改、不依法实施处罚；3、不及时予以公告，对构成违法犯罪的不移交司法机关；4、对监督检查发现的问题，整改完成后，不对整改情况组织进行核查；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23</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行政检查</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对辖区内粮油仓储单位执行备案规定的检查</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粮油仓储管理办法》（国家发展和改革委员会【2009】第5号令）第六条：粮油仓储单位应当自设立或者开始从事粮油仓储活动之日起30个工作日内，向所在地粮食行政管理部门备案。备案应当包括单位名称、地址、法定代表人、主要仓储业务类型、仓（罐）容规模等内容。具体备案管理办法由省、自治区、直辖市人民政府粮食行政管理部门制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河北省粮油仓储单位备案管理办法》（冀粮【2012】3号）第十六条：粮食行政管理部门应当依法对粮油仓储单位备案情况进行监督检查。对粮油仓储单位违反《粮油仓储管理办法》相关规定的，由粮食行政管理部门责令改正，给予警告；拒不改正的，按照《粮油仓储管理办法》第二十八条、第二十九条有关规定进行处罚。</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1.检查责任:对辖区内粮油仓储单位执行备案规定进行监督检查。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2.处置责任:对监督检查发现的问题，责令限期整改、依法实施处罚。</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3.移送责任:及时予以公告，对构成违法犯罪的移交司法机关。</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4.事后管理责任:对监督检查发现的问题，责令整改完成后，对整改情况组织进行核查。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 xml:space="preserve">  因不履行或不正确履行行政职责，有下列情形的，行政机关及相关工作人员应承担相应责任：1、不对本辖区相关职责内工作情况组织监督检查；2、对在检查中发现的问题，不责令限期整改、不依法实施处罚；3、不及时予以公告，对构成违法犯罪的不移交司法机关；4、对监督检查发现的问题，整改完成后，不对整改情况组织进行核查；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24</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行政确认</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纪检监察行政机关查办案件涉案财物价格认定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1、《纪检监察机关查办案件涉案财物价格认定工作暂行办法》（中纪发[2010]35号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2、《价格认定规定》（发改价格[2015]2251号）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3、《价格认定行为规范》（发改价证办[2016]84号）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4、河北省相关法律法规规章等。</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1、审查责任：对“价格认定协助书”的内容完整性、规范性、合法性等进行审核。</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2、勘验调查责任：指定专人负责，认定人员不得少于两人,对标的进行查验和调查，取得相关价格素材,确保真实性、合法性。</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3、分析测算作出结论责任：客观公正的分析测算，形成测算说明，按照价格认定文书格式相关规定，撰写价格认定结论书。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4、审核并签发责任：进行内部审核，形成集体审议意见由价格认定机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构法定代表人签发。自签发之日起生效。</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5、送达归档责任：可采用直接送达、邮寄送达等方式送达提出机关。价格认定人员应当将反映价格认定全过程的各种资料和文书整理归档，统一保管，保证档案完整、真实和安全。</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6、其他法律法规规章文件规定应履行的责任。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价格鉴定人员违反条例规定,有下列行为之一的,由价格主管部门根据情节轻重给予行政处分;造成严重后果的,由发证机关吊销其价格鉴证资格证书;构成犯罪的,依法追究刑事责任:</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1、因工作不负责任，致使鉴证结论失实，或者随意拖延鉴证时间，严重影响委托机关办案的；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2、与委托机关工作人员或者当事人恶意串通，作出虚假鉴证结论的；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3、泄露与涉案价格鉴证有关的资料或者数据,影响公正鉴证或者给当事人造成损失的；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4、徇私舞弊、弄虚作假、玩忽职守致使鉴证结论失实的其他行为。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25</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行政确认</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涉案财物价格鉴定（认定）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1、《河北省涉案资产价格鉴证管理条例》（河北省第九届人大常委会公告74号）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2、《价格认定规定》（发改价格[2015]2251号）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3、《扣押、追缴、没收物品估价管理办法》（计办[1997]808号）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4、国家发展改革委、最高人民法院、最高人民检察院、公安部、财政部关于扣押追缴没收及收缴财物价格鉴定管理的补充通知（发改价格）[2008]1392号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5、《价格认定行为规范》(发改价证办[2016]84号)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6、河北省相关法律法规规章等。</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1、审查责任：对“价格认定协助书”的内容的完整性、规范性、合法性等进行审核登记。</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2、勘验调查责任：指定专人负责，认定人员不得少于两人,对标的进行查验和调查，取得相关价格素材,确保真实性、合法性。</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3、分析测算作出结论书责任：客观公正的分析测算，形成测算说明，按照价格认定文书格式相关规定，撰写价格认定结论书。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4、审核并签发责任：进行内部审核，形成集体审议意见由价格认定机构法定代表人签发。</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5、送达归档责任：可采用直接送达、邮寄送达等方式送达提出机关。价格认定人员应当将反映价格认定全过程的各种资料和文书整理归档，统一保管，保证档</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案完整、真实和安全。</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6、其他法律法规规章文件规定应履行的责任。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价格鉴定人员违反条例规定,有下列行为之一的,由价格主管部门根据情节轻重给予行政处分;造成严重后果的,由发证机关吊销其价格鉴证资格证书;构成犯罪的,依法追究刑事责任:</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1、因工作不负责任，致使鉴证结论失实，或者随意拖延鉴证时间，严重影响委托机关办案的；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2、与委托机关工作人员或者当事人恶意串通，作出虚假鉴证结论的；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3、泄露与涉案价格鉴证有关的资料或者数据,影响公正鉴证或者给当事人造成损失的；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4、徇私舞弊、弄虚作假、玩忽职守致使鉴证结论失实的其他行为；</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5、其他违反法律法规规章文件规定的行为。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26</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行政确认</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应税物价格认定</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1、《河北省涉案资产价格鉴证管理条例》（河北省第九届人大常委会公告74号）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2、《价格认定规定》（发改价格[2015]2251号）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3、《河北省应税物价格认定管理办法》（冀价认字）[2007]8号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4、《价格认定行为规范》(发改价证办[2016]84号)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5、河北省相关法律法规规章等。</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1、审查责任：对“价格认定协助书”的内容的完整性、规范性、合法性等进行审核登记。</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2、勘验调查责任：指定专人负责，认定人员不得少于两人,对标的进行查验和调查，取得相关价格素材,确保真实性、合法性。</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3、分析测算作出结论书责任：客观公正的分析测算，形成测算说明，按照价格认定文书格式相关规定，撰写价格认定结论书。</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4、审核并签发责任：进行内部审核，形成集体审议意见由价格认定机构法定代表人签发。</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价格鉴定人员违反条例规定,有下列行为之一的,由价格主管部门根据情节轻重给予行政处分;造成严重后果的,由发证机关吊销其价格鉴证资格证书;构成犯罪的,依法追究刑事责任:</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1、因工作不负责任，致使鉴证结论失实，或者随意拖延鉴证时间，严重影响委托机关办案的；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2、与委托机关工作人员或者当事人恶意串通，作出虚假鉴证结论的；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3、泄露与涉案价格鉴证有关的资料或者数据,影响公正鉴证或者给当事人造成损失的；</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r>
              <w:rPr>
                <w:rFonts w:hint="eastAsia" w:asciiTheme="majorEastAsia" w:hAnsiTheme="majorEastAsia" w:eastAsiaTheme="majorEastAsia" w:cstheme="majorEastAsia"/>
                <w:color w:val="auto"/>
                <w:kern w:val="0"/>
                <w:sz w:val="18"/>
                <w:szCs w:val="18"/>
                <w:u w:val="none"/>
                <w:lang w:val="en-US" w:eastAsia="zh-CN" w:bidi="ar-SA"/>
              </w:rPr>
              <w:t>27</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价格争议行政调解处理</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bidi="ar-SA"/>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1、《河北省价格争议调解处理实施方案》冀价认字[2010]6号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2、《关于加强价格争议调解处理工作的若干意见》（冀价认字）[2011]4号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3、《关于进一步推进价格争议调处工作意见》（冀价认[2014]8号）</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4、河北省相关法律法规规章等</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1、审查责任：严格价格争议调解处理申请的审查。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2、调解处理责任：建立调解员联席会议制度，妥善处理各种价格争议</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3、档案管理责任：做好归档工作，确保档案完整。</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4、其他法律法规规章文件规定应履行的责任。</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对符合条件的权属争议裁决申请不予受理、裁决的。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对不符合法定条件的权属争议裁决申请受理、裁决的。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因裁决不当给行政相对人造成损失的。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没有法律和事实依据进行行政裁决进行行政裁决的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符合听证条件、当事人要求听证，应予组织听证而不组织听证的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在权属争议裁决工作中发生腐败行为的</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kern w:val="0"/>
                <w:sz w:val="18"/>
                <w:szCs w:val="18"/>
                <w:u w:val="none"/>
                <w:lang w:val="en-US" w:eastAsia="zh-CN" w:bidi="ar-SA"/>
              </w:rPr>
              <w:t>其他违反法律法规规章规定的行为</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auto"/>
                <w:kern w:val="0"/>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28</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民办非营利性学校学费（保教费）、住宿费定价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河北省非营利性民办学校收费管理办法》（冀发改公价规[2022]6号）</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中华人民共和国价格法》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29</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城市交通价格定价、农村道路客运运价率</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中华人民共和国价格法》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30</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城镇集中供热价格定价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中华人民共和国价格法》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生活垃圾处理收费标准定价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中华人民共和国价格法》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城镇污水处理收费标准定价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中华人民共和国价格法》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33</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具有垄断经营和公益性特征的车辆停放服务收费标准定价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34</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县属水利工程供水价格定价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35</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城乡公共管网供应的自来水价格定价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36</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保障性住房销售价格、租金标准定价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37</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住房前期物业收费标准定价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8"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38</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管道燃气配气价格和销售价格</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5"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39</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其他权力</w:t>
            </w: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县城一类以下公办幼儿园保教费定价</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i w:val="0"/>
                <w:color w:val="000000"/>
                <w:kern w:val="0"/>
                <w:sz w:val="18"/>
                <w:szCs w:val="18"/>
                <w:u w:val="none"/>
                <w:lang w:val="en-US" w:eastAsia="zh-CN"/>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保定市物价局财政局教育局[2016]20号关于制定我市公办幼儿园保教费标准及有关事项的通知（2016年8月31日）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6"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40</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县政府投资养老机构床位费、护理费收费标准</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i w:val="0"/>
                <w:color w:val="000000"/>
                <w:kern w:val="0"/>
                <w:sz w:val="18"/>
                <w:szCs w:val="18"/>
                <w:u w:val="none"/>
                <w:lang w:val="en-US" w:eastAsia="zh-CN"/>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41</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殡葬延伸服务项目收费标准</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i w:val="0"/>
                <w:color w:val="000000"/>
                <w:kern w:val="0"/>
                <w:sz w:val="18"/>
                <w:szCs w:val="18"/>
                <w:u w:val="none"/>
                <w:lang w:val="en-US" w:eastAsia="zh-CN"/>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《河北省殡葬服务收费管理办法》（冀发改公价规[2023]2号）</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42</w:t>
            </w:r>
          </w:p>
        </w:tc>
        <w:tc>
          <w:tcPr>
            <w:tcW w:w="9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sz w:val="18"/>
                <w:szCs w:val="1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公益性公墓收费、公墓维护管理费标准</w:t>
            </w:r>
          </w:p>
        </w:tc>
        <w:tc>
          <w:tcPr>
            <w:tcW w:w="78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sz w:val="18"/>
                <w:szCs w:val="18"/>
                <w:lang w:val="en-US" w:eastAsia="zh-CN" w:bidi="ar-SA"/>
              </w:rPr>
            </w:pPr>
            <w:r>
              <w:rPr>
                <w:rFonts w:hint="eastAsia" w:asciiTheme="majorEastAsia" w:hAnsiTheme="majorEastAsia" w:eastAsiaTheme="majorEastAsia" w:cstheme="majorEastAsia"/>
                <w:color w:val="000000"/>
                <w:sz w:val="18"/>
                <w:szCs w:val="18"/>
                <w:lang w:val="en-US" w:eastAsia="zh-CN"/>
              </w:rPr>
              <w:t>高阳县发展和改革局</w:t>
            </w:r>
          </w:p>
        </w:tc>
        <w:tc>
          <w:tcPr>
            <w:tcW w:w="26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kern w:val="0"/>
                <w:sz w:val="18"/>
                <w:szCs w:val="18"/>
                <w:u w:val="none"/>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中华人民共和国主席令（八届第92号）《中华人民共和国价格法》第十九条：政府指导价、政府定价的定价权限和具体适用范围。冀发改价调[2022]1563号关于印发《河北省定价目录》的通知；冀价政调（2017）202号关于印发《河北省&lt;政府制定价格行为规则实施细则&gt;的通知》</w:t>
            </w:r>
          </w:p>
        </w:tc>
        <w:tc>
          <w:tcPr>
            <w:tcW w:w="4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依据《河北省政府制定价格行为规则》实施细则第一章第二条“县人民政府依法制定或者调整实行政府指导价、政府定价和服务价格水平以及定价机制的行为，适用本实施细则。法律、法规另有规定的，从其规定。</w:t>
            </w:r>
          </w:p>
        </w:tc>
        <w:tc>
          <w:tcPr>
            <w:tcW w:w="198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both"/>
              <w:textAlignment w:val="center"/>
              <w:rPr>
                <w:rFonts w:hint="eastAsia"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color w:val="000000"/>
                <w:sz w:val="18"/>
                <w:szCs w:val="18"/>
              </w:rPr>
              <w:t>依据《河北省政府制定价格行为规则》实施细则第四章第三十条“定价机关应当建立严格规范的内部监督制约机制。上级价格主管部门负责对下级价格主管部门制定价格行为的监督和指导。政府其他有关部门制定价格行为应当接受同级价格主管部门的监督。第三十一条“定价机关制定价格应当接受社会监督。单位和个人可以对制定价格过程中的违法违规行为进行举报。第三十二条”定价机关有违法行为的，由上级政府价格主管部门依据</w:t>
            </w:r>
            <w:r>
              <w:rPr>
                <w:rFonts w:hint="eastAsia" w:asciiTheme="majorEastAsia" w:hAnsiTheme="majorEastAsia" w:eastAsiaTheme="majorEastAsia" w:cstheme="majorEastAsia"/>
                <w:color w:val="000000"/>
                <w:sz w:val="18"/>
                <w:szCs w:val="18"/>
                <w:lang w:eastAsia="zh-CN"/>
              </w:rPr>
              <w:t>《中华人民共和国价格法》</w:t>
            </w:r>
            <w:r>
              <w:rPr>
                <w:rFonts w:hint="eastAsia" w:asciiTheme="majorEastAsia" w:hAnsiTheme="majorEastAsia" w:eastAsiaTheme="majorEastAsia" w:cstheme="majorEastAsia"/>
                <w:color w:val="000000"/>
                <w:sz w:val="18"/>
                <w:szCs w:val="18"/>
              </w:rPr>
              <w:t>进行查处。第三十三条“定价机关的工作人员在制定价格工作中有违法行为构成犯罪的，依法追究刑事责任；尚不构成犯罪的，依法给予行政处分。</w:t>
            </w:r>
          </w:p>
        </w:tc>
        <w:tc>
          <w:tcPr>
            <w:tcW w:w="132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bidi w:val="0"/>
              <w:spacing w:line="360" w:lineRule="exact"/>
              <w:jc w:val="center"/>
              <w:textAlignment w:val="center"/>
              <w:rPr>
                <w:rFonts w:hint="eastAsia" w:asciiTheme="majorEastAsia" w:hAnsiTheme="majorEastAsia" w:eastAsiaTheme="majorEastAsia" w:cstheme="majorEastAsia"/>
                <w:color w:val="000000"/>
                <w:kern w:val="2"/>
                <w:sz w:val="18"/>
                <w:szCs w:val="18"/>
                <w:lang w:val="en-US" w:eastAsia="zh-CN" w:bidi="ar-SA"/>
              </w:rPr>
            </w:pPr>
            <w:r>
              <w:rPr>
                <w:rFonts w:hint="eastAsia" w:asciiTheme="majorEastAsia" w:hAnsiTheme="majorEastAsia" w:eastAsiaTheme="majorEastAsia" w:cstheme="majorEastAsia"/>
                <w:i w:val="0"/>
                <w:color w:val="000000"/>
                <w:kern w:val="0"/>
                <w:sz w:val="18"/>
                <w:szCs w:val="18"/>
                <w:u w:val="none"/>
                <w:lang w:val="en-US" w:eastAsia="zh-CN"/>
              </w:rPr>
              <w:t>39</w:t>
            </w:r>
          </w:p>
        </w:tc>
      </w:tr>
    </w:tbl>
    <w:p/>
    <w:p>
      <w:pPr>
        <w:keepNext w:val="0"/>
        <w:keepLines w:val="0"/>
        <w:pageBreakBefore w:val="0"/>
        <w:widowControl w:val="0"/>
        <w:kinsoku/>
        <w:wordWrap/>
        <w:overflowPunct/>
        <w:topLinePunct w:val="0"/>
        <w:autoSpaceDE/>
        <w:autoSpaceDN/>
        <w:bidi w:val="0"/>
        <w:adjustRightInd/>
        <w:snapToGrid/>
        <w:spacing w:before="0" w:after="0" w:line="600" w:lineRule="exact"/>
        <w:ind w:right="0"/>
        <w:textAlignment w:val="auto"/>
      </w:pPr>
    </w:p>
    <w:p/>
    <w:sectPr>
      <w:headerReference r:id="rId3" w:type="first"/>
      <w:footerReference r:id="rId5" w:type="first"/>
      <w:footerReference r:id="rId4" w:type="default"/>
      <w:pgSz w:w="16838" w:h="11906" w:orient="landscape"/>
      <w:pgMar w:top="1587" w:right="1701" w:bottom="1587" w:left="1587" w:header="851" w:footer="992" w:gutter="0"/>
      <w:pgNumType w:fmt="numberInDash"/>
      <w:cols w:space="720" w:num="1"/>
      <w:titlePg/>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widowControl w:val="0"/>
      <w:snapToGrid w:val="0"/>
      <w:jc w:val="left"/>
      <w:rPr>
        <w:rStyle w:val="8"/>
      </w:rPr>
    </w:pPr>
    <w:r>
      <w:fldChar w:fldCharType="begin"/>
    </w:r>
    <w:r>
      <w:rPr>
        <w:rStyle w:val="8"/>
      </w:rPr>
      <w:instrText xml:space="preserve">PAGE  </w:instrText>
    </w:r>
    <w:r>
      <w:fldChar w:fldCharType="separate"/>
    </w:r>
    <w:r>
      <w:rPr>
        <w:rStyle w:val="8"/>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3EB89"/>
    <w:multiLevelType w:val="singleLevel"/>
    <w:tmpl w:val="9E93EB89"/>
    <w:lvl w:ilvl="0" w:tentative="0">
      <w:start w:val="1"/>
      <w:numFmt w:val="decimal"/>
      <w:lvlText w:val="%1."/>
      <w:lvlJc w:val="left"/>
      <w:pPr>
        <w:ind w:left="0" w:firstLine="0"/>
      </w:pPr>
    </w:lvl>
  </w:abstractNum>
  <w:abstractNum w:abstractNumId="1">
    <w:nsid w:val="1669EA81"/>
    <w:multiLevelType w:val="singleLevel"/>
    <w:tmpl w:val="1669EA81"/>
    <w:lvl w:ilvl="0" w:tentative="0">
      <w:start w:val="1"/>
      <w:numFmt w:val="decimal"/>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WI1ZTJjYjBkMWZhMTBkNTBjNDVkMTQ4YmU4YjUifQ=="/>
  </w:docVars>
  <w:rsids>
    <w:rsidRoot w:val="6EB75618"/>
    <w:rsid w:val="47807C9E"/>
    <w:rsid w:val="690A5072"/>
    <w:rsid w:val="6E8A7B6A"/>
    <w:rsid w:val="6EB75618"/>
    <w:rsid w:val="FF3FA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next w:val="5"/>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32"/>
      <w:lang w:val="en-US" w:eastAsia="zh-CN" w:bidi="ar-SA"/>
    </w:rPr>
  </w:style>
  <w:style w:type="paragraph" w:customStyle="1" w:styleId="5">
    <w:name w:val=" Char"/>
    <w:basedOn w:val="1"/>
    <w:qFormat/>
    <w:uiPriority w:val="0"/>
    <w:pPr>
      <w:snapToGrid w:val="0"/>
      <w:spacing w:after="156" w:line="360" w:lineRule="auto"/>
      <w:ind w:firstLine="200" w:firstLineChars="200"/>
    </w:p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6765</Words>
  <Characters>6797</Characters>
  <Lines>0</Lines>
  <Paragraphs>0</Paragraphs>
  <TotalTime>2</TotalTime>
  <ScaleCrop>false</ScaleCrop>
  <LinksUpToDate>false</LinksUpToDate>
  <CharactersWithSpaces>6813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2024-09-27T14:55:00Z</dcterms:created>
  <dc:creator>Administrator</dc:creator>
  <cp:lastModifiedBy>uos</cp:lastModifiedBy>
  <dcterms:modified xsi:type="dcterms:W3CDTF">2025-02-18T11:43:28Z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19287DA531604077A7F3CDC72FD3E6EB_11</vt:lpwstr>
  </property>
</Properties>
</file>