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007D3" w14:textId="77777777" w:rsidR="00C42459" w:rsidRPr="009151BD" w:rsidRDefault="00C42459" w:rsidP="00C42459">
      <w:pPr>
        <w:jc w:val="center"/>
        <w:rPr>
          <w:rFonts w:ascii="宋体" w:hAnsi="宋体"/>
          <w:b/>
          <w:sz w:val="44"/>
          <w:szCs w:val="44"/>
        </w:rPr>
      </w:pPr>
      <w:r w:rsidRPr="009151BD">
        <w:rPr>
          <w:rFonts w:ascii="宋体" w:hAnsi="宋体" w:hint="eastAsia"/>
          <w:b/>
          <w:sz w:val="44"/>
          <w:szCs w:val="44"/>
        </w:rPr>
        <w:t>高阳县教育和体育局</w:t>
      </w:r>
    </w:p>
    <w:p w14:paraId="09F8F4F5" w14:textId="54EA9BB5" w:rsidR="00C42459" w:rsidRPr="009151BD" w:rsidRDefault="00C42459" w:rsidP="00C42459">
      <w:pPr>
        <w:jc w:val="center"/>
        <w:rPr>
          <w:rFonts w:ascii="宋体" w:hAnsi="宋体" w:hint="eastAsia"/>
          <w:b/>
          <w:sz w:val="44"/>
          <w:szCs w:val="44"/>
        </w:rPr>
      </w:pPr>
      <w:r w:rsidRPr="009151BD">
        <w:rPr>
          <w:rFonts w:ascii="宋体" w:hAnsi="宋体" w:hint="eastAsia"/>
          <w:b/>
          <w:sz w:val="44"/>
          <w:szCs w:val="44"/>
        </w:rPr>
        <w:t>202</w:t>
      </w:r>
      <w:r>
        <w:rPr>
          <w:rFonts w:ascii="宋体" w:hAnsi="宋体"/>
          <w:b/>
          <w:sz w:val="44"/>
          <w:szCs w:val="44"/>
        </w:rPr>
        <w:t>3</w:t>
      </w:r>
      <w:r w:rsidRPr="009151BD">
        <w:rPr>
          <w:rFonts w:ascii="宋体" w:hAnsi="宋体" w:hint="eastAsia"/>
          <w:b/>
          <w:sz w:val="44"/>
          <w:szCs w:val="44"/>
        </w:rPr>
        <w:t>年部门整体绩效自评报告</w:t>
      </w:r>
    </w:p>
    <w:p w14:paraId="2EDA2389" w14:textId="24938696" w:rsidR="00C42459" w:rsidRPr="009151BD" w:rsidRDefault="00C42459" w:rsidP="00C42459">
      <w:pPr>
        <w:rPr>
          <w:rFonts w:hint="eastAsia"/>
          <w:sz w:val="32"/>
          <w:szCs w:val="32"/>
        </w:rPr>
      </w:pPr>
      <w:r>
        <w:rPr>
          <w:rFonts w:hint="eastAsia"/>
          <w:sz w:val="32"/>
          <w:szCs w:val="32"/>
        </w:rPr>
        <w:t xml:space="preserve">    </w:t>
      </w:r>
      <w:r w:rsidRPr="009151BD">
        <w:rPr>
          <w:rFonts w:hint="eastAsia"/>
          <w:sz w:val="32"/>
          <w:szCs w:val="32"/>
        </w:rPr>
        <w:t>为真实反映教育部门履行职责、开展教育工作所取得的成效，反映财政资金管理使用现状，在促进全县教育发展发挥的作用，让财政资金使用效益不断提高，根据上级文件精神和高阳县财政局《关于做好</w:t>
      </w:r>
      <w:r w:rsidRPr="009151BD">
        <w:rPr>
          <w:rFonts w:hint="eastAsia"/>
          <w:sz w:val="32"/>
          <w:szCs w:val="32"/>
        </w:rPr>
        <w:t>202</w:t>
      </w:r>
      <w:r>
        <w:rPr>
          <w:sz w:val="32"/>
          <w:szCs w:val="32"/>
        </w:rPr>
        <w:t>3</w:t>
      </w:r>
      <w:r w:rsidRPr="009151BD">
        <w:rPr>
          <w:rFonts w:hint="eastAsia"/>
          <w:sz w:val="32"/>
          <w:szCs w:val="32"/>
        </w:rPr>
        <w:t>年度县级预算项目绩效自评工作的通知》（高财稽查</w:t>
      </w:r>
      <w:r w:rsidRPr="009151BD">
        <w:rPr>
          <w:rFonts w:hint="eastAsia"/>
          <w:sz w:val="32"/>
          <w:szCs w:val="32"/>
        </w:rPr>
        <w:t>[202</w:t>
      </w:r>
      <w:r>
        <w:rPr>
          <w:sz w:val="32"/>
          <w:szCs w:val="32"/>
        </w:rPr>
        <w:t>4</w:t>
      </w:r>
      <w:r w:rsidRPr="009151BD">
        <w:rPr>
          <w:rFonts w:hint="eastAsia"/>
          <w:sz w:val="32"/>
          <w:szCs w:val="32"/>
        </w:rPr>
        <w:t>]1</w:t>
      </w:r>
      <w:r w:rsidRPr="009151BD">
        <w:rPr>
          <w:rFonts w:hint="eastAsia"/>
          <w:sz w:val="32"/>
          <w:szCs w:val="32"/>
        </w:rPr>
        <w:t>号）文件，我部门针对</w:t>
      </w:r>
      <w:r w:rsidRPr="009151BD">
        <w:rPr>
          <w:rFonts w:hint="eastAsia"/>
          <w:sz w:val="32"/>
          <w:szCs w:val="32"/>
        </w:rPr>
        <w:t>202</w:t>
      </w:r>
      <w:r>
        <w:rPr>
          <w:sz w:val="32"/>
          <w:szCs w:val="32"/>
        </w:rPr>
        <w:t>3</w:t>
      </w:r>
      <w:r w:rsidRPr="009151BD">
        <w:rPr>
          <w:rFonts w:hint="eastAsia"/>
          <w:sz w:val="32"/>
          <w:szCs w:val="32"/>
        </w:rPr>
        <w:t>年项目实施及资金使用等情况进行了整体支出绩效评价工作。现将具体开展绩效评价内容报告如下：</w:t>
      </w:r>
    </w:p>
    <w:p w14:paraId="01921205" w14:textId="77777777" w:rsidR="00C42459" w:rsidRDefault="00C42459" w:rsidP="00C42459">
      <w:pPr>
        <w:rPr>
          <w:rFonts w:hint="eastAsia"/>
          <w:sz w:val="32"/>
          <w:szCs w:val="32"/>
        </w:rPr>
      </w:pPr>
      <w:r>
        <w:rPr>
          <w:rFonts w:hint="eastAsia"/>
          <w:sz w:val="32"/>
          <w:szCs w:val="32"/>
        </w:rPr>
        <w:t>一、</w:t>
      </w:r>
      <w:r w:rsidRPr="009151BD">
        <w:rPr>
          <w:rFonts w:hint="eastAsia"/>
          <w:sz w:val="32"/>
          <w:szCs w:val="32"/>
        </w:rPr>
        <w:t>绩效自评工作组织开展情况</w:t>
      </w:r>
    </w:p>
    <w:p w14:paraId="5BC9F5B9" w14:textId="77777777" w:rsidR="00C42459" w:rsidRPr="009151BD" w:rsidRDefault="00C42459" w:rsidP="00C42459">
      <w:pPr>
        <w:ind w:firstLineChars="150" w:firstLine="480"/>
        <w:rPr>
          <w:rFonts w:hint="eastAsia"/>
          <w:sz w:val="32"/>
          <w:szCs w:val="32"/>
        </w:rPr>
      </w:pPr>
      <w:r w:rsidRPr="009151BD">
        <w:rPr>
          <w:rFonts w:hint="eastAsia"/>
          <w:sz w:val="32"/>
          <w:szCs w:val="32"/>
        </w:rPr>
        <w:t>（一）绩效自评工作组织实施过程。</w:t>
      </w:r>
    </w:p>
    <w:p w14:paraId="6DE4A4FB" w14:textId="77777777" w:rsidR="00C42459" w:rsidRPr="009151BD" w:rsidRDefault="00C42459" w:rsidP="00C42459">
      <w:pPr>
        <w:rPr>
          <w:rFonts w:hint="eastAsia"/>
          <w:sz w:val="32"/>
          <w:szCs w:val="32"/>
        </w:rPr>
      </w:pPr>
      <w:r>
        <w:rPr>
          <w:rFonts w:hint="eastAsia"/>
          <w:sz w:val="32"/>
          <w:szCs w:val="32"/>
        </w:rPr>
        <w:t xml:space="preserve">    </w:t>
      </w:r>
      <w:r w:rsidRPr="009151BD">
        <w:rPr>
          <w:rFonts w:hint="eastAsia"/>
          <w:sz w:val="32"/>
          <w:szCs w:val="32"/>
        </w:rPr>
        <w:t>1</w:t>
      </w:r>
      <w:r w:rsidRPr="009151BD">
        <w:rPr>
          <w:rFonts w:hint="eastAsia"/>
          <w:sz w:val="32"/>
          <w:szCs w:val="32"/>
        </w:rPr>
        <w:t>、组织情况。教体局积极成立绩效自评领导小组，主管副局长任小组组长，主管股长任副组长，业务股室任小组成员。</w:t>
      </w:r>
    </w:p>
    <w:p w14:paraId="779A1044" w14:textId="77777777" w:rsidR="00C42459" w:rsidRPr="009151BD" w:rsidRDefault="00C42459" w:rsidP="00C42459">
      <w:pPr>
        <w:ind w:firstLineChars="200" w:firstLine="640"/>
        <w:rPr>
          <w:rFonts w:hint="eastAsia"/>
          <w:sz w:val="32"/>
          <w:szCs w:val="32"/>
        </w:rPr>
      </w:pPr>
      <w:r w:rsidRPr="009151BD">
        <w:rPr>
          <w:rFonts w:hint="eastAsia"/>
          <w:sz w:val="32"/>
          <w:szCs w:val="32"/>
        </w:rPr>
        <w:t>2</w:t>
      </w:r>
      <w:r w:rsidRPr="009151BD">
        <w:rPr>
          <w:rFonts w:hint="eastAsia"/>
          <w:sz w:val="32"/>
          <w:szCs w:val="32"/>
        </w:rPr>
        <w:t>、实施过程。根据评价内容，组织各股室有关人员按照项目实施评价标准客观公正进行评价，领导小组组织人员对项目的立项手续、项目实施、资金拨付等过程逐项目梳理，按照评价内容，逐条逐项打分。</w:t>
      </w:r>
    </w:p>
    <w:p w14:paraId="6C6EEDDF" w14:textId="77777777" w:rsidR="00C42459" w:rsidRPr="009151BD" w:rsidRDefault="00C42459" w:rsidP="00C42459">
      <w:pPr>
        <w:ind w:firstLineChars="200" w:firstLine="640"/>
        <w:rPr>
          <w:rFonts w:hint="eastAsia"/>
          <w:sz w:val="32"/>
          <w:szCs w:val="32"/>
        </w:rPr>
      </w:pPr>
      <w:r w:rsidRPr="009151BD">
        <w:rPr>
          <w:rFonts w:hint="eastAsia"/>
          <w:sz w:val="32"/>
          <w:szCs w:val="32"/>
        </w:rPr>
        <w:t>3</w:t>
      </w:r>
      <w:r w:rsidRPr="009151BD">
        <w:rPr>
          <w:rFonts w:hint="eastAsia"/>
          <w:sz w:val="32"/>
          <w:szCs w:val="32"/>
        </w:rPr>
        <w:t>、分析评价。根据评价结果，核查情况，对项目分数进行汇总，得出评价结论。并且小组研讨评价中存在的问题，如何整改推进形成小组意见。</w:t>
      </w:r>
    </w:p>
    <w:p w14:paraId="76A876E0" w14:textId="77777777" w:rsidR="00C42459" w:rsidRPr="009151BD" w:rsidRDefault="00C42459" w:rsidP="00C42459">
      <w:pPr>
        <w:ind w:firstLineChars="100" w:firstLine="320"/>
        <w:rPr>
          <w:rFonts w:hint="eastAsia"/>
          <w:sz w:val="32"/>
          <w:szCs w:val="32"/>
        </w:rPr>
      </w:pPr>
      <w:r w:rsidRPr="009151BD">
        <w:rPr>
          <w:rFonts w:hint="eastAsia"/>
          <w:sz w:val="32"/>
          <w:szCs w:val="32"/>
        </w:rPr>
        <w:t>（二）部门预算安排及资金分配拨付</w:t>
      </w:r>
    </w:p>
    <w:p w14:paraId="37E55AC0" w14:textId="77777777" w:rsidR="00C42459" w:rsidRPr="009151BD" w:rsidRDefault="00C42459" w:rsidP="00C42459">
      <w:pPr>
        <w:ind w:firstLineChars="200" w:firstLine="640"/>
        <w:rPr>
          <w:rFonts w:hint="eastAsia"/>
          <w:sz w:val="32"/>
          <w:szCs w:val="32"/>
        </w:rPr>
      </w:pPr>
      <w:r w:rsidRPr="009151BD">
        <w:rPr>
          <w:rFonts w:hint="eastAsia"/>
          <w:sz w:val="32"/>
          <w:szCs w:val="32"/>
        </w:rPr>
        <w:t>在收到上级补助资金预算文件后及时按照按项目规划将资金分配到各预算单位，县级资金按照相关政策足额配套并落</w:t>
      </w:r>
      <w:r w:rsidRPr="009151BD">
        <w:rPr>
          <w:rFonts w:hint="eastAsia"/>
          <w:sz w:val="32"/>
          <w:szCs w:val="32"/>
        </w:rPr>
        <w:lastRenderedPageBreak/>
        <w:t>实到相关项目，涉及到学前教育资金主要是支持学前教育发展资金和学前生均公用经费资金，均落实到项目和学前各校。涉及义务教育阶段资金主要是城乡义务教育经费、薄弱学校改造项目资金和农村小学生营养改善资金，均落实到项目和义务教育阶段学校。涉及高中教育的是普高资助资金和改善高中办学条件资金，均落实到我县高中阶段学校。涉及中职教育的资金是职业教育提升项目资金和职业教育发展项目资金，其中职业教育发展资金有中职助学金和免学费资金、生均公用经费资金，涉及中职教育资金落实到我县职教中心。其他资金有教体局招聘教师项目资金、成人教育经费、三区支教教师补助资金、政府性基金项目资金等均落实到项目和学校。各项资金都做到了及时拨付。</w:t>
      </w:r>
    </w:p>
    <w:p w14:paraId="74D73676" w14:textId="77777777" w:rsidR="00C42459" w:rsidRPr="009151BD" w:rsidRDefault="00C42459" w:rsidP="00C42459">
      <w:pPr>
        <w:ind w:firstLineChars="150" w:firstLine="480"/>
        <w:rPr>
          <w:rFonts w:hint="eastAsia"/>
          <w:sz w:val="32"/>
          <w:szCs w:val="32"/>
        </w:rPr>
      </w:pPr>
      <w:r w:rsidRPr="009151BD">
        <w:rPr>
          <w:rFonts w:hint="eastAsia"/>
          <w:sz w:val="32"/>
          <w:szCs w:val="32"/>
        </w:rPr>
        <w:t>（三）部门日常财务管理和专项检查</w:t>
      </w:r>
    </w:p>
    <w:p w14:paraId="7F514E57" w14:textId="77777777" w:rsidR="00C42459" w:rsidRPr="009151BD" w:rsidRDefault="00C42459" w:rsidP="00C42459">
      <w:pPr>
        <w:rPr>
          <w:rFonts w:hint="eastAsia"/>
          <w:sz w:val="32"/>
          <w:szCs w:val="32"/>
        </w:rPr>
      </w:pPr>
      <w:r w:rsidRPr="009151BD">
        <w:rPr>
          <w:rFonts w:hint="eastAsia"/>
          <w:sz w:val="32"/>
          <w:szCs w:val="32"/>
        </w:rPr>
        <w:t>教育经费实行“统一管理，集中支付”的方式，教育支付分中心负责监督、管理教体局所属单位的财务收支及核算工作，并实行报账制度。教育专项资金支出符合相关政策和法规，实行专款专用。中小学财务接受财政、审计部门的监督，县教体局对学校财务进行定期内审，学校均要如实汇报情况和提供相关资料。学校经费实行“三公开、一监督”（公开财务制度、公开办事程序、公开办事结果；接受社会各界监督）。</w:t>
      </w:r>
    </w:p>
    <w:p w14:paraId="6D375B03" w14:textId="77777777" w:rsidR="00C42459" w:rsidRPr="009151BD" w:rsidRDefault="00C42459" w:rsidP="00C42459">
      <w:pPr>
        <w:rPr>
          <w:rFonts w:hint="eastAsia"/>
          <w:sz w:val="32"/>
          <w:szCs w:val="32"/>
        </w:rPr>
      </w:pPr>
      <w:r w:rsidRPr="009151BD">
        <w:rPr>
          <w:rFonts w:hint="eastAsia"/>
          <w:sz w:val="32"/>
          <w:szCs w:val="32"/>
        </w:rPr>
        <w:t>二、绩效目标实现情况</w:t>
      </w:r>
    </w:p>
    <w:p w14:paraId="7FAB6238" w14:textId="77777777" w:rsidR="00C42459" w:rsidRPr="009151BD" w:rsidRDefault="00C42459" w:rsidP="00C42459">
      <w:pPr>
        <w:ind w:firstLineChars="200" w:firstLine="640"/>
        <w:rPr>
          <w:rFonts w:hint="eastAsia"/>
          <w:sz w:val="32"/>
          <w:szCs w:val="32"/>
        </w:rPr>
      </w:pPr>
      <w:r w:rsidRPr="009151BD">
        <w:rPr>
          <w:rFonts w:hint="eastAsia"/>
          <w:sz w:val="32"/>
          <w:szCs w:val="32"/>
        </w:rPr>
        <w:t>通过收集、整理本部门各预算项目绩效信息，绩效目标整体实现情况如下：</w:t>
      </w:r>
    </w:p>
    <w:p w14:paraId="6CE40058" w14:textId="16618CAF" w:rsidR="00C42459" w:rsidRPr="009151BD" w:rsidRDefault="00C42459" w:rsidP="00C42459">
      <w:pPr>
        <w:rPr>
          <w:rFonts w:hint="eastAsia"/>
          <w:sz w:val="32"/>
          <w:szCs w:val="32"/>
        </w:rPr>
      </w:pPr>
      <w:r w:rsidRPr="009151BD">
        <w:rPr>
          <w:rFonts w:hint="eastAsia"/>
          <w:sz w:val="32"/>
          <w:szCs w:val="32"/>
        </w:rPr>
        <w:lastRenderedPageBreak/>
        <w:t xml:space="preserve">   </w:t>
      </w:r>
      <w:r w:rsidRPr="009151BD">
        <w:rPr>
          <w:rFonts w:hint="eastAsia"/>
          <w:sz w:val="32"/>
          <w:szCs w:val="32"/>
        </w:rPr>
        <w:t>（一）学前教育阶段该项目年度预算为</w:t>
      </w:r>
      <w:r w:rsidR="008C2272">
        <w:rPr>
          <w:sz w:val="32"/>
          <w:szCs w:val="32"/>
        </w:rPr>
        <w:t>1834.51</w:t>
      </w:r>
      <w:r w:rsidRPr="009151BD">
        <w:rPr>
          <w:rFonts w:hint="eastAsia"/>
          <w:sz w:val="32"/>
          <w:szCs w:val="32"/>
        </w:rPr>
        <w:t>万元支持改扩建公办幼儿园</w:t>
      </w:r>
      <w:r w:rsidRPr="009151BD">
        <w:rPr>
          <w:rFonts w:hint="eastAsia"/>
          <w:sz w:val="32"/>
          <w:szCs w:val="32"/>
        </w:rPr>
        <w:t>,</w:t>
      </w:r>
      <w:r w:rsidRPr="009151BD">
        <w:rPr>
          <w:rFonts w:hint="eastAsia"/>
          <w:sz w:val="32"/>
          <w:szCs w:val="32"/>
        </w:rPr>
        <w:t>改善办园条件</w:t>
      </w:r>
      <w:r w:rsidRPr="009151BD">
        <w:rPr>
          <w:rFonts w:hint="eastAsia"/>
          <w:sz w:val="32"/>
          <w:szCs w:val="32"/>
        </w:rPr>
        <w:t xml:space="preserve">, </w:t>
      </w:r>
      <w:r w:rsidRPr="009151BD">
        <w:rPr>
          <w:rFonts w:hint="eastAsia"/>
          <w:sz w:val="32"/>
          <w:szCs w:val="32"/>
        </w:rPr>
        <w:t>落实学前教育资助制度</w:t>
      </w:r>
      <w:r w:rsidRPr="009151BD">
        <w:rPr>
          <w:rFonts w:hint="eastAsia"/>
          <w:sz w:val="32"/>
          <w:szCs w:val="32"/>
        </w:rPr>
        <w:t>,</w:t>
      </w:r>
      <w:r w:rsidRPr="009151BD">
        <w:rPr>
          <w:rFonts w:hint="eastAsia"/>
          <w:sz w:val="32"/>
          <w:szCs w:val="32"/>
        </w:rPr>
        <w:t>提高幼儿园入园率和扩大在园幼儿数</w:t>
      </w:r>
      <w:r w:rsidRPr="009151BD">
        <w:rPr>
          <w:rFonts w:hint="eastAsia"/>
          <w:sz w:val="32"/>
          <w:szCs w:val="32"/>
        </w:rPr>
        <w:t>,</w:t>
      </w:r>
      <w:r w:rsidRPr="009151BD">
        <w:rPr>
          <w:rFonts w:hint="eastAsia"/>
          <w:sz w:val="32"/>
          <w:szCs w:val="32"/>
        </w:rPr>
        <w:t>有效缓解</w:t>
      </w:r>
      <w:r w:rsidRPr="009151BD">
        <w:rPr>
          <w:sz w:val="32"/>
          <w:szCs w:val="32"/>
        </w:rPr>
        <w:t>“</w:t>
      </w:r>
      <w:r w:rsidRPr="009151BD">
        <w:rPr>
          <w:rFonts w:hint="eastAsia"/>
          <w:sz w:val="32"/>
          <w:szCs w:val="32"/>
        </w:rPr>
        <w:t>入园难</w:t>
      </w:r>
      <w:r w:rsidRPr="009151BD">
        <w:rPr>
          <w:sz w:val="32"/>
          <w:szCs w:val="32"/>
        </w:rPr>
        <w:t>”</w:t>
      </w:r>
      <w:r w:rsidRPr="009151BD">
        <w:rPr>
          <w:rFonts w:hint="eastAsia"/>
          <w:sz w:val="32"/>
          <w:szCs w:val="32"/>
        </w:rPr>
        <w:t>、</w:t>
      </w:r>
      <w:r w:rsidRPr="009151BD">
        <w:rPr>
          <w:sz w:val="32"/>
          <w:szCs w:val="32"/>
        </w:rPr>
        <w:t>“</w:t>
      </w:r>
      <w:r w:rsidRPr="009151BD">
        <w:rPr>
          <w:rFonts w:hint="eastAsia"/>
          <w:sz w:val="32"/>
          <w:szCs w:val="32"/>
        </w:rPr>
        <w:t>入园贵</w:t>
      </w:r>
      <w:r w:rsidRPr="009151BD">
        <w:rPr>
          <w:sz w:val="32"/>
          <w:szCs w:val="32"/>
        </w:rPr>
        <w:t>”</w:t>
      </w:r>
      <w:r w:rsidRPr="009151BD">
        <w:rPr>
          <w:rFonts w:hint="eastAsia"/>
          <w:sz w:val="32"/>
          <w:szCs w:val="32"/>
        </w:rPr>
        <w:t>等问题。</w:t>
      </w:r>
    </w:p>
    <w:p w14:paraId="01EE0F82" w14:textId="6388F932" w:rsidR="00C42459" w:rsidRPr="009151BD" w:rsidRDefault="00C42459" w:rsidP="00C42459">
      <w:pPr>
        <w:ind w:firstLineChars="200" w:firstLine="640"/>
        <w:rPr>
          <w:rFonts w:hint="eastAsia"/>
          <w:sz w:val="32"/>
          <w:szCs w:val="32"/>
        </w:rPr>
      </w:pPr>
      <w:r w:rsidRPr="009151BD">
        <w:rPr>
          <w:rFonts w:hint="eastAsia"/>
          <w:sz w:val="32"/>
          <w:szCs w:val="32"/>
        </w:rPr>
        <w:t>(</w:t>
      </w:r>
      <w:r w:rsidRPr="009151BD">
        <w:rPr>
          <w:rFonts w:hint="eastAsia"/>
          <w:sz w:val="32"/>
          <w:szCs w:val="32"/>
        </w:rPr>
        <w:t>二</w:t>
      </w:r>
      <w:r w:rsidRPr="009151BD">
        <w:rPr>
          <w:rFonts w:hint="eastAsia"/>
          <w:sz w:val="32"/>
          <w:szCs w:val="32"/>
        </w:rPr>
        <w:t>)</w:t>
      </w:r>
      <w:r w:rsidRPr="009151BD">
        <w:rPr>
          <w:rFonts w:hint="eastAsia"/>
          <w:sz w:val="32"/>
          <w:szCs w:val="32"/>
        </w:rPr>
        <w:t>义务教育阶段该项目年度预算</w:t>
      </w:r>
      <w:r w:rsidR="008C2272">
        <w:rPr>
          <w:sz w:val="32"/>
          <w:szCs w:val="32"/>
        </w:rPr>
        <w:t>13737.16</w:t>
      </w:r>
      <w:r w:rsidRPr="009151BD">
        <w:rPr>
          <w:rFonts w:hint="eastAsia"/>
          <w:sz w:val="32"/>
          <w:szCs w:val="32"/>
        </w:rPr>
        <w:t>万元，保障农村中小学正常运转，保证学校校舍安全，资助家庭经济困难寄宿学生，向农村义务教育学生和城市区家庭经济困难学生免费提供教科书；中小学公用经费保障水平逐年提高，继续推进教育扶贫。以农村教育为重点，推进义务教育均衡发展，建立中小学校舍维修长效机制，改善贫困地区义务教育薄弱学校办学条件，促进公共教育资源向农村和经济欠发达地区倾斜。全面改善贫困地区薄弱学校基本办学条件，使贫困地区农村义务教育学校教学设施和生活设施满足基本生活需要，留守儿童学习和寄宿得到基本满足，村小学和教学点能够正常运转，城镇超大班额现象基本消除，教师数量、素质、结构基本适应教学需要。</w:t>
      </w:r>
    </w:p>
    <w:p w14:paraId="24D5921F" w14:textId="49BF1A69" w:rsidR="00C42459" w:rsidRPr="009151BD" w:rsidRDefault="00C42459" w:rsidP="00C42459">
      <w:pPr>
        <w:rPr>
          <w:rFonts w:hint="eastAsia"/>
          <w:sz w:val="32"/>
          <w:szCs w:val="32"/>
        </w:rPr>
      </w:pPr>
      <w:r w:rsidRPr="009151BD">
        <w:rPr>
          <w:rFonts w:hint="eastAsia"/>
          <w:sz w:val="32"/>
          <w:szCs w:val="32"/>
        </w:rPr>
        <w:t xml:space="preserve">    </w:t>
      </w:r>
      <w:r w:rsidRPr="009151BD">
        <w:rPr>
          <w:rFonts w:hint="eastAsia"/>
          <w:sz w:val="32"/>
          <w:szCs w:val="32"/>
        </w:rPr>
        <w:t>（三）改善普通高中办学条件和学生资助年度预算</w:t>
      </w:r>
      <w:r w:rsidR="008C2272">
        <w:rPr>
          <w:sz w:val="32"/>
          <w:szCs w:val="32"/>
        </w:rPr>
        <w:t>1606.74</w:t>
      </w:r>
      <w:r w:rsidRPr="009151BD">
        <w:rPr>
          <w:rFonts w:hint="eastAsia"/>
          <w:sz w:val="32"/>
          <w:szCs w:val="32"/>
        </w:rPr>
        <w:t>万元，对建档立卡的公办高中贫困学生，实行免学费、免住宿费、免费提供教课书。极大改善我县普通高中的办学条件，提高教育教学质量。</w:t>
      </w:r>
    </w:p>
    <w:p w14:paraId="305362F7" w14:textId="7C706C70" w:rsidR="00C42459" w:rsidRPr="009151BD" w:rsidRDefault="00C42459" w:rsidP="00C42459">
      <w:pPr>
        <w:rPr>
          <w:rFonts w:hint="eastAsia"/>
          <w:sz w:val="32"/>
          <w:szCs w:val="32"/>
        </w:rPr>
      </w:pPr>
      <w:r w:rsidRPr="009151BD">
        <w:rPr>
          <w:rFonts w:hint="eastAsia"/>
          <w:sz w:val="32"/>
          <w:szCs w:val="32"/>
        </w:rPr>
        <w:t xml:space="preserve">   </w:t>
      </w:r>
      <w:r w:rsidRPr="009151BD">
        <w:rPr>
          <w:rFonts w:hint="eastAsia"/>
          <w:sz w:val="32"/>
          <w:szCs w:val="32"/>
        </w:rPr>
        <w:t>（四）提升中等职业教育质量年度预算</w:t>
      </w:r>
      <w:r w:rsidR="008C2272">
        <w:rPr>
          <w:sz w:val="32"/>
          <w:szCs w:val="32"/>
        </w:rPr>
        <w:t>1410.71</w:t>
      </w:r>
      <w:bookmarkStart w:id="0" w:name="_GoBack"/>
      <w:bookmarkEnd w:id="0"/>
      <w:r w:rsidRPr="009151BD">
        <w:rPr>
          <w:rFonts w:hint="eastAsia"/>
          <w:sz w:val="32"/>
          <w:szCs w:val="32"/>
        </w:rPr>
        <w:t>万元，实施重点中职学校质量提升计划，建设全省精品校，形成优势带动。改善了职业学校办学条件；落实中等职业学校免学费、助</w:t>
      </w:r>
      <w:r w:rsidRPr="009151BD">
        <w:rPr>
          <w:rFonts w:hint="eastAsia"/>
          <w:sz w:val="32"/>
          <w:szCs w:val="32"/>
        </w:rPr>
        <w:lastRenderedPageBreak/>
        <w:t>学金政策和生均公用经费标准。</w:t>
      </w:r>
    </w:p>
    <w:p w14:paraId="0A0874F3" w14:textId="77777777" w:rsidR="00C42459" w:rsidRPr="009151BD" w:rsidRDefault="00C42459" w:rsidP="00C42459">
      <w:pPr>
        <w:ind w:firstLineChars="150" w:firstLine="480"/>
        <w:rPr>
          <w:rFonts w:hint="eastAsia"/>
          <w:sz w:val="32"/>
          <w:szCs w:val="32"/>
        </w:rPr>
      </w:pPr>
      <w:r w:rsidRPr="009151BD">
        <w:rPr>
          <w:rFonts w:hint="eastAsia"/>
          <w:sz w:val="32"/>
          <w:szCs w:val="32"/>
        </w:rPr>
        <w:t>（五）开展中小学、校长培训，完成中小学、幼儿园教师国家级培训计划。落实集中连片特困地区边远乡村教师生活补助政策。开展三区支教。建立乡村教师荣誉制度。按照年人均</w:t>
      </w:r>
      <w:r w:rsidRPr="009151BD">
        <w:rPr>
          <w:rFonts w:hint="eastAsia"/>
          <w:sz w:val="32"/>
          <w:szCs w:val="32"/>
        </w:rPr>
        <w:t>20000</w:t>
      </w:r>
      <w:r w:rsidRPr="009151BD">
        <w:rPr>
          <w:rFonts w:hint="eastAsia"/>
          <w:sz w:val="32"/>
          <w:szCs w:val="32"/>
        </w:rPr>
        <w:t>元标准，发放边远乡村教师生活补助。落实三区支教省级配套资金。对扎根乡村的教师进行表彰。</w:t>
      </w:r>
    </w:p>
    <w:p w14:paraId="017B523E" w14:textId="77777777" w:rsidR="00C42459" w:rsidRPr="009151BD" w:rsidRDefault="00C42459" w:rsidP="00C42459">
      <w:pPr>
        <w:rPr>
          <w:rFonts w:hint="eastAsia"/>
          <w:sz w:val="32"/>
          <w:szCs w:val="32"/>
        </w:rPr>
      </w:pPr>
      <w:r w:rsidRPr="009151BD">
        <w:rPr>
          <w:rFonts w:hint="eastAsia"/>
          <w:sz w:val="32"/>
          <w:szCs w:val="32"/>
        </w:rPr>
        <w:t>三、绩效目标设定质量情况</w:t>
      </w:r>
    </w:p>
    <w:p w14:paraId="730EBE55" w14:textId="77777777" w:rsidR="00C42459" w:rsidRPr="009151BD" w:rsidRDefault="00C42459" w:rsidP="00C42459">
      <w:pPr>
        <w:ind w:firstLineChars="200" w:firstLine="640"/>
        <w:rPr>
          <w:rFonts w:hint="eastAsia"/>
          <w:sz w:val="32"/>
          <w:szCs w:val="32"/>
        </w:rPr>
      </w:pPr>
      <w:r w:rsidRPr="009151BD">
        <w:rPr>
          <w:rFonts w:hint="eastAsia"/>
          <w:sz w:val="32"/>
          <w:szCs w:val="32"/>
        </w:rPr>
        <w:t>通过收集、整理本部门各预算项目绩效自评结果，年初绩</w:t>
      </w:r>
      <w:r>
        <w:rPr>
          <w:rFonts w:hint="eastAsia"/>
          <w:sz w:val="32"/>
          <w:szCs w:val="32"/>
        </w:rPr>
        <w:t>/</w:t>
      </w:r>
      <w:r w:rsidRPr="009151BD">
        <w:rPr>
          <w:rFonts w:hint="eastAsia"/>
          <w:sz w:val="32"/>
          <w:szCs w:val="32"/>
        </w:rPr>
        <w:t>与部门年度工作目标一致，绩效指标基本完整、合理，绩效标准比较恰当、容易评价。各专项资金基本完成当期工作，达到预期目标。</w:t>
      </w:r>
    </w:p>
    <w:p w14:paraId="17A8AA5C" w14:textId="77777777" w:rsidR="00C42459" w:rsidRPr="009151BD" w:rsidRDefault="00C42459" w:rsidP="00C42459">
      <w:pPr>
        <w:rPr>
          <w:rFonts w:hint="eastAsia"/>
          <w:sz w:val="32"/>
          <w:szCs w:val="32"/>
        </w:rPr>
      </w:pPr>
      <w:r w:rsidRPr="009151BD">
        <w:rPr>
          <w:rFonts w:hint="eastAsia"/>
          <w:sz w:val="32"/>
          <w:szCs w:val="32"/>
        </w:rPr>
        <w:t>四、整改措施及结果应用</w:t>
      </w:r>
    </w:p>
    <w:p w14:paraId="3C9C4498" w14:textId="77777777" w:rsidR="00C42459" w:rsidRPr="009151BD" w:rsidRDefault="00C42459" w:rsidP="00C42459">
      <w:pPr>
        <w:ind w:firstLineChars="200" w:firstLine="640"/>
        <w:rPr>
          <w:rFonts w:hint="eastAsia"/>
          <w:sz w:val="32"/>
          <w:szCs w:val="32"/>
        </w:rPr>
      </w:pPr>
      <w:r w:rsidRPr="009151BD">
        <w:rPr>
          <w:rFonts w:hint="eastAsia"/>
          <w:sz w:val="32"/>
          <w:szCs w:val="32"/>
        </w:rPr>
        <w:t>进一步提高预算编制的精准度，提高财政资金使用效率，尽量减少预算执行的调整，进一步科学合理的设定绩效目标和绩效标准。</w:t>
      </w:r>
    </w:p>
    <w:p w14:paraId="52004566" w14:textId="77777777" w:rsidR="00C42459" w:rsidRDefault="00C42459" w:rsidP="00C42459">
      <w:pPr>
        <w:widowControl/>
        <w:spacing w:line="460" w:lineRule="exact"/>
        <w:ind w:firstLine="640"/>
        <w:jc w:val="right"/>
        <w:rPr>
          <w:rFonts w:ascii="宋体" w:hAnsi="宋体" w:cs="宋体" w:hint="eastAsia"/>
          <w:sz w:val="30"/>
          <w:szCs w:val="30"/>
        </w:rPr>
      </w:pPr>
    </w:p>
    <w:p w14:paraId="6F732D26" w14:textId="77777777" w:rsidR="00C42459" w:rsidRDefault="00C42459" w:rsidP="00C42459">
      <w:pPr>
        <w:widowControl/>
        <w:spacing w:line="460" w:lineRule="exact"/>
        <w:ind w:firstLine="640"/>
        <w:jc w:val="right"/>
        <w:rPr>
          <w:rFonts w:ascii="宋体" w:hAnsi="宋体" w:cs="宋体" w:hint="eastAsia"/>
          <w:sz w:val="30"/>
          <w:szCs w:val="30"/>
        </w:rPr>
      </w:pPr>
    </w:p>
    <w:p w14:paraId="3097F581" w14:textId="77777777" w:rsidR="00C42459" w:rsidRPr="009151BD" w:rsidRDefault="00C42459" w:rsidP="00C42459">
      <w:pPr>
        <w:widowControl/>
        <w:spacing w:line="460" w:lineRule="exact"/>
        <w:ind w:firstLine="640"/>
        <w:jc w:val="right"/>
        <w:rPr>
          <w:rFonts w:hint="eastAsia"/>
          <w:sz w:val="32"/>
          <w:szCs w:val="32"/>
        </w:rPr>
      </w:pPr>
      <w:r w:rsidRPr="009151BD">
        <w:rPr>
          <w:rFonts w:hint="eastAsia"/>
          <w:sz w:val="32"/>
          <w:szCs w:val="32"/>
        </w:rPr>
        <w:t>高阳县教育和体育局</w:t>
      </w:r>
    </w:p>
    <w:p w14:paraId="50B22284" w14:textId="2955BC69" w:rsidR="00C42459" w:rsidRPr="009151BD" w:rsidRDefault="00C42459" w:rsidP="00C42459">
      <w:pPr>
        <w:widowControl/>
        <w:spacing w:line="460" w:lineRule="exact"/>
        <w:ind w:firstLine="640"/>
        <w:jc w:val="right"/>
        <w:rPr>
          <w:rFonts w:hint="eastAsia"/>
          <w:sz w:val="32"/>
          <w:szCs w:val="32"/>
        </w:rPr>
      </w:pPr>
      <w:r w:rsidRPr="009151BD">
        <w:rPr>
          <w:rFonts w:hint="eastAsia"/>
          <w:sz w:val="32"/>
          <w:szCs w:val="32"/>
        </w:rPr>
        <w:t>202</w:t>
      </w:r>
      <w:r>
        <w:rPr>
          <w:sz w:val="32"/>
          <w:szCs w:val="32"/>
        </w:rPr>
        <w:t>4</w:t>
      </w:r>
      <w:r w:rsidRPr="009151BD">
        <w:rPr>
          <w:rFonts w:hint="eastAsia"/>
          <w:sz w:val="32"/>
          <w:szCs w:val="32"/>
        </w:rPr>
        <w:t>年</w:t>
      </w:r>
      <w:r>
        <w:rPr>
          <w:sz w:val="32"/>
          <w:szCs w:val="32"/>
        </w:rPr>
        <w:t>3</w:t>
      </w:r>
      <w:r w:rsidRPr="009151BD">
        <w:rPr>
          <w:rFonts w:hint="eastAsia"/>
          <w:sz w:val="32"/>
          <w:szCs w:val="32"/>
        </w:rPr>
        <w:t>月</w:t>
      </w:r>
      <w:r>
        <w:rPr>
          <w:sz w:val="32"/>
          <w:szCs w:val="32"/>
        </w:rPr>
        <w:t>8</w:t>
      </w:r>
      <w:r w:rsidRPr="009151BD">
        <w:rPr>
          <w:rFonts w:hint="eastAsia"/>
          <w:sz w:val="32"/>
          <w:szCs w:val="32"/>
        </w:rPr>
        <w:t>日</w:t>
      </w:r>
    </w:p>
    <w:p w14:paraId="5CE2F4D3" w14:textId="77777777" w:rsidR="00C42459" w:rsidRPr="009151BD" w:rsidRDefault="00C42459" w:rsidP="00C42459">
      <w:pPr>
        <w:rPr>
          <w:sz w:val="32"/>
          <w:szCs w:val="32"/>
        </w:rPr>
      </w:pPr>
    </w:p>
    <w:p w14:paraId="4FEDCA58" w14:textId="77777777" w:rsidR="00E855E0" w:rsidRPr="00C42459" w:rsidRDefault="00E855E0"/>
    <w:sectPr w:rsidR="00E855E0" w:rsidRPr="00C42459" w:rsidSect="00F2793F">
      <w:pgSz w:w="11906" w:h="16838"/>
      <w:pgMar w:top="1361"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79B5F" w14:textId="77777777" w:rsidR="006E77D8" w:rsidRDefault="006E77D8" w:rsidP="00C42459">
      <w:r>
        <w:separator/>
      </w:r>
    </w:p>
  </w:endnote>
  <w:endnote w:type="continuationSeparator" w:id="0">
    <w:p w14:paraId="6E354E1C" w14:textId="77777777" w:rsidR="006E77D8" w:rsidRDefault="006E77D8" w:rsidP="00C4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4F3C1" w14:textId="77777777" w:rsidR="006E77D8" w:rsidRDefault="006E77D8" w:rsidP="00C42459">
      <w:r>
        <w:separator/>
      </w:r>
    </w:p>
  </w:footnote>
  <w:footnote w:type="continuationSeparator" w:id="0">
    <w:p w14:paraId="453695F6" w14:textId="77777777" w:rsidR="006E77D8" w:rsidRDefault="006E77D8" w:rsidP="00C42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813"/>
    <w:rsid w:val="006E77D8"/>
    <w:rsid w:val="00775813"/>
    <w:rsid w:val="008C2272"/>
    <w:rsid w:val="00C42459"/>
    <w:rsid w:val="00E85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71873"/>
  <w15:chartTrackingRefBased/>
  <w15:docId w15:val="{E8B05C57-0745-41C9-9680-E30189D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424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4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42459"/>
    <w:rPr>
      <w:sz w:val="18"/>
      <w:szCs w:val="18"/>
    </w:rPr>
  </w:style>
  <w:style w:type="paragraph" w:styleId="a5">
    <w:name w:val="footer"/>
    <w:basedOn w:val="a"/>
    <w:link w:val="a6"/>
    <w:uiPriority w:val="99"/>
    <w:unhideWhenUsed/>
    <w:rsid w:val="00C424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424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2024-12-04T07:45:00Z</dcterms:created>
  <dcterms:modified xsi:type="dcterms:W3CDTF">2024-12-04T08:01:00Z</dcterms:modified>
</cp:coreProperties>
</file>