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A51138">
      <w:pPr>
        <w:spacing w:line="300" w:lineRule="exact"/>
        <w:rPr>
          <w:rFonts w:ascii="黑体" w:hAnsi="宋体" w:eastAsia="黑体"/>
          <w:sz w:val="44"/>
          <w:szCs w:val="44"/>
        </w:rPr>
      </w:pPr>
    </w:p>
    <w:p w14:paraId="11C15273">
      <w:pPr>
        <w:keepNext w:val="0"/>
        <w:keepLines w:val="0"/>
        <w:pageBreakBefore w:val="0"/>
        <w:widowControl/>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中共高阳县委</w:t>
      </w:r>
      <w:bookmarkStart w:id="0" w:name="_GoBack"/>
      <w:bookmarkEnd w:id="0"/>
      <w:r>
        <w:rPr>
          <w:rFonts w:hint="eastAsia" w:ascii="方正小标宋简体" w:hAnsi="方正小标宋简体" w:eastAsia="方正小标宋简体" w:cs="方正小标宋简体"/>
          <w:b w:val="0"/>
          <w:bCs w:val="0"/>
          <w:color w:val="000000"/>
          <w:sz w:val="44"/>
          <w:szCs w:val="44"/>
          <w:lang w:val="en-US" w:eastAsia="zh-CN"/>
        </w:rPr>
        <w:t>宣传部</w:t>
      </w:r>
    </w:p>
    <w:p w14:paraId="2D555F85">
      <w:pPr>
        <w:keepNext w:val="0"/>
        <w:keepLines w:val="0"/>
        <w:pageBreakBefore w:val="0"/>
        <w:widowControl/>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2021年度绩效自评工作报告</w:t>
      </w:r>
    </w:p>
    <w:p w14:paraId="5188FE11">
      <w:pPr>
        <w:keepNext w:val="0"/>
        <w:keepLines w:val="0"/>
        <w:pageBreakBefore w:val="0"/>
        <w:widowControl w:val="0"/>
        <w:numPr>
          <w:ilvl w:val="0"/>
          <w:numId w:val="0"/>
        </w:numPr>
        <w:spacing w:line="560" w:lineRule="exact"/>
        <w:jc w:val="left"/>
        <w:rPr>
          <w:rFonts w:hint="eastAsia" w:ascii="仿宋_GB2312" w:hAnsi="仿宋" w:eastAsia="仿宋_GB2312" w:cs="仿宋_GB2312"/>
          <w:sz w:val="32"/>
          <w:szCs w:val="32"/>
        </w:rPr>
      </w:pPr>
    </w:p>
    <w:p w14:paraId="6A82765D">
      <w:pPr>
        <w:keepNext w:val="0"/>
        <w:keepLines w:val="0"/>
        <w:pageBreakBefore w:val="0"/>
        <w:widowControl w:val="0"/>
        <w:numPr>
          <w:ilvl w:val="0"/>
          <w:numId w:val="0"/>
        </w:numPr>
        <w:spacing w:line="560" w:lineRule="exact"/>
        <w:ind w:firstLine="64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一、绩效自评工作组织开展情况</w:t>
      </w:r>
    </w:p>
    <w:p w14:paraId="0BD8B5AE">
      <w:pPr>
        <w:keepNext w:val="0"/>
        <w:keepLines w:val="0"/>
        <w:pageBreakBefore w:val="0"/>
        <w:widowControl w:val="0"/>
        <w:spacing w:line="560" w:lineRule="exact"/>
        <w:ind w:firstLine="64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按照县财政局关于做好</w:t>
      </w:r>
      <w:r>
        <w:rPr>
          <w:rFonts w:hint="eastAsia" w:ascii="仿宋_GB2312" w:hAnsi="仿宋" w:eastAsia="仿宋_GB2312" w:cs="仿宋_GB2312"/>
          <w:sz w:val="32"/>
          <w:szCs w:val="32"/>
          <w:lang w:val="en-US" w:eastAsia="zh-CN"/>
        </w:rPr>
        <w:t>2021年度县级预算项目绩效自评工作的通知要求，</w:t>
      </w:r>
      <w:r>
        <w:rPr>
          <w:rFonts w:hint="eastAsia" w:ascii="仿宋_GB2312" w:hAnsi="仿宋" w:eastAsia="仿宋_GB2312" w:cs="仿宋_GB2312"/>
          <w:sz w:val="32"/>
          <w:szCs w:val="32"/>
          <w:lang w:eastAsia="zh-CN"/>
        </w:rPr>
        <w:t>成</w:t>
      </w:r>
      <w:r>
        <w:rPr>
          <w:rFonts w:hint="eastAsia" w:ascii="仿宋_GB2312" w:hAnsi="仿宋" w:eastAsia="仿宋_GB2312" w:cs="仿宋_GB2312"/>
          <w:sz w:val="32"/>
          <w:szCs w:val="32"/>
          <w:lang w:val="en-US" w:eastAsia="zh-CN"/>
        </w:rPr>
        <w:t>立了绩效自评工作小组</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进行了绩效信息收集、绩效自评打分、完成2021年度预算项目绩效自评表，并对自评结果进行总结，形成专题报告。</w:t>
      </w:r>
    </w:p>
    <w:p w14:paraId="76CCF36A">
      <w:pPr>
        <w:keepNext w:val="0"/>
        <w:keepLines w:val="0"/>
        <w:pageBreakBefore w:val="0"/>
        <w:widowControl w:val="0"/>
        <w:numPr>
          <w:ilvl w:val="0"/>
          <w:numId w:val="0"/>
        </w:numPr>
        <w:spacing w:line="560" w:lineRule="exact"/>
        <w:ind w:firstLine="640"/>
        <w:jc w:val="left"/>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lang w:eastAsia="zh-CN"/>
        </w:rPr>
        <w:t>绩效目标实现情况</w:t>
      </w:r>
    </w:p>
    <w:p w14:paraId="42E5E047">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抓实理论学习中心组学习。制定《2021年全县各级党委（党组）理论学习中心组专题学习重点内容安排》，确立10个学习专题，采取集中学习、个人自学、专题讲座等多种方式，深入开展学习讨论和互动交流。县委理论学习中心组共集中学习15次，其中邀请专家辅导3次，发放理论学习中心组学习要点4次，呈送理论书籍8套。持续丰富、活跃、推动基层宣讲活动，共计进农村1490场，进社区160场，进企业1000场，受众95000人次。</w:t>
      </w:r>
    </w:p>
    <w:p w14:paraId="0203BFFC">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推动党史学习教育走深走实。深入开展党史学习教育和“四史”宣传教育，各级党员干部通过理论学习中心组学习、专题党课、读书班等方式，读原著、思原文、悟原理。组建红马甲、小马扎、小喇叭、文艺队等“微宣讲团”，将党的创新理论和最新成果传播到基层党员干部群众。开展党史专题宣讲600场，受众62000人次，农村大喇叭宣讲覆盖全县。组织开展“讲党史、颂党恩、跟党走”理论宣讲大赛、“百年征程•建设美好生活之城”党史学习教育主题宣教、“永远跟党走”群众歌咏比赛、“童心向党”中小学生系列教育实践活动等676场，激发了全社会知史爱党、知史爱国的情怀。</w:t>
      </w:r>
    </w:p>
    <w:p w14:paraId="2262E22F">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加强学习强国宣传推广使用。制定下发了《关于表彰“学习强国”学习标兵的通报》，授予100名同志2019-2020年度“学习标兵”称号，进一步推进“学习强国”学习活动深入开展。印发《学习强国学习平台提示卡》4期，印发《学习强国学习平台工作督办卡》10期。截至目前，完成学习强国平台APP注册8.3万人，全县党员干部群众的理论素养和综合素质显著提升。</w:t>
      </w:r>
    </w:p>
    <w:p w14:paraId="778742CD">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4.扎实开展新闻舆论攻坚战。规范新闻宣传工作机制，加强统筹联动，定期研究、定期策划、定期调度、定期通报，修订量化考核试行办法，组建新闻通讯员、传播员、新闻发言人等专职工作队伍，努力形成大宣传格局。精心策划“高端媒体高阳行看高阳”集中采访活动，加强与中央省市主流媒体的沟通联系，深挖我县人文底蕴、经济根基、社会精粹，提升县级融媒创造力，组织开展5次高端媒体集中采访活动，高起点、全方位、多角度展现高阳打造美好生活之城的亮点成效。强力推进重要核心思想在高阳落地见效，聚焦“再造一个新保定”“打造雄安卫星城”，坚持在高阳特色工作和闪光点集中宣传上发力攻坚，在保定日报刊发《高阳布里留法工艺学校：师夷长技 救国救民》《奋楫扬帆再启航》《高阳迈向更高品质生活》3篇头版头条，为保定县市区发布重要稿件之首，为加快“雄安卫星城、美丽新高阳”建设提供了强有力舆论支撑。截至目前，各级媒体共刊发重点稿件762篇，其中：中央媒体发稿228篇，省级媒体发稿262篇，市级媒体发稿272篇。</w:t>
      </w:r>
    </w:p>
    <w:p w14:paraId="1FBD344E">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5.切实抓好系列专题宣传。录制了《美好生活之城建设专题片》、《大美高阳》宣传片、县歌《纺织故乡》MV、《高阳县旅发大会宣传片》，认真总结回顾我县成功创建省级文明县城、省级园林县城、省级卫生县城、省级洁净城市的生动实践，筹办第四届保定市旅发大会的火热场景，在县融媒体中心和县城区主要街道电子显示屏进行全天候展播，为加快建设“雄安卫星城、美丽新高阳”凝聚了强大精神力量。发挥红色资源优势，启动党史学习教育百场研学启动仪式，“高蠡暴动纪念馆”和“布里留法工艺学校旧址”两个红色经典景区三季度共接待参观游客18000人次，现已成为保定周边各县干群打卡的“红色地标”。</w:t>
      </w:r>
    </w:p>
    <w:p w14:paraId="3AAC782C">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lang w:val="zh-CN" w:eastAsia="zh-CN"/>
        </w:rPr>
        <w:t>全面加强国际传播能力建设。制定《关于加强传播能力建设展示美好生活之城良好形象的落实任务分解方案》，明确责任任务，提升全县传播能力。在县直部门、乡镇农村明确专门力量，组建工作群，</w:t>
      </w:r>
      <w:r>
        <w:rPr>
          <w:rFonts w:hint="eastAsia" w:ascii="仿宋_GB2312" w:hAnsi="仿宋" w:eastAsia="仿宋_GB2312" w:cs="仿宋_GB2312"/>
          <w:sz w:val="32"/>
          <w:szCs w:val="32"/>
          <w:lang w:val="en-US" w:eastAsia="zh-CN"/>
        </w:rPr>
        <w:t>吸收各单位分管副职和工作人员入群，构建全县传播体系</w:t>
      </w:r>
      <w:r>
        <w:rPr>
          <w:rFonts w:hint="eastAsia" w:ascii="仿宋_GB2312" w:hAnsi="仿宋" w:eastAsia="仿宋_GB2312" w:cs="仿宋_GB2312"/>
          <w:sz w:val="32"/>
          <w:szCs w:val="32"/>
          <w:lang w:val="zh-CN" w:eastAsia="zh-CN"/>
        </w:rPr>
        <w:t>；明确传播导向，明确传播重点，建设高品质传播平台，营造“美好生活之城大家建”的浓厚氛围。</w:t>
      </w:r>
      <w:r>
        <w:rPr>
          <w:rFonts w:hint="eastAsia" w:ascii="仿宋_GB2312" w:hAnsi="仿宋" w:eastAsia="仿宋_GB2312" w:cs="仿宋_GB2312"/>
          <w:sz w:val="32"/>
          <w:szCs w:val="32"/>
          <w:lang w:val="en-US" w:eastAsia="zh-CN"/>
        </w:rPr>
        <w:t>6月18日，邀请新华社到县采访，刊发《我记忆中的爷爷和父亲》重要稿件，点击阅读量超154万，对推动我县党史学习教育走深走实起到重要作用。</w:t>
      </w:r>
    </w:p>
    <w:p w14:paraId="6CEEE793">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7.常态化开展省级文明县城创建。常态化开展省级文明县城创建，制定印发创城工作方案，明确15个专项工作部，明晰职责，合力创建。组建创城指导中心，抽调人员集中办公，统筹推进创城工作。组织召开创城工作调度会和推进会4次，开展创城实地督查18次，曝光创建问题33个，下发创城督办卡38张、县级领导提示卡11张。7月份顺利通过省级创城复检实地测评，10月16日-23日县创城办组织各单位顺利完成省级文明县城复检网上申报工作。在2021年文明城市创建工作省级年度测评（复检）情况的通报中，我县成绩排保定市第二位。</w:t>
      </w:r>
    </w:p>
    <w:p w14:paraId="3455BDC6">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8.持续加强思想道德建设。开展“道德模范”“优秀志愿者”“高阳好人”“新时代好少年”等选树学习宣传活动，让先进典型引领全社会崇德向善。组织推荐河北省学雷锋志愿服务典型6个、保定好人1名、保定市道德模范1名、保定市道德模范提名奖1名、高阳好人35名。组织引导22名本地道德典型当好党的政策的宣传员、社会治理的监督员、百姓身边的信息员，关注身边群众的急难愁盼。扎实推进未成年人思想道德建设，组织全县中小学校开展“扣好人生第一粒扣子”、“新时代好少年”学习宣传、“童心向党”和“传承红色基因”“学雷锋志愿服务”等主题实践活动，5万余名未成年人在活动中受到锻炼。评选表彰县新时代好少年20名，2人获评保定市新时代好少年。</w:t>
      </w:r>
    </w:p>
    <w:p w14:paraId="47A2A22E">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9、实践中心全面推进。依托新时代文明实践中心，组织开展防控疫情你我同行、文明交通有你有我等系列学雷锋志愿服务活动450余次，11000余名志愿者积极参加，有力地凝聚广大干群思想共识，提升基层群众文明素养，实现文明实践活动常态化开展。柴建勋被评为河北省优秀志愿者，高阳县医院志愿服务队和高阳县公益爱心协会被评为河北省先进志愿服务组织，高阳县教体局支教助学志愿服务项目被评为河北省志愿服务创新项目，高阳县锦华街道办事处温馨家园社区和现代城社区被评为河北省志愿服务示范社区。   </w:t>
      </w:r>
    </w:p>
    <w:p w14:paraId="31E70AC2">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10.文化旅游融合发展。制定文旅产业融合发展方案，围绕承办保定市第四届旅发大会，完成巾巾乐道产业育城中心、龙湖公园、凤湖公园、十里义脉等项目景区布展、文化内涵阐释等，开展“不夜纺乡•美好生活”夜经济建设启动仪式、非物质文化遗产展览、昆曲T台秀、戏曲展演、非遗传统武术展演等系列活动，提升文旅气息，浸润城市根脉。</w:t>
      </w:r>
    </w:p>
    <w:p w14:paraId="1707778B">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11.文艺创作精品迭出。制作县歌《纺织故乡》及MV，与河北广播电视台联合拍摄3集大型理论文献纪录片《追寻赤光—从保定到巴黎》，与河北梆子剧院联合创排新编古装历史剧《燕赵风骨孙承宗》，拍摄红色微电影《猪龙河畔红旗飘》，编辑出版图书《中国文化名城—高阳》，《阳春》文学季刊出版4期。</w:t>
      </w:r>
    </w:p>
    <w:p w14:paraId="47BE60F9">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12.文化惠民雨润民心。组织开展庆祝中国共产党成立100周年系列活动，重点开展摄影图片展、红歌赛、演讲比赛、知识竞赛、文艺汇演、书画展等重点活动16场，组织文化惠民“七进”演出50场，开展群众文化活动87场，开展“迎旅发大会 展高阳风采”群众文化艺术节系列文化活动26场，极大丰富群众文化生活。开展农村公益电影放映1848场，为全县154个农家书屋配送图书13244册。</w:t>
      </w:r>
    </w:p>
    <w:p w14:paraId="1769E20B">
      <w:pPr>
        <w:keepNext w:val="0"/>
        <w:keepLines w:val="0"/>
        <w:pageBreakBefore w:val="0"/>
        <w:widowControl w:val="0"/>
        <w:spacing w:line="560" w:lineRule="exact"/>
        <w:ind w:firstLine="64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13.宣传部宣传经费、宣传部宣传经费（劳务派遣）、宣传部文明县城创建费宣传部新时代文明实践中心经费等项目总体实施良好，项目组织到位，实现了项目目标的绩效目标要求。项目按时拨付，绩效目标完成，无发现问题。</w:t>
      </w:r>
    </w:p>
    <w:p w14:paraId="13613846">
      <w:pPr>
        <w:keepNext w:val="0"/>
        <w:keepLines w:val="0"/>
        <w:pageBreakBefore w:val="0"/>
        <w:widowControl w:val="0"/>
        <w:spacing w:line="560" w:lineRule="exact"/>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三、绩效目标设定质量情况</w:t>
      </w:r>
    </w:p>
    <w:p w14:paraId="20CE8F4A">
      <w:pPr>
        <w:keepNext w:val="0"/>
        <w:keepLines w:val="0"/>
        <w:pageBreakBefore w:val="0"/>
        <w:widowControl w:val="0"/>
        <w:numPr>
          <w:ilvl w:val="0"/>
          <w:numId w:val="0"/>
        </w:numPr>
        <w:spacing w:line="560" w:lineRule="exact"/>
        <w:ind w:firstLine="640"/>
        <w:jc w:val="left"/>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作为绩效自评工作的主体，制定了本部门绩效自评制度方法和操作细节，具体组织实施本部门的绩效自评工作，设定了合理的绩效目标指标，加强了绩效自评结果的应用。</w:t>
      </w:r>
    </w:p>
    <w:p w14:paraId="224AE6F7">
      <w:pPr>
        <w:keepNext w:val="0"/>
        <w:keepLines w:val="0"/>
        <w:pageBreakBefore w:val="0"/>
        <w:widowControl w:val="0"/>
        <w:numPr>
          <w:ilvl w:val="0"/>
          <w:numId w:val="0"/>
        </w:numPr>
        <w:spacing w:line="560" w:lineRule="exact"/>
        <w:ind w:firstLine="64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四、整改措施及结果应用</w:t>
      </w:r>
    </w:p>
    <w:p w14:paraId="248BCD30">
      <w:pPr>
        <w:keepNext w:val="0"/>
        <w:keepLines w:val="0"/>
        <w:pageBreakBefore w:val="0"/>
        <w:widowControl w:val="0"/>
        <w:numPr>
          <w:ilvl w:val="0"/>
          <w:numId w:val="0"/>
        </w:numPr>
        <w:spacing w:line="560" w:lineRule="exact"/>
        <w:ind w:firstLine="640"/>
        <w:jc w:val="left"/>
        <w:rPr>
          <w:rFonts w:hint="default" w:ascii="Calibri" w:hAnsi="Calibri" w:eastAsia="宋体" w:cs="Times New Roman"/>
          <w:sz w:val="21"/>
          <w:szCs w:val="22"/>
          <w:lang w:val="en-US" w:eastAsia="zh-CN" w:bidi="ar-SA"/>
        </w:rPr>
      </w:pPr>
      <w:r>
        <w:rPr>
          <w:rFonts w:hint="eastAsia" w:ascii="仿宋_GB2312" w:hAnsi="仿宋" w:eastAsia="仿宋_GB2312" w:cs="仿宋_GB2312"/>
          <w:sz w:val="32"/>
          <w:szCs w:val="32"/>
          <w:lang w:val="en-US" w:eastAsia="zh-CN"/>
        </w:rPr>
        <w:t>认真完善了项目绩效自评相关内容，包括提升绩效目标设定质量，绩效自评制度方法，操作细节等。并健全预算项目实施办法，加强了项目支出绩效管理。</w:t>
      </w:r>
    </w:p>
    <w:p w14:paraId="21E58B1A">
      <w:pPr>
        <w:keepNext w:val="0"/>
        <w:keepLines w:val="0"/>
        <w:pageBreakBefore w:val="0"/>
        <w:widowControl w:val="0"/>
        <w:numPr>
          <w:ilvl w:val="0"/>
          <w:numId w:val="0"/>
        </w:numPr>
        <w:spacing w:line="560" w:lineRule="exact"/>
        <w:ind w:firstLine="5120"/>
        <w:jc w:val="left"/>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中共高阳县委宣传部</w:t>
      </w:r>
    </w:p>
    <w:p w14:paraId="77FF598A">
      <w:pPr>
        <w:keepNext w:val="0"/>
        <w:keepLines w:val="0"/>
        <w:pageBreakBefore w:val="0"/>
        <w:widowControl w:val="0"/>
        <w:spacing w:line="560" w:lineRule="exact"/>
        <w:jc w:val="both"/>
        <w:rPr>
          <w:rFonts w:hint="eastAsia" w:ascii="仿宋_GB2312" w:hAnsi="仿宋_GB2312" w:eastAsia="仿宋_GB2312" w:cs="仿宋_GB2312"/>
          <w:sz w:val="32"/>
          <w:szCs w:val="32"/>
        </w:rPr>
      </w:pPr>
      <w:r>
        <w:rPr>
          <w:rFonts w:hint="eastAsia"/>
          <w:sz w:val="32"/>
          <w:szCs w:val="32"/>
          <w:lang w:val="en-US" w:eastAsia="zh-CN"/>
        </w:rPr>
        <w:t xml:space="preserve">                                 </w:t>
      </w:r>
      <w:r>
        <w:rPr>
          <w:rFonts w:hint="eastAsia" w:ascii="仿宋_GB2312" w:hAnsi="仿宋" w:eastAsia="仿宋_GB2312" w:cs="仿宋_GB2312"/>
          <w:sz w:val="32"/>
          <w:szCs w:val="32"/>
          <w:lang w:val="en-US" w:eastAsia="zh-CN"/>
        </w:rPr>
        <w:t xml:space="preserve"> 2022年3月7日</w:t>
      </w:r>
    </w:p>
    <w:sectPr>
      <w:pgSz w:w="11906" w:h="16838" w:orient="landscape"/>
      <w:pgMar w:top="1984" w:right="1417" w:bottom="1587" w:left="141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44D98"/>
    <w:rsid w:val="33EC2F43"/>
    <w:rsid w:val="64B6780D"/>
    <w:rsid w:val="77F83AFA"/>
    <w:rsid w:val="7DB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99"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toc 2"/>
    <w:basedOn w:val="1"/>
    <w:next w:val="1"/>
    <w:semiHidden/>
    <w:unhideWhenUsed/>
    <w:qFormat/>
    <w:uiPriority w:val="99"/>
    <w:pPr>
      <w:spacing w:before="100" w:beforeAutospacing="1" w:after="100" w:afterAutospacing="1"/>
      <w:ind w:left="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Plain Text"/>
    <w:basedOn w:val="1"/>
    <w:qFormat/>
    <w:uiPriority w:val="0"/>
    <w:rPr>
      <w:rFonts w:ascii="宋体" w:hAnsi="Courier New" w:eastAsia="宋体" w:cs="Times New Roman"/>
      <w:sz w:val="21"/>
      <w:szCs w:val="21"/>
    </w:r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1"/>
    <w:semiHidden/>
    <w:unhideWhenUsed/>
    <w:qFormat/>
    <w:uiPriority w:val="99"/>
    <w:pPr>
      <w:spacing w:after="0" w:line="240" w:lineRule="auto"/>
    </w:pPr>
    <w:rPr>
      <w:sz w:val="20"/>
    </w:rPr>
  </w:style>
  <w:style w:type="paragraph" w:styleId="19">
    <w:name w:val="footer"/>
    <w:basedOn w:val="1"/>
    <w:link w:val="184"/>
    <w:unhideWhenUsed/>
    <w:qFormat/>
    <w:uiPriority w:val="99"/>
    <w:pPr>
      <w:tabs>
        <w:tab w:val="center" w:pos="4153"/>
        <w:tab w:val="right" w:pos="8306"/>
      </w:tabs>
      <w:jc w:val="left"/>
    </w:pPr>
    <w:rPr>
      <w:sz w:val="18"/>
      <w:szCs w:val="18"/>
    </w:rPr>
  </w:style>
  <w:style w:type="paragraph" w:styleId="20">
    <w:name w:val="header"/>
    <w:basedOn w:val="1"/>
    <w:link w:val="183"/>
    <w:unhideWhenUsed/>
    <w:qFormat/>
    <w:uiPriority w:val="99"/>
    <w:pPr>
      <w:pBdr>
        <w:bottom w:val="single" w:color="000000" w:sz="6" w:space="1"/>
      </w:pBdr>
      <w:tabs>
        <w:tab w:val="center" w:pos="4153"/>
        <w:tab w:val="right" w:pos="8306"/>
      </w:tabs>
      <w:jc w:val="center"/>
    </w:pPr>
    <w:rPr>
      <w:sz w:val="18"/>
      <w:szCs w:val="18"/>
    </w:r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7"/>
    <w:qFormat/>
    <w:uiPriority w:val="11"/>
    <w:pPr>
      <w:spacing w:before="200" w:after="200"/>
    </w:pPr>
    <w:rPr>
      <w:sz w:val="24"/>
      <w:szCs w:val="24"/>
    </w:rPr>
  </w:style>
  <w:style w:type="paragraph" w:styleId="24">
    <w:name w:val="footnote text"/>
    <w:basedOn w:val="1"/>
    <w:link w:val="180"/>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等线" w:hAnsi="等线" w:eastAsia="等线" w:cs="等线"/>
      <w:sz w:val="40"/>
      <w:szCs w:val="40"/>
    </w:rPr>
  </w:style>
  <w:style w:type="character" w:customStyle="1" w:styleId="36">
    <w:name w:val="Heading 2 Char"/>
    <w:basedOn w:val="31"/>
    <w:link w:val="4"/>
    <w:qFormat/>
    <w:uiPriority w:val="9"/>
    <w:rPr>
      <w:rFonts w:ascii="等线" w:hAnsi="等线" w:eastAsia="等线" w:cs="等线"/>
      <w:sz w:val="34"/>
    </w:rPr>
  </w:style>
  <w:style w:type="character" w:customStyle="1" w:styleId="37">
    <w:name w:val="Heading 3 Char"/>
    <w:basedOn w:val="31"/>
    <w:link w:val="5"/>
    <w:qFormat/>
    <w:uiPriority w:val="9"/>
    <w:rPr>
      <w:rFonts w:ascii="等线" w:hAnsi="等线" w:eastAsia="等线" w:cs="等线"/>
      <w:sz w:val="30"/>
      <w:szCs w:val="30"/>
    </w:rPr>
  </w:style>
  <w:style w:type="character" w:customStyle="1" w:styleId="38">
    <w:name w:val="Heading 4 Char"/>
    <w:basedOn w:val="31"/>
    <w:link w:val="6"/>
    <w:qFormat/>
    <w:uiPriority w:val="9"/>
    <w:rPr>
      <w:rFonts w:ascii="等线" w:hAnsi="等线" w:eastAsia="等线" w:cs="等线"/>
      <w:b/>
      <w:bCs/>
      <w:sz w:val="26"/>
      <w:szCs w:val="26"/>
    </w:rPr>
  </w:style>
  <w:style w:type="character" w:customStyle="1" w:styleId="39">
    <w:name w:val="Heading 5 Char"/>
    <w:basedOn w:val="31"/>
    <w:link w:val="7"/>
    <w:qFormat/>
    <w:uiPriority w:val="9"/>
    <w:rPr>
      <w:rFonts w:ascii="等线" w:hAnsi="等线" w:eastAsia="等线" w:cs="等线"/>
      <w:b/>
      <w:bCs/>
      <w:sz w:val="24"/>
      <w:szCs w:val="24"/>
    </w:rPr>
  </w:style>
  <w:style w:type="character" w:customStyle="1" w:styleId="40">
    <w:name w:val="Heading 6 Char"/>
    <w:basedOn w:val="31"/>
    <w:link w:val="8"/>
    <w:qFormat/>
    <w:uiPriority w:val="9"/>
    <w:rPr>
      <w:rFonts w:ascii="等线" w:hAnsi="等线" w:eastAsia="等线" w:cs="等线"/>
      <w:b/>
      <w:bCs/>
      <w:sz w:val="22"/>
      <w:szCs w:val="22"/>
    </w:rPr>
  </w:style>
  <w:style w:type="character" w:customStyle="1" w:styleId="41">
    <w:name w:val="Heading 7 Char"/>
    <w:basedOn w:val="31"/>
    <w:link w:val="9"/>
    <w:qFormat/>
    <w:uiPriority w:val="9"/>
    <w:rPr>
      <w:rFonts w:ascii="等线" w:hAnsi="等线" w:eastAsia="等线" w:cs="等线"/>
      <w:b/>
      <w:bCs/>
      <w:i/>
      <w:iCs/>
      <w:sz w:val="22"/>
      <w:szCs w:val="22"/>
    </w:rPr>
  </w:style>
  <w:style w:type="character" w:customStyle="1" w:styleId="42">
    <w:name w:val="Heading 8 Char"/>
    <w:basedOn w:val="31"/>
    <w:link w:val="10"/>
    <w:qFormat/>
    <w:uiPriority w:val="9"/>
    <w:rPr>
      <w:rFonts w:ascii="等线" w:hAnsi="等线" w:eastAsia="等线" w:cs="等线"/>
      <w:i/>
      <w:iCs/>
      <w:sz w:val="22"/>
      <w:szCs w:val="22"/>
    </w:rPr>
  </w:style>
  <w:style w:type="character" w:customStyle="1" w:styleId="43">
    <w:name w:val="Heading 9 Char"/>
    <w:basedOn w:val="31"/>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3"/>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29"/>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29"/>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basedOn w:val="29"/>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basedOn w:val="29"/>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29"/>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basedOn w:val="29"/>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basedOn w:val="29"/>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basedOn w:val="29"/>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basedOn w:val="29"/>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29"/>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29"/>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29"/>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basedOn w:val="29"/>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basedOn w:val="29"/>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basedOn w:val="29"/>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basedOn w:val="29"/>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basedOn w:val="29"/>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basedOn w:val="29"/>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basedOn w:val="29"/>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4"/>
    <w:uiPriority w:val="99"/>
    <w:rPr>
      <w:sz w:val="18"/>
    </w:rPr>
  </w:style>
  <w:style w:type="character" w:customStyle="1" w:styleId="181">
    <w:name w:val="Endnote Text Char"/>
    <w:link w:val="18"/>
    <w:uiPriority w:val="99"/>
    <w:rPr>
      <w:sz w:val="20"/>
    </w:rPr>
  </w:style>
  <w:style w:type="paragraph" w:customStyle="1" w:styleId="182">
    <w:name w:val="TOC Heading"/>
    <w:unhideWhenUsed/>
    <w:uiPriority w:val="39"/>
    <w:rPr>
      <w:rFonts w:hint="default" w:asciiTheme="minorHAnsi" w:hAnsiTheme="minorHAnsi" w:eastAsiaTheme="minorEastAsia" w:cstheme="minorBidi"/>
    </w:rPr>
  </w:style>
  <w:style w:type="character" w:customStyle="1" w:styleId="183">
    <w:name w:val="页眉 Char"/>
    <w:basedOn w:val="31"/>
    <w:link w:val="20"/>
    <w:qFormat/>
    <w:uiPriority w:val="99"/>
    <w:rPr>
      <w:sz w:val="18"/>
      <w:szCs w:val="18"/>
    </w:rPr>
  </w:style>
  <w:style w:type="character" w:customStyle="1" w:styleId="184">
    <w:name w:val="页脚 Char"/>
    <w:basedOn w:val="31"/>
    <w:link w:val="19"/>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3164</Words>
  <Characters>3285</Characters>
  <TotalTime>1</TotalTime>
  <ScaleCrop>false</ScaleCrop>
  <LinksUpToDate>false</LinksUpToDate>
  <CharactersWithSpaces>3324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范亮亮</cp:lastModifiedBy>
  <dcterms:modified xsi:type="dcterms:W3CDTF">2025-11-24T07:17:34Z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8C283A3F489E4C4F9CAF0DF17AB47E71</vt:lpwstr>
  </property>
  <property fmtid="{D5CDD505-2E9C-101B-9397-08002B2CF9AE}" pid="4" name="KSOTemplateDocerSaveRecord">
    <vt:lpwstr>eyJoZGlkIjoiNGM2NGYwOGUzY2FhNDA1MjAyZjU5ODA2ZGI0NjQzYzQiLCJ1c2VySWQiOiIxNjgyNjk4MTg5In0=</vt:lpwstr>
  </property>
</Properties>
</file>