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2025年部门预算信息公开目录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26</w:t>
      </w:r>
      <w:r>
        <w:fldChar w:fldCharType="end"/>
      </w:r>
      <w:r>
        <w:fldChar w:fldCharType="end"/>
      </w:r>
    </w:p>
    <w:p>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101高阳县人民代表大会常务委员会办公室</w:t>
            </w:r>
          </w:p>
        </w:tc>
        <w:tc>
          <w:tcPr>
            <w:tcW w:w="2126" w:type="dxa"/>
            <w:tcBorders>
              <w:top w:val="single" w:color="FFFFFF" w:sz="6" w:space="0"/>
              <w:left w:val="single" w:color="FFFFFF" w:sz="6" w:space="0"/>
              <w:right w:val="single" w:color="FFFFFF" w:sz="6" w:space="0"/>
            </w:tcBorders>
            <w:vAlign w:val="center"/>
          </w:tcPr>
          <w:p>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369.17</w:t>
            </w:r>
          </w:p>
        </w:tc>
        <w:tc>
          <w:tcPr>
            <w:tcW w:w="4535" w:type="dxa"/>
            <w:vAlign w:val="center"/>
          </w:tcPr>
          <w:p>
            <w:pPr>
              <w:pStyle w:val="10"/>
            </w:pPr>
            <w:r>
              <w:t>一、一般公共服务支出</w:t>
            </w:r>
          </w:p>
        </w:tc>
        <w:tc>
          <w:tcPr>
            <w:tcW w:w="2126" w:type="dxa"/>
            <w:vAlign w:val="center"/>
          </w:tcPr>
          <w:p>
            <w:pPr>
              <w:pStyle w:val="9"/>
            </w:pPr>
            <w:r>
              <w:t>261.24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85.90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8.35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13.68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本年收入合计</w:t>
            </w:r>
          </w:p>
        </w:tc>
        <w:tc>
          <w:tcPr>
            <w:tcW w:w="2126" w:type="dxa"/>
            <w:vAlign w:val="center"/>
          </w:tcPr>
          <w:p>
            <w:pPr>
              <w:pStyle w:val="13"/>
            </w:pPr>
            <w:r>
              <w:t>369.17</w:t>
            </w:r>
          </w:p>
        </w:tc>
        <w:tc>
          <w:tcPr>
            <w:tcW w:w="4535" w:type="dxa"/>
            <w:vAlign w:val="center"/>
          </w:tcPr>
          <w:p>
            <w:pPr>
              <w:pStyle w:val="12"/>
            </w:pPr>
            <w:r>
              <w:t>本年支出合计</w:t>
            </w:r>
          </w:p>
        </w:tc>
        <w:tc>
          <w:tcPr>
            <w:tcW w:w="2126" w:type="dxa"/>
            <w:vAlign w:val="center"/>
          </w:tcPr>
          <w:p>
            <w:pPr>
              <w:pStyle w:val="13"/>
            </w:pPr>
            <w:r>
              <w:t>369.17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2"/>
            </w:pPr>
            <w:r>
              <w:t>收入总计</w:t>
            </w:r>
          </w:p>
        </w:tc>
        <w:tc>
          <w:tcPr>
            <w:tcW w:w="2126" w:type="dxa"/>
            <w:vAlign w:val="center"/>
          </w:tcPr>
          <w:p>
            <w:pPr>
              <w:pStyle w:val="13"/>
            </w:pPr>
            <w:r>
              <w:t>369.17</w:t>
            </w:r>
          </w:p>
        </w:tc>
        <w:tc>
          <w:tcPr>
            <w:tcW w:w="4535" w:type="dxa"/>
            <w:vAlign w:val="center"/>
          </w:tcPr>
          <w:p>
            <w:pPr>
              <w:pStyle w:val="12"/>
            </w:pPr>
            <w:r>
              <w:t>支出总计</w:t>
            </w:r>
          </w:p>
        </w:tc>
        <w:tc>
          <w:tcPr>
            <w:tcW w:w="2126" w:type="dxa"/>
            <w:vAlign w:val="center"/>
          </w:tcPr>
          <w:p>
            <w:pPr>
              <w:pStyle w:val="13"/>
            </w:pPr>
            <w:r>
              <w:t>369.17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101高阳县人民代表大会常务委员会办公室</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369.17</w:t>
            </w:r>
          </w:p>
        </w:tc>
        <w:tc>
          <w:tcPr>
            <w:tcW w:w="1134" w:type="dxa"/>
            <w:vAlign w:val="center"/>
          </w:tcPr>
          <w:p>
            <w:pPr>
              <w:pStyle w:val="13"/>
            </w:pPr>
            <w:r>
              <w:t>369.17</w:t>
            </w:r>
          </w:p>
        </w:tc>
        <w:tc>
          <w:tcPr>
            <w:tcW w:w="1134" w:type="dxa"/>
            <w:vAlign w:val="center"/>
          </w:tcPr>
          <w:p>
            <w:pPr>
              <w:pStyle w:val="13"/>
            </w:pPr>
            <w:r>
              <w:t>369.17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261.24</w:t>
            </w:r>
          </w:p>
        </w:tc>
        <w:tc>
          <w:tcPr>
            <w:tcW w:w="1134" w:type="dxa"/>
            <w:vAlign w:val="center"/>
          </w:tcPr>
          <w:p>
            <w:pPr>
              <w:pStyle w:val="9"/>
            </w:pPr>
            <w:r>
              <w:t>261.24</w:t>
            </w:r>
          </w:p>
        </w:tc>
        <w:tc>
          <w:tcPr>
            <w:tcW w:w="1134" w:type="dxa"/>
            <w:vAlign w:val="center"/>
          </w:tcPr>
          <w:p>
            <w:pPr>
              <w:pStyle w:val="9"/>
            </w:pPr>
            <w:r>
              <w:t>261.24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20101</w:t>
            </w:r>
          </w:p>
        </w:tc>
        <w:tc>
          <w:tcPr>
            <w:tcW w:w="1559" w:type="dxa"/>
            <w:vAlign w:val="center"/>
          </w:tcPr>
          <w:p>
            <w:pPr>
              <w:pStyle w:val="10"/>
            </w:pPr>
            <w:r>
              <w:t>人大事务</w:t>
            </w:r>
          </w:p>
        </w:tc>
        <w:tc>
          <w:tcPr>
            <w:tcW w:w="1134" w:type="dxa"/>
            <w:vAlign w:val="center"/>
          </w:tcPr>
          <w:p>
            <w:pPr>
              <w:pStyle w:val="9"/>
            </w:pPr>
            <w:r>
              <w:t>261.24</w:t>
            </w:r>
          </w:p>
        </w:tc>
        <w:tc>
          <w:tcPr>
            <w:tcW w:w="1134" w:type="dxa"/>
            <w:vAlign w:val="center"/>
          </w:tcPr>
          <w:p>
            <w:pPr>
              <w:pStyle w:val="9"/>
            </w:pPr>
            <w:r>
              <w:t>261.24</w:t>
            </w:r>
          </w:p>
        </w:tc>
        <w:tc>
          <w:tcPr>
            <w:tcW w:w="1134" w:type="dxa"/>
            <w:vAlign w:val="center"/>
          </w:tcPr>
          <w:p>
            <w:pPr>
              <w:pStyle w:val="9"/>
            </w:pPr>
            <w:r>
              <w:t>261.24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2010101</w:t>
            </w:r>
          </w:p>
        </w:tc>
        <w:tc>
          <w:tcPr>
            <w:tcW w:w="1559" w:type="dxa"/>
            <w:vAlign w:val="center"/>
          </w:tcPr>
          <w:p>
            <w:pPr>
              <w:pStyle w:val="10"/>
            </w:pPr>
            <w:r>
              <w:t>行政运行</w:t>
            </w:r>
          </w:p>
        </w:tc>
        <w:tc>
          <w:tcPr>
            <w:tcW w:w="1134" w:type="dxa"/>
            <w:vAlign w:val="center"/>
          </w:tcPr>
          <w:p>
            <w:pPr>
              <w:pStyle w:val="9"/>
            </w:pPr>
            <w:r>
              <w:t>200.24</w:t>
            </w:r>
          </w:p>
        </w:tc>
        <w:tc>
          <w:tcPr>
            <w:tcW w:w="1134" w:type="dxa"/>
            <w:vAlign w:val="center"/>
          </w:tcPr>
          <w:p>
            <w:pPr>
              <w:pStyle w:val="9"/>
            </w:pPr>
            <w:r>
              <w:t>200.24</w:t>
            </w:r>
          </w:p>
        </w:tc>
        <w:tc>
          <w:tcPr>
            <w:tcW w:w="1134" w:type="dxa"/>
            <w:vAlign w:val="center"/>
          </w:tcPr>
          <w:p>
            <w:pPr>
              <w:pStyle w:val="9"/>
            </w:pPr>
            <w:r>
              <w:t>200.24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2010104</w:t>
            </w:r>
          </w:p>
        </w:tc>
        <w:tc>
          <w:tcPr>
            <w:tcW w:w="1559" w:type="dxa"/>
            <w:vAlign w:val="center"/>
          </w:tcPr>
          <w:p>
            <w:pPr>
              <w:pStyle w:val="10"/>
            </w:pPr>
            <w:r>
              <w:t>人大会议</w:t>
            </w:r>
          </w:p>
        </w:tc>
        <w:tc>
          <w:tcPr>
            <w:tcW w:w="1134" w:type="dxa"/>
            <w:vAlign w:val="center"/>
          </w:tcPr>
          <w:p>
            <w:pPr>
              <w:pStyle w:val="9"/>
            </w:pPr>
            <w:r>
              <w:t>36.00</w:t>
            </w:r>
          </w:p>
        </w:tc>
        <w:tc>
          <w:tcPr>
            <w:tcW w:w="1134" w:type="dxa"/>
            <w:vAlign w:val="center"/>
          </w:tcPr>
          <w:p>
            <w:pPr>
              <w:pStyle w:val="9"/>
            </w:pPr>
            <w:r>
              <w:t>36.00</w:t>
            </w:r>
          </w:p>
        </w:tc>
        <w:tc>
          <w:tcPr>
            <w:tcW w:w="1134" w:type="dxa"/>
            <w:vAlign w:val="center"/>
          </w:tcPr>
          <w:p>
            <w:pPr>
              <w:pStyle w:val="9"/>
            </w:pPr>
            <w:r>
              <w:t>36.00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2010106</w:t>
            </w:r>
          </w:p>
        </w:tc>
        <w:tc>
          <w:tcPr>
            <w:tcW w:w="1559" w:type="dxa"/>
            <w:vAlign w:val="center"/>
          </w:tcPr>
          <w:p>
            <w:pPr>
              <w:pStyle w:val="10"/>
            </w:pPr>
            <w:r>
              <w:t>人大监督</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2010108</w:t>
            </w:r>
          </w:p>
        </w:tc>
        <w:tc>
          <w:tcPr>
            <w:tcW w:w="1559" w:type="dxa"/>
            <w:vAlign w:val="center"/>
          </w:tcPr>
          <w:p>
            <w:pPr>
              <w:pStyle w:val="10"/>
            </w:pPr>
            <w:r>
              <w:t>代表工作</w:t>
            </w:r>
          </w:p>
        </w:tc>
        <w:tc>
          <w:tcPr>
            <w:tcW w:w="1134" w:type="dxa"/>
            <w:vAlign w:val="center"/>
          </w:tcPr>
          <w:p>
            <w:pPr>
              <w:pStyle w:val="9"/>
            </w:pPr>
            <w:r>
              <w:t>20.00</w:t>
            </w:r>
          </w:p>
        </w:tc>
        <w:tc>
          <w:tcPr>
            <w:tcW w:w="1134" w:type="dxa"/>
            <w:vAlign w:val="center"/>
          </w:tcPr>
          <w:p>
            <w:pPr>
              <w:pStyle w:val="9"/>
            </w:pPr>
            <w:r>
              <w:t>20.00</w:t>
            </w:r>
          </w:p>
        </w:tc>
        <w:tc>
          <w:tcPr>
            <w:tcW w:w="1134" w:type="dxa"/>
            <w:vAlign w:val="center"/>
          </w:tcPr>
          <w:p>
            <w:pPr>
              <w:pStyle w:val="9"/>
            </w:pPr>
            <w:r>
              <w:t>20.00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85.90</w:t>
            </w:r>
          </w:p>
        </w:tc>
        <w:tc>
          <w:tcPr>
            <w:tcW w:w="1134" w:type="dxa"/>
            <w:vAlign w:val="center"/>
          </w:tcPr>
          <w:p>
            <w:pPr>
              <w:pStyle w:val="9"/>
            </w:pPr>
            <w:r>
              <w:t>85.90</w:t>
            </w:r>
          </w:p>
        </w:tc>
        <w:tc>
          <w:tcPr>
            <w:tcW w:w="1134" w:type="dxa"/>
            <w:vAlign w:val="center"/>
          </w:tcPr>
          <w:p>
            <w:pPr>
              <w:pStyle w:val="9"/>
            </w:pPr>
            <w:r>
              <w:t>85.90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85.30</w:t>
            </w:r>
          </w:p>
        </w:tc>
        <w:tc>
          <w:tcPr>
            <w:tcW w:w="1134" w:type="dxa"/>
            <w:vAlign w:val="center"/>
          </w:tcPr>
          <w:p>
            <w:pPr>
              <w:pStyle w:val="9"/>
            </w:pPr>
            <w:r>
              <w:t>85.30</w:t>
            </w:r>
          </w:p>
        </w:tc>
        <w:tc>
          <w:tcPr>
            <w:tcW w:w="1134" w:type="dxa"/>
            <w:vAlign w:val="center"/>
          </w:tcPr>
          <w:p>
            <w:pPr>
              <w:pStyle w:val="9"/>
            </w:pPr>
            <w:r>
              <w:t>85.30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9"/>
            </w:pPr>
            <w:r>
              <w:t>53.61</w:t>
            </w:r>
          </w:p>
        </w:tc>
        <w:tc>
          <w:tcPr>
            <w:tcW w:w="1134" w:type="dxa"/>
            <w:vAlign w:val="center"/>
          </w:tcPr>
          <w:p>
            <w:pPr>
              <w:pStyle w:val="9"/>
            </w:pPr>
            <w:r>
              <w:t>53.61</w:t>
            </w:r>
          </w:p>
        </w:tc>
        <w:tc>
          <w:tcPr>
            <w:tcW w:w="1134" w:type="dxa"/>
            <w:vAlign w:val="center"/>
          </w:tcPr>
          <w:p>
            <w:pPr>
              <w:pStyle w:val="9"/>
            </w:pPr>
            <w:r>
              <w:t>53.61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21.13</w:t>
            </w:r>
          </w:p>
        </w:tc>
        <w:tc>
          <w:tcPr>
            <w:tcW w:w="1134" w:type="dxa"/>
            <w:vAlign w:val="center"/>
          </w:tcPr>
          <w:p>
            <w:pPr>
              <w:pStyle w:val="9"/>
            </w:pPr>
            <w:r>
              <w:t>21.13</w:t>
            </w:r>
          </w:p>
        </w:tc>
        <w:tc>
          <w:tcPr>
            <w:tcW w:w="1134" w:type="dxa"/>
            <w:vAlign w:val="center"/>
          </w:tcPr>
          <w:p>
            <w:pPr>
              <w:pStyle w:val="9"/>
            </w:pPr>
            <w:r>
              <w:t>21.13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10.56</w:t>
            </w:r>
          </w:p>
        </w:tc>
        <w:tc>
          <w:tcPr>
            <w:tcW w:w="1134" w:type="dxa"/>
            <w:vAlign w:val="center"/>
          </w:tcPr>
          <w:p>
            <w:pPr>
              <w:pStyle w:val="9"/>
            </w:pPr>
            <w:r>
              <w:t>10.56</w:t>
            </w:r>
          </w:p>
        </w:tc>
        <w:tc>
          <w:tcPr>
            <w:tcW w:w="1134" w:type="dxa"/>
            <w:vAlign w:val="center"/>
          </w:tcPr>
          <w:p>
            <w:pPr>
              <w:pStyle w:val="9"/>
            </w:pPr>
            <w:r>
              <w:t>10.56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20827</w:t>
            </w:r>
          </w:p>
        </w:tc>
        <w:tc>
          <w:tcPr>
            <w:tcW w:w="1559" w:type="dxa"/>
            <w:vAlign w:val="center"/>
          </w:tcPr>
          <w:p>
            <w:pPr>
              <w:pStyle w:val="10"/>
            </w:pPr>
            <w:r>
              <w:t>财政对其他社会保险基金的补助</w:t>
            </w:r>
          </w:p>
        </w:tc>
        <w:tc>
          <w:tcPr>
            <w:tcW w:w="1134" w:type="dxa"/>
            <w:vAlign w:val="center"/>
          </w:tcPr>
          <w:p>
            <w:pPr>
              <w:pStyle w:val="9"/>
            </w:pPr>
            <w:r>
              <w:t>0.60</w:t>
            </w:r>
          </w:p>
        </w:tc>
        <w:tc>
          <w:tcPr>
            <w:tcW w:w="1134" w:type="dxa"/>
            <w:vAlign w:val="center"/>
          </w:tcPr>
          <w:p>
            <w:pPr>
              <w:pStyle w:val="9"/>
            </w:pPr>
            <w:r>
              <w:t>0.60</w:t>
            </w:r>
          </w:p>
        </w:tc>
        <w:tc>
          <w:tcPr>
            <w:tcW w:w="1134" w:type="dxa"/>
            <w:vAlign w:val="center"/>
          </w:tcPr>
          <w:p>
            <w:pPr>
              <w:pStyle w:val="9"/>
            </w:pPr>
            <w:r>
              <w:t>0.60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2082702</w:t>
            </w:r>
          </w:p>
        </w:tc>
        <w:tc>
          <w:tcPr>
            <w:tcW w:w="1559" w:type="dxa"/>
            <w:vAlign w:val="center"/>
          </w:tcPr>
          <w:p>
            <w:pPr>
              <w:pStyle w:val="10"/>
            </w:pPr>
            <w:r>
              <w:t>财政对工伤保险基金的补助</w:t>
            </w:r>
          </w:p>
        </w:tc>
        <w:tc>
          <w:tcPr>
            <w:tcW w:w="1134" w:type="dxa"/>
            <w:vAlign w:val="center"/>
          </w:tcPr>
          <w:p>
            <w:pPr>
              <w:pStyle w:val="9"/>
            </w:pPr>
            <w:r>
              <w:t>0.60</w:t>
            </w:r>
          </w:p>
        </w:tc>
        <w:tc>
          <w:tcPr>
            <w:tcW w:w="1134" w:type="dxa"/>
            <w:vAlign w:val="center"/>
          </w:tcPr>
          <w:p>
            <w:pPr>
              <w:pStyle w:val="9"/>
            </w:pPr>
            <w:r>
              <w:t>0.60</w:t>
            </w:r>
          </w:p>
        </w:tc>
        <w:tc>
          <w:tcPr>
            <w:tcW w:w="1134" w:type="dxa"/>
            <w:vAlign w:val="center"/>
          </w:tcPr>
          <w:p>
            <w:pPr>
              <w:pStyle w:val="9"/>
            </w:pPr>
            <w:r>
              <w:t>0.60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8.35</w:t>
            </w:r>
          </w:p>
        </w:tc>
        <w:tc>
          <w:tcPr>
            <w:tcW w:w="1134" w:type="dxa"/>
            <w:vAlign w:val="center"/>
          </w:tcPr>
          <w:p>
            <w:pPr>
              <w:pStyle w:val="9"/>
            </w:pPr>
            <w:r>
              <w:t>8.35</w:t>
            </w:r>
          </w:p>
        </w:tc>
        <w:tc>
          <w:tcPr>
            <w:tcW w:w="1134" w:type="dxa"/>
            <w:vAlign w:val="center"/>
          </w:tcPr>
          <w:p>
            <w:pPr>
              <w:pStyle w:val="9"/>
            </w:pPr>
            <w:r>
              <w:t>8.35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8.35</w:t>
            </w:r>
          </w:p>
        </w:tc>
        <w:tc>
          <w:tcPr>
            <w:tcW w:w="1134" w:type="dxa"/>
            <w:vAlign w:val="center"/>
          </w:tcPr>
          <w:p>
            <w:pPr>
              <w:pStyle w:val="9"/>
            </w:pPr>
            <w:r>
              <w:t>8.35</w:t>
            </w:r>
          </w:p>
        </w:tc>
        <w:tc>
          <w:tcPr>
            <w:tcW w:w="1134" w:type="dxa"/>
            <w:vAlign w:val="center"/>
          </w:tcPr>
          <w:p>
            <w:pPr>
              <w:pStyle w:val="9"/>
            </w:pPr>
            <w:r>
              <w:t>8.35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8.35</w:t>
            </w:r>
          </w:p>
        </w:tc>
        <w:tc>
          <w:tcPr>
            <w:tcW w:w="1134" w:type="dxa"/>
            <w:vAlign w:val="center"/>
          </w:tcPr>
          <w:p>
            <w:pPr>
              <w:pStyle w:val="9"/>
            </w:pPr>
            <w:r>
              <w:t>8.35</w:t>
            </w:r>
          </w:p>
        </w:tc>
        <w:tc>
          <w:tcPr>
            <w:tcW w:w="1134" w:type="dxa"/>
            <w:vAlign w:val="center"/>
          </w:tcPr>
          <w:p>
            <w:pPr>
              <w:pStyle w:val="9"/>
            </w:pPr>
            <w:r>
              <w:t>8.35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13.68</w:t>
            </w:r>
          </w:p>
        </w:tc>
        <w:tc>
          <w:tcPr>
            <w:tcW w:w="1134" w:type="dxa"/>
            <w:vAlign w:val="center"/>
          </w:tcPr>
          <w:p>
            <w:pPr>
              <w:pStyle w:val="9"/>
            </w:pPr>
            <w:r>
              <w:t>13.68</w:t>
            </w:r>
          </w:p>
        </w:tc>
        <w:tc>
          <w:tcPr>
            <w:tcW w:w="1134" w:type="dxa"/>
            <w:vAlign w:val="center"/>
          </w:tcPr>
          <w:p>
            <w:pPr>
              <w:pStyle w:val="9"/>
            </w:pPr>
            <w:r>
              <w:t>13.68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13.68</w:t>
            </w:r>
          </w:p>
        </w:tc>
        <w:tc>
          <w:tcPr>
            <w:tcW w:w="1134" w:type="dxa"/>
            <w:vAlign w:val="center"/>
          </w:tcPr>
          <w:p>
            <w:pPr>
              <w:pStyle w:val="9"/>
            </w:pPr>
            <w:r>
              <w:t>13.68</w:t>
            </w:r>
          </w:p>
        </w:tc>
        <w:tc>
          <w:tcPr>
            <w:tcW w:w="1134" w:type="dxa"/>
            <w:vAlign w:val="center"/>
          </w:tcPr>
          <w:p>
            <w:pPr>
              <w:pStyle w:val="9"/>
            </w:pPr>
            <w:r>
              <w:t>13.68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13.68</w:t>
            </w:r>
          </w:p>
        </w:tc>
        <w:tc>
          <w:tcPr>
            <w:tcW w:w="1134" w:type="dxa"/>
            <w:vAlign w:val="center"/>
          </w:tcPr>
          <w:p>
            <w:pPr>
              <w:pStyle w:val="9"/>
            </w:pPr>
            <w:r>
              <w:t>13.68</w:t>
            </w:r>
          </w:p>
        </w:tc>
        <w:tc>
          <w:tcPr>
            <w:tcW w:w="1134" w:type="dxa"/>
            <w:vAlign w:val="center"/>
          </w:tcPr>
          <w:p>
            <w:pPr>
              <w:pStyle w:val="9"/>
            </w:pPr>
            <w:r>
              <w:t>13.68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101高阳县人民代表大会常务委员会办公室</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369.17</w:t>
            </w:r>
          </w:p>
        </w:tc>
        <w:tc>
          <w:tcPr>
            <w:tcW w:w="1361" w:type="dxa"/>
            <w:vAlign w:val="center"/>
          </w:tcPr>
          <w:p>
            <w:pPr>
              <w:pStyle w:val="13"/>
            </w:pPr>
            <w:r>
              <w:t>308.17</w:t>
            </w:r>
          </w:p>
        </w:tc>
        <w:tc>
          <w:tcPr>
            <w:tcW w:w="1361" w:type="dxa"/>
            <w:vAlign w:val="center"/>
          </w:tcPr>
          <w:p>
            <w:pPr>
              <w:pStyle w:val="13"/>
            </w:pPr>
            <w:r>
              <w:t>61.00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261.24</w:t>
            </w:r>
          </w:p>
        </w:tc>
        <w:tc>
          <w:tcPr>
            <w:tcW w:w="1361" w:type="dxa"/>
            <w:vAlign w:val="center"/>
          </w:tcPr>
          <w:p>
            <w:pPr>
              <w:pStyle w:val="9"/>
            </w:pPr>
            <w:r>
              <w:t>200.24</w:t>
            </w:r>
          </w:p>
        </w:tc>
        <w:tc>
          <w:tcPr>
            <w:tcW w:w="1361" w:type="dxa"/>
            <w:vAlign w:val="center"/>
          </w:tcPr>
          <w:p>
            <w:pPr>
              <w:pStyle w:val="9"/>
            </w:pPr>
            <w:r>
              <w:t>61.00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20101</w:t>
            </w:r>
          </w:p>
        </w:tc>
        <w:tc>
          <w:tcPr>
            <w:tcW w:w="4535" w:type="dxa"/>
            <w:vAlign w:val="center"/>
          </w:tcPr>
          <w:p>
            <w:pPr>
              <w:pStyle w:val="10"/>
            </w:pPr>
            <w:r>
              <w:t>人大事务</w:t>
            </w:r>
          </w:p>
        </w:tc>
        <w:tc>
          <w:tcPr>
            <w:tcW w:w="1361" w:type="dxa"/>
            <w:vAlign w:val="center"/>
          </w:tcPr>
          <w:p>
            <w:pPr>
              <w:pStyle w:val="9"/>
            </w:pPr>
            <w:r>
              <w:t>261.24</w:t>
            </w:r>
          </w:p>
        </w:tc>
        <w:tc>
          <w:tcPr>
            <w:tcW w:w="1361" w:type="dxa"/>
            <w:vAlign w:val="center"/>
          </w:tcPr>
          <w:p>
            <w:pPr>
              <w:pStyle w:val="9"/>
            </w:pPr>
            <w:r>
              <w:t>200.24</w:t>
            </w:r>
          </w:p>
        </w:tc>
        <w:tc>
          <w:tcPr>
            <w:tcW w:w="1361" w:type="dxa"/>
            <w:vAlign w:val="center"/>
          </w:tcPr>
          <w:p>
            <w:pPr>
              <w:pStyle w:val="9"/>
            </w:pPr>
            <w:r>
              <w:t>61.00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2010101</w:t>
            </w:r>
          </w:p>
        </w:tc>
        <w:tc>
          <w:tcPr>
            <w:tcW w:w="4535" w:type="dxa"/>
            <w:vAlign w:val="center"/>
          </w:tcPr>
          <w:p>
            <w:pPr>
              <w:pStyle w:val="10"/>
            </w:pPr>
            <w:r>
              <w:t>行政运行</w:t>
            </w:r>
          </w:p>
        </w:tc>
        <w:tc>
          <w:tcPr>
            <w:tcW w:w="1361" w:type="dxa"/>
            <w:vAlign w:val="center"/>
          </w:tcPr>
          <w:p>
            <w:pPr>
              <w:pStyle w:val="9"/>
            </w:pPr>
            <w:r>
              <w:t>200.24</w:t>
            </w:r>
          </w:p>
        </w:tc>
        <w:tc>
          <w:tcPr>
            <w:tcW w:w="1361" w:type="dxa"/>
            <w:vAlign w:val="center"/>
          </w:tcPr>
          <w:p>
            <w:pPr>
              <w:pStyle w:val="9"/>
            </w:pPr>
            <w:r>
              <w:t>200.24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2010104</w:t>
            </w:r>
          </w:p>
        </w:tc>
        <w:tc>
          <w:tcPr>
            <w:tcW w:w="4535" w:type="dxa"/>
            <w:vAlign w:val="center"/>
          </w:tcPr>
          <w:p>
            <w:pPr>
              <w:pStyle w:val="10"/>
            </w:pPr>
            <w:r>
              <w:t>人大会议</w:t>
            </w:r>
          </w:p>
        </w:tc>
        <w:tc>
          <w:tcPr>
            <w:tcW w:w="1361" w:type="dxa"/>
            <w:vAlign w:val="center"/>
          </w:tcPr>
          <w:p>
            <w:pPr>
              <w:pStyle w:val="9"/>
            </w:pPr>
            <w:r>
              <w:t>36.00</w:t>
            </w:r>
          </w:p>
        </w:tc>
        <w:tc>
          <w:tcPr>
            <w:tcW w:w="1361" w:type="dxa"/>
            <w:vAlign w:val="center"/>
          </w:tcPr>
          <w:p>
            <w:pPr>
              <w:pStyle w:val="9"/>
            </w:pPr>
          </w:p>
        </w:tc>
        <w:tc>
          <w:tcPr>
            <w:tcW w:w="1361" w:type="dxa"/>
            <w:vAlign w:val="center"/>
          </w:tcPr>
          <w:p>
            <w:pPr>
              <w:pStyle w:val="9"/>
            </w:pPr>
            <w:r>
              <w:t>36.00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2010106</w:t>
            </w:r>
          </w:p>
        </w:tc>
        <w:tc>
          <w:tcPr>
            <w:tcW w:w="4535" w:type="dxa"/>
            <w:vAlign w:val="center"/>
          </w:tcPr>
          <w:p>
            <w:pPr>
              <w:pStyle w:val="10"/>
            </w:pPr>
            <w:r>
              <w:t>人大监督</w:t>
            </w: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2010108</w:t>
            </w:r>
          </w:p>
        </w:tc>
        <w:tc>
          <w:tcPr>
            <w:tcW w:w="4535" w:type="dxa"/>
            <w:vAlign w:val="center"/>
          </w:tcPr>
          <w:p>
            <w:pPr>
              <w:pStyle w:val="10"/>
            </w:pPr>
            <w:r>
              <w:t>代表工作</w:t>
            </w:r>
          </w:p>
        </w:tc>
        <w:tc>
          <w:tcPr>
            <w:tcW w:w="1361" w:type="dxa"/>
            <w:vAlign w:val="center"/>
          </w:tcPr>
          <w:p>
            <w:pPr>
              <w:pStyle w:val="9"/>
            </w:pPr>
            <w:r>
              <w:t>20.00</w:t>
            </w:r>
          </w:p>
        </w:tc>
        <w:tc>
          <w:tcPr>
            <w:tcW w:w="1361" w:type="dxa"/>
            <w:vAlign w:val="center"/>
          </w:tcPr>
          <w:p>
            <w:pPr>
              <w:pStyle w:val="9"/>
            </w:pPr>
          </w:p>
        </w:tc>
        <w:tc>
          <w:tcPr>
            <w:tcW w:w="1361" w:type="dxa"/>
            <w:vAlign w:val="center"/>
          </w:tcPr>
          <w:p>
            <w:pPr>
              <w:pStyle w:val="9"/>
            </w:pPr>
            <w:r>
              <w:t>20.00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85.90</w:t>
            </w:r>
          </w:p>
        </w:tc>
        <w:tc>
          <w:tcPr>
            <w:tcW w:w="1361" w:type="dxa"/>
            <w:vAlign w:val="center"/>
          </w:tcPr>
          <w:p>
            <w:pPr>
              <w:pStyle w:val="9"/>
            </w:pPr>
            <w:r>
              <w:t>85.90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85.30</w:t>
            </w:r>
          </w:p>
        </w:tc>
        <w:tc>
          <w:tcPr>
            <w:tcW w:w="1361" w:type="dxa"/>
            <w:vAlign w:val="center"/>
          </w:tcPr>
          <w:p>
            <w:pPr>
              <w:pStyle w:val="9"/>
            </w:pPr>
            <w:r>
              <w:t>85.30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9"/>
            </w:pPr>
            <w:r>
              <w:t>53.61</w:t>
            </w:r>
          </w:p>
        </w:tc>
        <w:tc>
          <w:tcPr>
            <w:tcW w:w="1361" w:type="dxa"/>
            <w:vAlign w:val="center"/>
          </w:tcPr>
          <w:p>
            <w:pPr>
              <w:pStyle w:val="9"/>
            </w:pPr>
            <w:r>
              <w:t>53.61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21.13</w:t>
            </w:r>
          </w:p>
        </w:tc>
        <w:tc>
          <w:tcPr>
            <w:tcW w:w="1361" w:type="dxa"/>
            <w:vAlign w:val="center"/>
          </w:tcPr>
          <w:p>
            <w:pPr>
              <w:pStyle w:val="9"/>
            </w:pPr>
            <w:r>
              <w:t>21.13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9"/>
            </w:pPr>
            <w:r>
              <w:t>10.56</w:t>
            </w:r>
          </w:p>
        </w:tc>
        <w:tc>
          <w:tcPr>
            <w:tcW w:w="1361" w:type="dxa"/>
            <w:vAlign w:val="center"/>
          </w:tcPr>
          <w:p>
            <w:pPr>
              <w:pStyle w:val="9"/>
            </w:pPr>
            <w:r>
              <w:t>10.56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20827</w:t>
            </w:r>
          </w:p>
        </w:tc>
        <w:tc>
          <w:tcPr>
            <w:tcW w:w="4535" w:type="dxa"/>
            <w:vAlign w:val="center"/>
          </w:tcPr>
          <w:p>
            <w:pPr>
              <w:pStyle w:val="10"/>
            </w:pPr>
            <w:r>
              <w:t>财政对其他社会保险基金的补助</w:t>
            </w:r>
          </w:p>
        </w:tc>
        <w:tc>
          <w:tcPr>
            <w:tcW w:w="1361" w:type="dxa"/>
            <w:vAlign w:val="center"/>
          </w:tcPr>
          <w:p>
            <w:pPr>
              <w:pStyle w:val="9"/>
            </w:pPr>
            <w:r>
              <w:t>0.60</w:t>
            </w:r>
          </w:p>
        </w:tc>
        <w:tc>
          <w:tcPr>
            <w:tcW w:w="1361" w:type="dxa"/>
            <w:vAlign w:val="center"/>
          </w:tcPr>
          <w:p>
            <w:pPr>
              <w:pStyle w:val="9"/>
            </w:pPr>
            <w:r>
              <w:t>0.60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2082702</w:t>
            </w:r>
          </w:p>
        </w:tc>
        <w:tc>
          <w:tcPr>
            <w:tcW w:w="4535" w:type="dxa"/>
            <w:vAlign w:val="center"/>
          </w:tcPr>
          <w:p>
            <w:pPr>
              <w:pStyle w:val="10"/>
            </w:pPr>
            <w:r>
              <w:t>财政对工伤保险基金的补助</w:t>
            </w:r>
          </w:p>
        </w:tc>
        <w:tc>
          <w:tcPr>
            <w:tcW w:w="1361" w:type="dxa"/>
            <w:vAlign w:val="center"/>
          </w:tcPr>
          <w:p>
            <w:pPr>
              <w:pStyle w:val="9"/>
            </w:pPr>
            <w:r>
              <w:t>0.60</w:t>
            </w:r>
          </w:p>
        </w:tc>
        <w:tc>
          <w:tcPr>
            <w:tcW w:w="1361" w:type="dxa"/>
            <w:vAlign w:val="center"/>
          </w:tcPr>
          <w:p>
            <w:pPr>
              <w:pStyle w:val="9"/>
            </w:pPr>
            <w:r>
              <w:t>0.60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8.35</w:t>
            </w:r>
          </w:p>
        </w:tc>
        <w:tc>
          <w:tcPr>
            <w:tcW w:w="1361" w:type="dxa"/>
            <w:vAlign w:val="center"/>
          </w:tcPr>
          <w:p>
            <w:pPr>
              <w:pStyle w:val="9"/>
            </w:pPr>
            <w:r>
              <w:t>8.35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8.35</w:t>
            </w:r>
          </w:p>
        </w:tc>
        <w:tc>
          <w:tcPr>
            <w:tcW w:w="1361" w:type="dxa"/>
            <w:vAlign w:val="center"/>
          </w:tcPr>
          <w:p>
            <w:pPr>
              <w:pStyle w:val="9"/>
            </w:pPr>
            <w:r>
              <w:t>8.35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8.35</w:t>
            </w:r>
          </w:p>
        </w:tc>
        <w:tc>
          <w:tcPr>
            <w:tcW w:w="1361" w:type="dxa"/>
            <w:vAlign w:val="center"/>
          </w:tcPr>
          <w:p>
            <w:pPr>
              <w:pStyle w:val="9"/>
            </w:pPr>
            <w:r>
              <w:t>8.35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13.68</w:t>
            </w:r>
          </w:p>
        </w:tc>
        <w:tc>
          <w:tcPr>
            <w:tcW w:w="1361" w:type="dxa"/>
            <w:vAlign w:val="center"/>
          </w:tcPr>
          <w:p>
            <w:pPr>
              <w:pStyle w:val="9"/>
            </w:pPr>
            <w:r>
              <w:t>13.68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13.68</w:t>
            </w:r>
          </w:p>
        </w:tc>
        <w:tc>
          <w:tcPr>
            <w:tcW w:w="1361" w:type="dxa"/>
            <w:vAlign w:val="center"/>
          </w:tcPr>
          <w:p>
            <w:pPr>
              <w:pStyle w:val="9"/>
            </w:pPr>
            <w:r>
              <w:t>13.68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13.68</w:t>
            </w:r>
          </w:p>
        </w:tc>
        <w:tc>
          <w:tcPr>
            <w:tcW w:w="1361" w:type="dxa"/>
            <w:vAlign w:val="center"/>
          </w:tcPr>
          <w:p>
            <w:pPr>
              <w:pStyle w:val="9"/>
            </w:pPr>
            <w:r>
              <w:t>13.68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101高阳县人民代表大会常务委员会办公室</w:t>
            </w:r>
          </w:p>
        </w:tc>
        <w:tc>
          <w:tcPr>
            <w:tcW w:w="3402" w:type="dxa"/>
            <w:tcBorders>
              <w:top w:val="single" w:color="FFFFFF" w:sz="6" w:space="0"/>
              <w:left w:val="single" w:color="FFFFFF" w:sz="6" w:space="0"/>
              <w:right w:val="single" w:color="FFFFFF" w:sz="6" w:space="0"/>
            </w:tcBorders>
            <w:vAlign w:val="center"/>
          </w:tcPr>
          <w:p>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369.17</w:t>
            </w:r>
          </w:p>
        </w:tc>
        <w:tc>
          <w:tcPr>
            <w:tcW w:w="3402" w:type="dxa"/>
            <w:vAlign w:val="center"/>
          </w:tcPr>
          <w:p>
            <w:pPr>
              <w:pStyle w:val="10"/>
            </w:pPr>
            <w:r>
              <w:t>一、一般公共服务支出</w:t>
            </w:r>
          </w:p>
        </w:tc>
        <w:tc>
          <w:tcPr>
            <w:tcW w:w="1474" w:type="dxa"/>
            <w:vAlign w:val="center"/>
          </w:tcPr>
          <w:p>
            <w:pPr>
              <w:pStyle w:val="9"/>
            </w:pPr>
            <w:r>
              <w:t>261.24</w:t>
            </w:r>
          </w:p>
        </w:tc>
        <w:tc>
          <w:tcPr>
            <w:tcW w:w="1474" w:type="dxa"/>
            <w:vAlign w:val="center"/>
          </w:tcPr>
          <w:p>
            <w:pPr>
              <w:pStyle w:val="9"/>
            </w:pPr>
            <w:r>
              <w:t>261.24</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85.90</w:t>
            </w:r>
          </w:p>
        </w:tc>
        <w:tc>
          <w:tcPr>
            <w:tcW w:w="1474" w:type="dxa"/>
            <w:vAlign w:val="center"/>
          </w:tcPr>
          <w:p>
            <w:pPr>
              <w:pStyle w:val="9"/>
            </w:pPr>
            <w:r>
              <w:t>85.90</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8.35</w:t>
            </w:r>
          </w:p>
        </w:tc>
        <w:tc>
          <w:tcPr>
            <w:tcW w:w="1474" w:type="dxa"/>
            <w:vAlign w:val="center"/>
          </w:tcPr>
          <w:p>
            <w:pPr>
              <w:pStyle w:val="9"/>
            </w:pPr>
            <w:r>
              <w:t>8.35</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13.68</w:t>
            </w:r>
          </w:p>
        </w:tc>
        <w:tc>
          <w:tcPr>
            <w:tcW w:w="1474" w:type="dxa"/>
            <w:vAlign w:val="center"/>
          </w:tcPr>
          <w:p>
            <w:pPr>
              <w:pStyle w:val="9"/>
            </w:pPr>
            <w:r>
              <w:t>13.68</w:t>
            </w: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369.17</w:t>
            </w:r>
          </w:p>
        </w:tc>
        <w:tc>
          <w:tcPr>
            <w:tcW w:w="3402" w:type="dxa"/>
            <w:vAlign w:val="center"/>
          </w:tcPr>
          <w:p>
            <w:pPr>
              <w:pStyle w:val="12"/>
            </w:pPr>
            <w:r>
              <w:t>本年支出合计</w:t>
            </w:r>
          </w:p>
        </w:tc>
        <w:tc>
          <w:tcPr>
            <w:tcW w:w="1474" w:type="dxa"/>
            <w:vAlign w:val="center"/>
          </w:tcPr>
          <w:p>
            <w:pPr>
              <w:pStyle w:val="13"/>
            </w:pPr>
            <w:r>
              <w:t>369.17</w:t>
            </w:r>
          </w:p>
        </w:tc>
        <w:tc>
          <w:tcPr>
            <w:tcW w:w="1474" w:type="dxa"/>
            <w:vAlign w:val="center"/>
          </w:tcPr>
          <w:p>
            <w:pPr>
              <w:pStyle w:val="13"/>
            </w:pPr>
            <w:r>
              <w:t>369.17</w:t>
            </w:r>
          </w:p>
        </w:tc>
        <w:tc>
          <w:tcPr>
            <w:tcW w:w="1474" w:type="dxa"/>
            <w:vAlign w:val="center"/>
          </w:tcPr>
          <w:p>
            <w:pPr>
              <w:pStyle w:val="13"/>
            </w:pPr>
          </w:p>
        </w:tc>
        <w:tc>
          <w:tcPr>
            <w:tcW w:w="1474"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369.17</w:t>
            </w:r>
          </w:p>
        </w:tc>
        <w:tc>
          <w:tcPr>
            <w:tcW w:w="3402" w:type="dxa"/>
            <w:vAlign w:val="center"/>
          </w:tcPr>
          <w:p>
            <w:pPr>
              <w:pStyle w:val="12"/>
            </w:pPr>
            <w:r>
              <w:t>支出总计</w:t>
            </w:r>
          </w:p>
        </w:tc>
        <w:tc>
          <w:tcPr>
            <w:tcW w:w="1474" w:type="dxa"/>
            <w:vAlign w:val="center"/>
          </w:tcPr>
          <w:p>
            <w:pPr>
              <w:pStyle w:val="13"/>
            </w:pPr>
            <w:r>
              <w:t>369.17</w:t>
            </w:r>
          </w:p>
        </w:tc>
        <w:tc>
          <w:tcPr>
            <w:tcW w:w="1474" w:type="dxa"/>
            <w:vAlign w:val="center"/>
          </w:tcPr>
          <w:p>
            <w:pPr>
              <w:pStyle w:val="13"/>
            </w:pPr>
            <w:r>
              <w:t>369.17</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101高阳县人民代表大会常务委员会办公室</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369.17</w:t>
            </w:r>
          </w:p>
        </w:tc>
        <w:tc>
          <w:tcPr>
            <w:tcW w:w="2551" w:type="dxa"/>
            <w:vAlign w:val="center"/>
          </w:tcPr>
          <w:p>
            <w:pPr>
              <w:pStyle w:val="13"/>
            </w:pPr>
            <w:r>
              <w:t>308.17</w:t>
            </w:r>
          </w:p>
        </w:tc>
        <w:tc>
          <w:tcPr>
            <w:tcW w:w="2551" w:type="dxa"/>
            <w:vAlign w:val="center"/>
          </w:tcPr>
          <w:p>
            <w:pPr>
              <w:pStyle w:val="13"/>
            </w:pPr>
            <w:r>
              <w:t>61.00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261.24</w:t>
            </w:r>
          </w:p>
        </w:tc>
        <w:tc>
          <w:tcPr>
            <w:tcW w:w="2551" w:type="dxa"/>
            <w:vAlign w:val="center"/>
          </w:tcPr>
          <w:p>
            <w:pPr>
              <w:pStyle w:val="9"/>
            </w:pPr>
            <w:r>
              <w:t>200.24</w:t>
            </w:r>
          </w:p>
        </w:tc>
        <w:tc>
          <w:tcPr>
            <w:tcW w:w="2551" w:type="dxa"/>
            <w:vAlign w:val="center"/>
          </w:tcPr>
          <w:p>
            <w:pPr>
              <w:pStyle w:val="9"/>
            </w:pPr>
            <w:r>
              <w:t>61.00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20101</w:t>
            </w:r>
          </w:p>
        </w:tc>
        <w:tc>
          <w:tcPr>
            <w:tcW w:w="4535" w:type="dxa"/>
            <w:vAlign w:val="center"/>
          </w:tcPr>
          <w:p>
            <w:pPr>
              <w:pStyle w:val="10"/>
            </w:pPr>
            <w:r>
              <w:t>人大事务</w:t>
            </w:r>
          </w:p>
        </w:tc>
        <w:tc>
          <w:tcPr>
            <w:tcW w:w="2551" w:type="dxa"/>
            <w:vAlign w:val="center"/>
          </w:tcPr>
          <w:p>
            <w:pPr>
              <w:pStyle w:val="9"/>
            </w:pPr>
            <w:r>
              <w:t>261.24</w:t>
            </w:r>
          </w:p>
        </w:tc>
        <w:tc>
          <w:tcPr>
            <w:tcW w:w="2551" w:type="dxa"/>
            <w:vAlign w:val="center"/>
          </w:tcPr>
          <w:p>
            <w:pPr>
              <w:pStyle w:val="9"/>
            </w:pPr>
            <w:r>
              <w:t>200.24</w:t>
            </w:r>
          </w:p>
        </w:tc>
        <w:tc>
          <w:tcPr>
            <w:tcW w:w="2551" w:type="dxa"/>
            <w:vAlign w:val="center"/>
          </w:tcPr>
          <w:p>
            <w:pPr>
              <w:pStyle w:val="9"/>
            </w:pPr>
            <w:r>
              <w:t>61.00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2010101</w:t>
            </w:r>
          </w:p>
        </w:tc>
        <w:tc>
          <w:tcPr>
            <w:tcW w:w="4535" w:type="dxa"/>
            <w:vAlign w:val="center"/>
          </w:tcPr>
          <w:p>
            <w:pPr>
              <w:pStyle w:val="10"/>
            </w:pPr>
            <w:r>
              <w:t>行政运行</w:t>
            </w:r>
          </w:p>
        </w:tc>
        <w:tc>
          <w:tcPr>
            <w:tcW w:w="2551" w:type="dxa"/>
            <w:vAlign w:val="center"/>
          </w:tcPr>
          <w:p>
            <w:pPr>
              <w:pStyle w:val="9"/>
            </w:pPr>
            <w:r>
              <w:t>200.24</w:t>
            </w:r>
          </w:p>
        </w:tc>
        <w:tc>
          <w:tcPr>
            <w:tcW w:w="2551" w:type="dxa"/>
            <w:vAlign w:val="center"/>
          </w:tcPr>
          <w:p>
            <w:pPr>
              <w:pStyle w:val="9"/>
            </w:pPr>
            <w:r>
              <w:t>200.24</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2010104</w:t>
            </w:r>
          </w:p>
        </w:tc>
        <w:tc>
          <w:tcPr>
            <w:tcW w:w="4535" w:type="dxa"/>
            <w:vAlign w:val="center"/>
          </w:tcPr>
          <w:p>
            <w:pPr>
              <w:pStyle w:val="10"/>
            </w:pPr>
            <w:r>
              <w:t>人大会议</w:t>
            </w:r>
          </w:p>
        </w:tc>
        <w:tc>
          <w:tcPr>
            <w:tcW w:w="2551" w:type="dxa"/>
            <w:vAlign w:val="center"/>
          </w:tcPr>
          <w:p>
            <w:pPr>
              <w:pStyle w:val="9"/>
            </w:pPr>
            <w:r>
              <w:t>36.00</w:t>
            </w:r>
          </w:p>
        </w:tc>
        <w:tc>
          <w:tcPr>
            <w:tcW w:w="2551" w:type="dxa"/>
            <w:vAlign w:val="center"/>
          </w:tcPr>
          <w:p>
            <w:pPr>
              <w:pStyle w:val="9"/>
            </w:pPr>
          </w:p>
        </w:tc>
        <w:tc>
          <w:tcPr>
            <w:tcW w:w="2551" w:type="dxa"/>
            <w:vAlign w:val="center"/>
          </w:tcPr>
          <w:p>
            <w:pPr>
              <w:pStyle w:val="9"/>
            </w:pPr>
            <w:r>
              <w:t>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2010106</w:t>
            </w:r>
          </w:p>
        </w:tc>
        <w:tc>
          <w:tcPr>
            <w:tcW w:w="4535" w:type="dxa"/>
            <w:vAlign w:val="center"/>
          </w:tcPr>
          <w:p>
            <w:pPr>
              <w:pStyle w:val="10"/>
            </w:pPr>
            <w:r>
              <w:t>人大监督</w:t>
            </w:r>
          </w:p>
        </w:tc>
        <w:tc>
          <w:tcPr>
            <w:tcW w:w="2551" w:type="dxa"/>
            <w:vAlign w:val="center"/>
          </w:tcPr>
          <w:p>
            <w:pPr>
              <w:pStyle w:val="9"/>
            </w:pPr>
            <w:r>
              <w:t>5.00</w:t>
            </w:r>
          </w:p>
        </w:tc>
        <w:tc>
          <w:tcPr>
            <w:tcW w:w="2551" w:type="dxa"/>
            <w:vAlign w:val="center"/>
          </w:tcPr>
          <w:p>
            <w:pPr>
              <w:pStyle w:val="9"/>
            </w:pPr>
          </w:p>
        </w:tc>
        <w:tc>
          <w:tcPr>
            <w:tcW w:w="2551" w:type="dxa"/>
            <w:vAlign w:val="center"/>
          </w:tcPr>
          <w:p>
            <w:pPr>
              <w:pStyle w:val="9"/>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2010108</w:t>
            </w:r>
          </w:p>
        </w:tc>
        <w:tc>
          <w:tcPr>
            <w:tcW w:w="4535" w:type="dxa"/>
            <w:vAlign w:val="center"/>
          </w:tcPr>
          <w:p>
            <w:pPr>
              <w:pStyle w:val="10"/>
            </w:pPr>
            <w:r>
              <w:t>代表工作</w:t>
            </w:r>
          </w:p>
        </w:tc>
        <w:tc>
          <w:tcPr>
            <w:tcW w:w="2551" w:type="dxa"/>
            <w:vAlign w:val="center"/>
          </w:tcPr>
          <w:p>
            <w:pPr>
              <w:pStyle w:val="9"/>
            </w:pPr>
            <w:r>
              <w:t>20.00</w:t>
            </w:r>
          </w:p>
        </w:tc>
        <w:tc>
          <w:tcPr>
            <w:tcW w:w="2551" w:type="dxa"/>
            <w:vAlign w:val="center"/>
          </w:tcPr>
          <w:p>
            <w:pPr>
              <w:pStyle w:val="9"/>
            </w:pPr>
          </w:p>
        </w:tc>
        <w:tc>
          <w:tcPr>
            <w:tcW w:w="2551" w:type="dxa"/>
            <w:vAlign w:val="center"/>
          </w:tcPr>
          <w:p>
            <w:pPr>
              <w:pStyle w:val="9"/>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85.90</w:t>
            </w:r>
          </w:p>
        </w:tc>
        <w:tc>
          <w:tcPr>
            <w:tcW w:w="2551" w:type="dxa"/>
            <w:vAlign w:val="center"/>
          </w:tcPr>
          <w:p>
            <w:pPr>
              <w:pStyle w:val="9"/>
            </w:pPr>
            <w:r>
              <w:t>85.90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85.30</w:t>
            </w:r>
          </w:p>
        </w:tc>
        <w:tc>
          <w:tcPr>
            <w:tcW w:w="2551" w:type="dxa"/>
            <w:vAlign w:val="center"/>
          </w:tcPr>
          <w:p>
            <w:pPr>
              <w:pStyle w:val="9"/>
            </w:pPr>
            <w:r>
              <w:t>85.30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9"/>
            </w:pPr>
            <w:r>
              <w:t>53.61</w:t>
            </w:r>
          </w:p>
        </w:tc>
        <w:tc>
          <w:tcPr>
            <w:tcW w:w="2551" w:type="dxa"/>
            <w:vAlign w:val="center"/>
          </w:tcPr>
          <w:p>
            <w:pPr>
              <w:pStyle w:val="9"/>
            </w:pPr>
            <w:r>
              <w:t>53.61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21.13</w:t>
            </w:r>
          </w:p>
        </w:tc>
        <w:tc>
          <w:tcPr>
            <w:tcW w:w="2551" w:type="dxa"/>
            <w:vAlign w:val="center"/>
          </w:tcPr>
          <w:p>
            <w:pPr>
              <w:pStyle w:val="9"/>
            </w:pPr>
            <w:r>
              <w:t>21.13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10.56</w:t>
            </w:r>
          </w:p>
        </w:tc>
        <w:tc>
          <w:tcPr>
            <w:tcW w:w="2551" w:type="dxa"/>
            <w:vAlign w:val="center"/>
          </w:tcPr>
          <w:p>
            <w:pPr>
              <w:pStyle w:val="9"/>
            </w:pPr>
            <w:r>
              <w:t>10.56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20827</w:t>
            </w:r>
          </w:p>
        </w:tc>
        <w:tc>
          <w:tcPr>
            <w:tcW w:w="4535" w:type="dxa"/>
            <w:vAlign w:val="center"/>
          </w:tcPr>
          <w:p>
            <w:pPr>
              <w:pStyle w:val="10"/>
            </w:pPr>
            <w:r>
              <w:t>财政对其他社会保险基金的补助</w:t>
            </w:r>
          </w:p>
        </w:tc>
        <w:tc>
          <w:tcPr>
            <w:tcW w:w="2551" w:type="dxa"/>
            <w:vAlign w:val="center"/>
          </w:tcPr>
          <w:p>
            <w:pPr>
              <w:pStyle w:val="9"/>
            </w:pPr>
            <w:r>
              <w:t>0.60</w:t>
            </w:r>
          </w:p>
        </w:tc>
        <w:tc>
          <w:tcPr>
            <w:tcW w:w="2551" w:type="dxa"/>
            <w:vAlign w:val="center"/>
          </w:tcPr>
          <w:p>
            <w:pPr>
              <w:pStyle w:val="9"/>
            </w:pPr>
            <w:r>
              <w:t>0.60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2082702</w:t>
            </w:r>
          </w:p>
        </w:tc>
        <w:tc>
          <w:tcPr>
            <w:tcW w:w="4535" w:type="dxa"/>
            <w:vAlign w:val="center"/>
          </w:tcPr>
          <w:p>
            <w:pPr>
              <w:pStyle w:val="10"/>
            </w:pPr>
            <w:r>
              <w:t>财政对工伤保险基金的补助</w:t>
            </w:r>
          </w:p>
        </w:tc>
        <w:tc>
          <w:tcPr>
            <w:tcW w:w="2551" w:type="dxa"/>
            <w:vAlign w:val="center"/>
          </w:tcPr>
          <w:p>
            <w:pPr>
              <w:pStyle w:val="9"/>
            </w:pPr>
            <w:r>
              <w:t>0.60</w:t>
            </w:r>
          </w:p>
        </w:tc>
        <w:tc>
          <w:tcPr>
            <w:tcW w:w="2551" w:type="dxa"/>
            <w:vAlign w:val="center"/>
          </w:tcPr>
          <w:p>
            <w:pPr>
              <w:pStyle w:val="9"/>
            </w:pPr>
            <w:r>
              <w:t>0.60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8.35</w:t>
            </w:r>
          </w:p>
        </w:tc>
        <w:tc>
          <w:tcPr>
            <w:tcW w:w="2551" w:type="dxa"/>
            <w:vAlign w:val="center"/>
          </w:tcPr>
          <w:p>
            <w:pPr>
              <w:pStyle w:val="9"/>
            </w:pPr>
            <w:r>
              <w:t>8.35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8.35</w:t>
            </w:r>
          </w:p>
        </w:tc>
        <w:tc>
          <w:tcPr>
            <w:tcW w:w="2551" w:type="dxa"/>
            <w:vAlign w:val="center"/>
          </w:tcPr>
          <w:p>
            <w:pPr>
              <w:pStyle w:val="9"/>
            </w:pPr>
            <w:r>
              <w:t>8.35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8.35</w:t>
            </w:r>
          </w:p>
        </w:tc>
        <w:tc>
          <w:tcPr>
            <w:tcW w:w="2551" w:type="dxa"/>
            <w:vAlign w:val="center"/>
          </w:tcPr>
          <w:p>
            <w:pPr>
              <w:pStyle w:val="9"/>
            </w:pPr>
            <w:r>
              <w:t>8.35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13.68</w:t>
            </w:r>
          </w:p>
        </w:tc>
        <w:tc>
          <w:tcPr>
            <w:tcW w:w="2551" w:type="dxa"/>
            <w:vAlign w:val="center"/>
          </w:tcPr>
          <w:p>
            <w:pPr>
              <w:pStyle w:val="9"/>
            </w:pPr>
            <w:r>
              <w:t>13.68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13.68</w:t>
            </w:r>
          </w:p>
        </w:tc>
        <w:tc>
          <w:tcPr>
            <w:tcW w:w="2551" w:type="dxa"/>
            <w:vAlign w:val="center"/>
          </w:tcPr>
          <w:p>
            <w:pPr>
              <w:pStyle w:val="9"/>
            </w:pPr>
            <w:r>
              <w:t>13.68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13.68</w:t>
            </w:r>
          </w:p>
        </w:tc>
        <w:tc>
          <w:tcPr>
            <w:tcW w:w="2551" w:type="dxa"/>
            <w:vAlign w:val="center"/>
          </w:tcPr>
          <w:p>
            <w:pPr>
              <w:pStyle w:val="9"/>
            </w:pPr>
            <w:r>
              <w:t>13.68</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101高阳县人民代表大会常务委员会办公室</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308.17</w:t>
            </w:r>
          </w:p>
        </w:tc>
        <w:tc>
          <w:tcPr>
            <w:tcW w:w="2551" w:type="dxa"/>
            <w:vAlign w:val="center"/>
          </w:tcPr>
          <w:p>
            <w:pPr>
              <w:pStyle w:val="13"/>
            </w:pPr>
            <w:r>
              <w:t>252.42</w:t>
            </w:r>
          </w:p>
        </w:tc>
        <w:tc>
          <w:tcPr>
            <w:tcW w:w="2551" w:type="dxa"/>
            <w:vAlign w:val="center"/>
          </w:tcPr>
          <w:p>
            <w:pPr>
              <w:pStyle w:val="13"/>
            </w:pPr>
            <w:r>
              <w:t>55.75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198.81</w:t>
            </w:r>
          </w:p>
        </w:tc>
        <w:tc>
          <w:tcPr>
            <w:tcW w:w="2551" w:type="dxa"/>
            <w:vAlign w:val="center"/>
          </w:tcPr>
          <w:p>
            <w:pPr>
              <w:pStyle w:val="9"/>
            </w:pPr>
            <w:r>
              <w:t>198.81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84.29</w:t>
            </w:r>
          </w:p>
        </w:tc>
        <w:tc>
          <w:tcPr>
            <w:tcW w:w="2551" w:type="dxa"/>
            <w:vAlign w:val="center"/>
          </w:tcPr>
          <w:p>
            <w:pPr>
              <w:pStyle w:val="9"/>
            </w:pPr>
            <w:r>
              <w:t>84.29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35.99</w:t>
            </w:r>
          </w:p>
        </w:tc>
        <w:tc>
          <w:tcPr>
            <w:tcW w:w="2551" w:type="dxa"/>
            <w:vAlign w:val="center"/>
          </w:tcPr>
          <w:p>
            <w:pPr>
              <w:pStyle w:val="9"/>
            </w:pPr>
            <w:r>
              <w:t>35.99</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24.21</w:t>
            </w:r>
          </w:p>
        </w:tc>
        <w:tc>
          <w:tcPr>
            <w:tcW w:w="2551" w:type="dxa"/>
            <w:vAlign w:val="center"/>
          </w:tcPr>
          <w:p>
            <w:pPr>
              <w:pStyle w:val="9"/>
            </w:pPr>
            <w:r>
              <w:t>24.21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21.13</w:t>
            </w:r>
          </w:p>
        </w:tc>
        <w:tc>
          <w:tcPr>
            <w:tcW w:w="2551" w:type="dxa"/>
            <w:vAlign w:val="center"/>
          </w:tcPr>
          <w:p>
            <w:pPr>
              <w:pStyle w:val="9"/>
            </w:pPr>
            <w:r>
              <w:t>21.13</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10.56</w:t>
            </w:r>
          </w:p>
        </w:tc>
        <w:tc>
          <w:tcPr>
            <w:tcW w:w="2551" w:type="dxa"/>
            <w:vAlign w:val="center"/>
          </w:tcPr>
          <w:p>
            <w:pPr>
              <w:pStyle w:val="9"/>
            </w:pPr>
            <w:r>
              <w:t>10.56</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8.35</w:t>
            </w:r>
          </w:p>
        </w:tc>
        <w:tc>
          <w:tcPr>
            <w:tcW w:w="2551" w:type="dxa"/>
            <w:vAlign w:val="center"/>
          </w:tcPr>
          <w:p>
            <w:pPr>
              <w:pStyle w:val="9"/>
            </w:pPr>
            <w:r>
              <w:t>8.35</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0.60</w:t>
            </w:r>
          </w:p>
        </w:tc>
        <w:tc>
          <w:tcPr>
            <w:tcW w:w="2551" w:type="dxa"/>
            <w:vAlign w:val="center"/>
          </w:tcPr>
          <w:p>
            <w:pPr>
              <w:pStyle w:val="9"/>
            </w:pPr>
            <w:r>
              <w:t>0.60</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13.68</w:t>
            </w:r>
          </w:p>
        </w:tc>
        <w:tc>
          <w:tcPr>
            <w:tcW w:w="2551" w:type="dxa"/>
            <w:vAlign w:val="center"/>
          </w:tcPr>
          <w:p>
            <w:pPr>
              <w:pStyle w:val="9"/>
            </w:pPr>
            <w:r>
              <w:t>13.68</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52.79</w:t>
            </w:r>
          </w:p>
        </w:tc>
        <w:tc>
          <w:tcPr>
            <w:tcW w:w="2551" w:type="dxa"/>
            <w:vAlign w:val="center"/>
          </w:tcPr>
          <w:p>
            <w:pPr>
              <w:pStyle w:val="9"/>
            </w:pPr>
          </w:p>
        </w:tc>
        <w:tc>
          <w:tcPr>
            <w:tcW w:w="2551" w:type="dxa"/>
            <w:vAlign w:val="center"/>
          </w:tcPr>
          <w:p>
            <w:pPr>
              <w:pStyle w:val="9"/>
            </w:pPr>
            <w:r>
              <w:t>52.79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16.22</w:t>
            </w:r>
          </w:p>
        </w:tc>
        <w:tc>
          <w:tcPr>
            <w:tcW w:w="2551" w:type="dxa"/>
            <w:vAlign w:val="center"/>
          </w:tcPr>
          <w:p>
            <w:pPr>
              <w:pStyle w:val="9"/>
            </w:pPr>
          </w:p>
        </w:tc>
        <w:tc>
          <w:tcPr>
            <w:tcW w:w="2551" w:type="dxa"/>
            <w:vAlign w:val="center"/>
          </w:tcPr>
          <w:p>
            <w:pPr>
              <w:pStyle w:val="9"/>
            </w:pPr>
            <w:r>
              <w:t>16.22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7.62</w:t>
            </w:r>
          </w:p>
        </w:tc>
        <w:tc>
          <w:tcPr>
            <w:tcW w:w="2551" w:type="dxa"/>
            <w:vAlign w:val="center"/>
          </w:tcPr>
          <w:p>
            <w:pPr>
              <w:pStyle w:val="9"/>
            </w:pPr>
          </w:p>
        </w:tc>
        <w:tc>
          <w:tcPr>
            <w:tcW w:w="2551" w:type="dxa"/>
            <w:vAlign w:val="center"/>
          </w:tcPr>
          <w:p>
            <w:pPr>
              <w:pStyle w:val="9"/>
            </w:pPr>
            <w:r>
              <w:t>7.62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2.73</w:t>
            </w:r>
          </w:p>
        </w:tc>
        <w:tc>
          <w:tcPr>
            <w:tcW w:w="2551" w:type="dxa"/>
            <w:vAlign w:val="center"/>
          </w:tcPr>
          <w:p>
            <w:pPr>
              <w:pStyle w:val="9"/>
            </w:pPr>
          </w:p>
        </w:tc>
        <w:tc>
          <w:tcPr>
            <w:tcW w:w="2551" w:type="dxa"/>
            <w:vAlign w:val="center"/>
          </w:tcPr>
          <w:p>
            <w:pPr>
              <w:pStyle w:val="9"/>
            </w:pPr>
            <w:r>
              <w:t>2.73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1.65</w:t>
            </w:r>
          </w:p>
        </w:tc>
        <w:tc>
          <w:tcPr>
            <w:tcW w:w="2551" w:type="dxa"/>
            <w:vAlign w:val="center"/>
          </w:tcPr>
          <w:p>
            <w:pPr>
              <w:pStyle w:val="9"/>
            </w:pPr>
          </w:p>
        </w:tc>
        <w:tc>
          <w:tcPr>
            <w:tcW w:w="2551" w:type="dxa"/>
            <w:vAlign w:val="center"/>
          </w:tcPr>
          <w:p>
            <w:pPr>
              <w:pStyle w:val="9"/>
            </w:pPr>
            <w:r>
              <w:t>1.65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9"/>
            </w:pPr>
            <w:r>
              <w:t>2.60</w:t>
            </w:r>
          </w:p>
        </w:tc>
        <w:tc>
          <w:tcPr>
            <w:tcW w:w="2551" w:type="dxa"/>
            <w:vAlign w:val="center"/>
          </w:tcPr>
          <w:p>
            <w:pPr>
              <w:pStyle w:val="9"/>
            </w:pPr>
          </w:p>
        </w:tc>
        <w:tc>
          <w:tcPr>
            <w:tcW w:w="2551" w:type="dxa"/>
            <w:vAlign w:val="center"/>
          </w:tcPr>
          <w:p>
            <w:pPr>
              <w:pStyle w:val="9"/>
            </w:pPr>
            <w:r>
              <w:t>2.60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4.50</w:t>
            </w:r>
          </w:p>
        </w:tc>
        <w:tc>
          <w:tcPr>
            <w:tcW w:w="2551" w:type="dxa"/>
            <w:vAlign w:val="center"/>
          </w:tcPr>
          <w:p>
            <w:pPr>
              <w:pStyle w:val="9"/>
            </w:pPr>
          </w:p>
        </w:tc>
        <w:tc>
          <w:tcPr>
            <w:tcW w:w="2551" w:type="dxa"/>
            <w:vAlign w:val="center"/>
          </w:tcPr>
          <w:p>
            <w:pPr>
              <w:pStyle w:val="9"/>
            </w:pPr>
            <w:r>
              <w:t>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13.73</w:t>
            </w:r>
          </w:p>
        </w:tc>
        <w:tc>
          <w:tcPr>
            <w:tcW w:w="2551" w:type="dxa"/>
            <w:vAlign w:val="center"/>
          </w:tcPr>
          <w:p>
            <w:pPr>
              <w:pStyle w:val="9"/>
            </w:pPr>
          </w:p>
        </w:tc>
        <w:tc>
          <w:tcPr>
            <w:tcW w:w="2551" w:type="dxa"/>
            <w:vAlign w:val="center"/>
          </w:tcPr>
          <w:p>
            <w:pPr>
              <w:pStyle w:val="9"/>
            </w:pPr>
            <w:r>
              <w:t>13.73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3.74</w:t>
            </w:r>
          </w:p>
        </w:tc>
        <w:tc>
          <w:tcPr>
            <w:tcW w:w="2551" w:type="dxa"/>
            <w:vAlign w:val="center"/>
          </w:tcPr>
          <w:p>
            <w:pPr>
              <w:pStyle w:val="9"/>
            </w:pPr>
          </w:p>
        </w:tc>
        <w:tc>
          <w:tcPr>
            <w:tcW w:w="2551" w:type="dxa"/>
            <w:vAlign w:val="center"/>
          </w:tcPr>
          <w:p>
            <w:pPr>
              <w:pStyle w:val="9"/>
            </w:pPr>
            <w:r>
              <w:t>3.74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53.61</w:t>
            </w:r>
          </w:p>
        </w:tc>
        <w:tc>
          <w:tcPr>
            <w:tcW w:w="2551" w:type="dxa"/>
            <w:vAlign w:val="center"/>
          </w:tcPr>
          <w:p>
            <w:pPr>
              <w:pStyle w:val="9"/>
            </w:pPr>
            <w:r>
              <w:t>53.61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53.61</w:t>
            </w:r>
          </w:p>
        </w:tc>
        <w:tc>
          <w:tcPr>
            <w:tcW w:w="2551" w:type="dxa"/>
            <w:vAlign w:val="center"/>
          </w:tcPr>
          <w:p>
            <w:pPr>
              <w:pStyle w:val="9"/>
            </w:pPr>
            <w:r>
              <w:t>53.61</w:t>
            </w:r>
          </w:p>
        </w:tc>
        <w:tc>
          <w:tcPr>
            <w:tcW w:w="255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2.96</w:t>
            </w:r>
          </w:p>
        </w:tc>
        <w:tc>
          <w:tcPr>
            <w:tcW w:w="2551" w:type="dxa"/>
            <w:vAlign w:val="center"/>
          </w:tcPr>
          <w:p>
            <w:pPr>
              <w:pStyle w:val="9"/>
            </w:pPr>
          </w:p>
        </w:tc>
        <w:tc>
          <w:tcPr>
            <w:tcW w:w="2551" w:type="dxa"/>
            <w:vAlign w:val="center"/>
          </w:tcPr>
          <w:p>
            <w:pPr>
              <w:pStyle w:val="9"/>
            </w:pPr>
            <w:r>
              <w:t>2.96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2.96</w:t>
            </w:r>
          </w:p>
        </w:tc>
        <w:tc>
          <w:tcPr>
            <w:tcW w:w="2551" w:type="dxa"/>
            <w:vAlign w:val="center"/>
          </w:tcPr>
          <w:p>
            <w:pPr>
              <w:pStyle w:val="9"/>
            </w:pPr>
          </w:p>
        </w:tc>
        <w:tc>
          <w:tcPr>
            <w:tcW w:w="2551" w:type="dxa"/>
            <w:vAlign w:val="center"/>
          </w:tcPr>
          <w:p>
            <w:pPr>
              <w:pStyle w:val="9"/>
            </w:pPr>
            <w:r>
              <w:t>2.96</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101高阳县人民代表大会常务委员会办公室</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101高阳县人民代表大会常务委员会办公室</w:t>
            </w:r>
          </w:p>
        </w:tc>
        <w:tc>
          <w:tcPr>
            <w:tcW w:w="2551" w:type="dxa"/>
            <w:tcBorders>
              <w:top w:val="single" w:color="FFFFFF" w:sz="6" w:space="0"/>
              <w:left w:val="single" w:color="FFFFFF" w:sz="6" w:space="0"/>
              <w:right w:val="single" w:color="FFFFFF" w:sz="6" w:space="0"/>
            </w:tcBorders>
            <w:vAlign w:val="center"/>
          </w:tcPr>
          <w:p>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7"/>
            </w:pPr>
            <w:r>
              <w:t>101高阳县人民代表大会常务委员会办公室</w:t>
            </w:r>
          </w:p>
        </w:tc>
        <w:tc>
          <w:tcPr>
            <w:tcW w:w="2381" w:type="dxa"/>
            <w:tcBorders>
              <w:top w:val="single" w:color="FFFFFF" w:sz="6" w:space="0"/>
              <w:left w:val="single" w:color="FFFFFF" w:sz="6" w:space="0"/>
              <w:right w:val="single" w:color="FFFFFF" w:sz="6" w:space="0"/>
            </w:tcBorders>
            <w:vAlign w:val="center"/>
          </w:tcPr>
          <w:p>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1" w:type="dxa"/>
            <w:vAlign w:val="center"/>
          </w:tcPr>
          <w:p>
            <w:pPr>
              <w:pStyle w:val="13"/>
            </w:pPr>
            <w:r>
              <w:t>7.23</w:t>
            </w:r>
          </w:p>
        </w:tc>
        <w:tc>
          <w:tcPr>
            <w:tcW w:w="2381" w:type="dxa"/>
            <w:vAlign w:val="center"/>
          </w:tcPr>
          <w:p>
            <w:pPr>
              <w:pStyle w:val="13"/>
            </w:pPr>
            <w:r>
              <w:t>7.23</w:t>
            </w:r>
          </w:p>
        </w:tc>
        <w:tc>
          <w:tcPr>
            <w:tcW w:w="2381" w:type="dxa"/>
            <w:vAlign w:val="center"/>
          </w:tcPr>
          <w:p>
            <w:pPr>
              <w:pStyle w:val="13"/>
            </w:pPr>
          </w:p>
        </w:tc>
        <w:tc>
          <w:tcPr>
            <w:tcW w:w="2381"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“三公”经费小计</w:t>
            </w:r>
          </w:p>
        </w:tc>
        <w:tc>
          <w:tcPr>
            <w:tcW w:w="2381" w:type="dxa"/>
            <w:vAlign w:val="center"/>
          </w:tcPr>
          <w:p>
            <w:pPr>
              <w:pStyle w:val="9"/>
            </w:pPr>
            <w:r>
              <w:t>7.23</w:t>
            </w:r>
          </w:p>
        </w:tc>
        <w:tc>
          <w:tcPr>
            <w:tcW w:w="2381" w:type="dxa"/>
            <w:vAlign w:val="center"/>
          </w:tcPr>
          <w:p>
            <w:pPr>
              <w:pStyle w:val="9"/>
            </w:pPr>
            <w:r>
              <w:t>7.23</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一、因公出国（境）费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其中：教学科研人员因公出国（境）费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 xml:space="preserve">          其他因公出国（境）费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二、公务用车购置及运维费</w:t>
            </w:r>
          </w:p>
        </w:tc>
        <w:tc>
          <w:tcPr>
            <w:tcW w:w="2381" w:type="dxa"/>
            <w:vAlign w:val="center"/>
          </w:tcPr>
          <w:p>
            <w:pPr>
              <w:pStyle w:val="9"/>
            </w:pPr>
            <w:r>
              <w:t>4.50</w:t>
            </w:r>
          </w:p>
        </w:tc>
        <w:tc>
          <w:tcPr>
            <w:tcW w:w="2381" w:type="dxa"/>
            <w:vAlign w:val="center"/>
          </w:tcPr>
          <w:p>
            <w:pPr>
              <w:pStyle w:val="9"/>
            </w:pPr>
            <w:r>
              <w:t>4.50</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0"/>
            </w:pPr>
            <w:r>
              <w:t xml:space="preserve">    其中：公务用车购置费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0"/>
            </w:pPr>
            <w:r>
              <w:t xml:space="preserve">          公务用车运行维护费</w:t>
            </w:r>
          </w:p>
        </w:tc>
        <w:tc>
          <w:tcPr>
            <w:tcW w:w="2381" w:type="dxa"/>
            <w:vAlign w:val="center"/>
          </w:tcPr>
          <w:p>
            <w:pPr>
              <w:pStyle w:val="9"/>
            </w:pPr>
            <w:r>
              <w:t>4.50</w:t>
            </w:r>
          </w:p>
        </w:tc>
        <w:tc>
          <w:tcPr>
            <w:tcW w:w="2381" w:type="dxa"/>
            <w:vAlign w:val="center"/>
          </w:tcPr>
          <w:p>
            <w:pPr>
              <w:pStyle w:val="9"/>
            </w:pPr>
            <w:r>
              <w:t>4.50</w:t>
            </w:r>
          </w:p>
        </w:tc>
        <w:tc>
          <w:tcPr>
            <w:tcW w:w="2381" w:type="dxa"/>
            <w:vAlign w:val="center"/>
          </w:tcPr>
          <w:p>
            <w:pPr>
              <w:pStyle w:val="9"/>
            </w:pPr>
          </w:p>
        </w:tc>
        <w:tc>
          <w:tcPr>
            <w:tcW w:w="2381"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3798" w:type="dxa"/>
            <w:vAlign w:val="center"/>
          </w:tcPr>
          <w:p>
            <w:pPr>
              <w:pStyle w:val="10"/>
            </w:pPr>
            <w:r>
              <w:t>三、公务接待费</w:t>
            </w:r>
          </w:p>
        </w:tc>
        <w:tc>
          <w:tcPr>
            <w:tcW w:w="2381" w:type="dxa"/>
            <w:vAlign w:val="center"/>
          </w:tcPr>
          <w:p>
            <w:pPr>
              <w:pStyle w:val="9"/>
            </w:pPr>
            <w:r>
              <w:t>2.73</w:t>
            </w:r>
          </w:p>
        </w:tc>
        <w:tc>
          <w:tcPr>
            <w:tcW w:w="2381" w:type="dxa"/>
            <w:vAlign w:val="center"/>
          </w:tcPr>
          <w:p>
            <w:pPr>
              <w:pStyle w:val="9"/>
            </w:pPr>
            <w:r>
              <w:t>2.73</w:t>
            </w:r>
          </w:p>
        </w:tc>
        <w:tc>
          <w:tcPr>
            <w:tcW w:w="2381" w:type="dxa"/>
            <w:vAlign w:val="center"/>
          </w:tcPr>
          <w:p>
            <w:pPr>
              <w:pStyle w:val="9"/>
            </w:pPr>
          </w:p>
        </w:tc>
        <w:tc>
          <w:tcPr>
            <w:tcW w:w="2381" w:type="dxa"/>
            <w:vAlign w:val="center"/>
          </w:tcPr>
          <w:p>
            <w:pPr>
              <w:pStyle w:val="9"/>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高阳县人民代表大会常务委员会办公室2025年部门预算信息公开情况说明</w:t>
      </w:r>
    </w:p>
    <w:p>
      <w:pPr>
        <w:jc w:val="center"/>
      </w:pPr>
      <w:r>
        <w:rPr>
          <w:rFonts w:ascii="方正小标宋_GBK" w:hAnsi="方正小标宋_GBK" w:eastAsia="方正小标宋_GBK" w:cs="方正小标宋_GBK"/>
          <w:color w:val="000000"/>
          <w:sz w:val="44"/>
        </w:rPr>
        <w:t>高阳县人民代表大会常务委员会办公室2025年部门预算信息公开情况说明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按照《中华人民共和国预算法》、《地方预决算公开操作规程》和《关于进一步推进预算公开工作的实施意见》规定，现将高阳县人民代表大会常务委员会办公室2025年部门预算公开如下：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5"/>
      </w:pPr>
      <w:r>
        <w:t> </w:t>
      </w:r>
    </w:p>
    <w:p>
      <w:pPr>
        <w:pStyle w:val="15"/>
      </w:pPr>
      <w:r>
        <w:t>（一）根据有关法律法规和县人大常委会年度工作要点，制定本部门的年度工作计划并组织实施，做好年度工作总结。</w:t>
      </w:r>
    </w:p>
    <w:p>
      <w:pPr>
        <w:pStyle w:val="15"/>
      </w:pPr>
      <w:r>
        <w:t>（二）按照县人大常委会的部署和主任会议安排，组织视察、调研和执法检查。</w:t>
      </w:r>
    </w:p>
    <w:p>
      <w:pPr>
        <w:pStyle w:val="15"/>
      </w:pPr>
      <w:r>
        <w:t>（三）对县人大常委会组成人员和县人民政府、县人民法院、县人民检察院提请县人大常委会会议审议的议案或报告进行调查研究。</w:t>
      </w:r>
    </w:p>
    <w:p>
      <w:pPr>
        <w:pStyle w:val="15"/>
      </w:pPr>
      <w:r>
        <w:t>（四）对相关工作情况和相关法律法规在本行政区域内的贯彻实施情况进行调查研究。</w:t>
      </w:r>
    </w:p>
    <w:p>
      <w:pPr>
        <w:pStyle w:val="15"/>
      </w:pPr>
      <w:r>
        <w:t>（五）负责对相关规范性文件进行研究审查，并提出意见。</w:t>
      </w:r>
    </w:p>
    <w:p>
      <w:pPr>
        <w:pStyle w:val="15"/>
      </w:pPr>
      <w:r>
        <w:t>（六）加强与对口联系单位的工作联系，沟通思想，了解情况，督促其认真落实县人大及其常委会的决议、决定，办理好意见和建议。</w:t>
      </w:r>
    </w:p>
    <w:p>
      <w:pPr>
        <w:pStyle w:val="15"/>
      </w:pPr>
      <w:r>
        <w:t>（七）加强同乡（镇）人大的工作联系，按照职责范围，对乡（镇）人大工作进行指导。</w:t>
      </w:r>
    </w:p>
    <w:p>
      <w:pPr>
        <w:pStyle w:val="15"/>
      </w:pPr>
      <w:r>
        <w:t>（八）办理好县人大代表提出的职权范围内的议案、建议（批评和意见）。</w:t>
      </w:r>
    </w:p>
    <w:p>
      <w:pPr>
        <w:pStyle w:val="15"/>
      </w:pPr>
      <w:r>
        <w:t>（九）广泛联系县人大代表和人民群众，及时反映人大代表与人民群众的意见和要求。</w:t>
      </w:r>
    </w:p>
    <w:p>
      <w:pPr>
        <w:pStyle w:val="15"/>
      </w:pPr>
      <w:r>
        <w:t>（十）办理县人大常委会会议、主任会议、分管副主任和上级人大常委会对口部门交办的其他工作事项。</w:t>
      </w:r>
    </w:p>
    <w:p>
      <w:pPr>
        <w:pStyle w:val="15"/>
      </w:pPr>
      <w:r>
        <w:t>  </w:t>
      </w:r>
    </w:p>
    <w:p>
      <w:pPr>
        <w:pStyle w:val="15"/>
      </w:pPr>
      <w:r>
        <w:t> </w:t>
      </w:r>
    </w:p>
    <w:p>
      <w:pPr>
        <w:pStyle w:val="15"/>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高阳县人民代表大会常务委员会办公室</w:t>
            </w:r>
          </w:p>
        </w:tc>
        <w:tc>
          <w:tcPr>
            <w:tcW w:w="1843" w:type="dxa"/>
            <w:vAlign w:val="center"/>
          </w:tcPr>
          <w:p>
            <w:pPr>
              <w:pStyle w:val="11"/>
            </w:pPr>
            <w:r>
              <w:t>行政</w:t>
            </w:r>
          </w:p>
        </w:tc>
        <w:tc>
          <w:tcPr>
            <w:tcW w:w="2126" w:type="dxa"/>
            <w:vAlign w:val="center"/>
          </w:tcPr>
          <w:p>
            <w:pPr>
              <w:pStyle w:val="11"/>
            </w:pPr>
            <w:r>
              <w:t>正处（县）级</w:t>
            </w:r>
          </w:p>
        </w:tc>
        <w:tc>
          <w:tcPr>
            <w:tcW w:w="3827" w:type="dxa"/>
            <w:vAlign w:val="center"/>
          </w:tcPr>
          <w:p>
            <w:pPr>
              <w:pStyle w:val="11"/>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6"/>
      </w:pPr>
      <w:r>
        <w:t>按照预算管理有关规定，目前部门预算的编制实行综合预算管理，即全部收入和支出都反映在预算中。高阳县人民代表大会常务委员会办公室机关及所属事业单位的收支包含在部门预算中。</w:t>
      </w:r>
    </w:p>
    <w:p>
      <w:pPr>
        <w:pStyle w:val="16"/>
      </w:pPr>
      <w:r>
        <w:t>1、收入说明</w:t>
      </w:r>
    </w:p>
    <w:p>
      <w:pPr>
        <w:pStyle w:val="16"/>
      </w:pPr>
      <w:r>
        <w:t>反映本部门当年全部收入。2025年预算收入369.17万元，其中：一般公共预算收入369.17万元，基金预算收入0.00万元，国有资本经营预算收入0.00万元，财政专户核拨收入0.00万元，单位资金收入0.00万元，上年结转结余0.00万元。</w:t>
      </w:r>
    </w:p>
    <w:p>
      <w:pPr>
        <w:pStyle w:val="16"/>
      </w:pPr>
      <w:r>
        <w:t>2、支出说明</w:t>
      </w:r>
    </w:p>
    <w:p>
      <w:pPr>
        <w:pStyle w:val="16"/>
      </w:pPr>
      <w:r>
        <w:t>收支预算总表支出栏、基本支出表、项目支出表按经济分类和支出功能分类科目编制，反映高阳县人民代表大会常务委员会办公室年度部门预算中支出预算的总体情况。2025年支出预算369.17万元，其中基本支出308.17万元，包括人员经费252.42万元和日常公用经费55.75万元；项目支出61.00万元，主要为用于高阳县人大会议的筹备和召开工作</w:t>
      </w:r>
      <w:r>
        <w:rPr>
          <w:rFonts w:hint="eastAsia"/>
          <w:lang w:val="en-US" w:eastAsia="zh-CN"/>
        </w:rPr>
        <w:t>36.00万元</w:t>
      </w:r>
      <w:r>
        <w:t>，高阳县人大代表之家建设和代表活动开展</w:t>
      </w:r>
      <w:r>
        <w:rPr>
          <w:rFonts w:hint="eastAsia"/>
          <w:lang w:val="en-US" w:eastAsia="zh-CN"/>
        </w:rPr>
        <w:t>20.00万元</w:t>
      </w:r>
      <w:r>
        <w:t>，高阳县人大监督视察、调研和听取审议工作报告等专项业务活动</w:t>
      </w:r>
      <w:r>
        <w:rPr>
          <w:rFonts w:hint="eastAsia"/>
          <w:lang w:val="en-US" w:eastAsia="zh-CN"/>
        </w:rPr>
        <w:t>5.00万元</w:t>
      </w:r>
      <w:r>
        <w:t>。</w:t>
      </w:r>
    </w:p>
    <w:p>
      <w:pPr>
        <w:pStyle w:val="16"/>
      </w:pPr>
      <w:r>
        <w:t>3、比上年增减情况</w:t>
      </w:r>
    </w:p>
    <w:p>
      <w:pPr>
        <w:pStyle w:val="16"/>
      </w:pPr>
      <w:r>
        <w:t>2025年预算收支安排369.17万元，较2024年预算减少14.64万元，其中：基本支出减少14.64万元，主要为人员经费（工资福利）减少5.98万元，对个人和家庭补助增加1.08万元；日常公用经费55.75万元较上年65.49减少9.74万元。项目支出增加0.00万元，主要为严格落实过紧日子要求，本年度无增加。</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7"/>
      </w:pPr>
      <w:r>
        <w:t>202</w:t>
      </w:r>
      <w:r>
        <w:rPr>
          <w:rFonts w:hint="eastAsia" w:eastAsiaTheme="minorEastAsia"/>
          <w:lang w:eastAsia="zh-CN"/>
        </w:rPr>
        <w:t>5</w:t>
      </w:r>
      <w:r>
        <w:t>年，我部门机关运行经费共计安排55.75万元，主要用于日常维修、办公用房水电费、办公用房取暖费、办公用房物业管理费等日常运行支出。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rPr>
          <w:rFonts w:hint="eastAsia"/>
          <w:lang w:eastAsia="zh-CN"/>
        </w:rPr>
      </w:pPr>
      <w:r>
        <w:t>202</w:t>
      </w:r>
      <w:r>
        <w:rPr>
          <w:rFonts w:hint="eastAsia" w:eastAsiaTheme="minorEastAsia"/>
          <w:lang w:eastAsia="zh-CN"/>
        </w:rPr>
        <w:t>5</w:t>
      </w:r>
      <w:r>
        <w:t>年，我部门财政拨款“三公”经费预算安排</w:t>
      </w:r>
      <w:r>
        <w:rPr>
          <w:rFonts w:hint="eastAsia" w:eastAsiaTheme="minorEastAsia"/>
          <w:lang w:eastAsia="zh-CN"/>
        </w:rPr>
        <w:t>7.23</w:t>
      </w:r>
      <w:r>
        <w:t>万元，其中因公出国（境）费0.00万元；公务用车购置及运维费4.50万元（其中：公务用车购置费为0.00万元，公务用车运维费4.50万元)；公务接待费</w:t>
      </w:r>
      <w:r>
        <w:rPr>
          <w:rFonts w:hint="eastAsia" w:eastAsiaTheme="minorEastAsia"/>
          <w:lang w:eastAsia="zh-CN"/>
        </w:rPr>
        <w:t>2.73</w:t>
      </w:r>
      <w:r>
        <w:t>万元。与202</w:t>
      </w:r>
      <w:r>
        <w:rPr>
          <w:rFonts w:hint="eastAsia" w:eastAsiaTheme="minorEastAsia"/>
          <w:lang w:eastAsia="zh-CN"/>
        </w:rPr>
        <w:t>4</w:t>
      </w:r>
      <w:r>
        <w:t>年相比</w:t>
      </w:r>
      <w:r>
        <w:rPr>
          <w:rFonts w:hint="eastAsia"/>
          <w:lang w:eastAsia="zh-CN"/>
        </w:rPr>
        <w:t>无变化。</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19"/>
      </w:pPr>
      <w:r>
        <w:t>2025年高阳县人大常委会将坚持以习近平新时代中国特色社会主义思想为指导，深入贯彻党的二十大精神，全面落实省委、市委全会，紧紧围绕“雄安卫星城、美丽新高阳”奋斗目标在县委坚强领导下，努力在强化政治引领上有新成效，在代表作用发挥上有新提升，在自身建设上有新气象，为努力开创高阳高质量发展新局面贡献人大力量。强化党的领导，政治建设上要有新举措，强化服务大局，重点工作上要有新担当，强化依法治县，法治建设上要有新进展，强化代表服务，代表履职上要有新成效，强化争先创优，自身建设上要有新气象。听取和审议“一府两院”工作报告12项以上，开展视察、调研8次以上，开展执法检查2次，加强人大代表之家建设，培训代表2次，召开人代会议1次，召开常委</w:t>
      </w:r>
      <w:r>
        <w:rPr>
          <w:rFonts w:hint="eastAsia"/>
          <w:lang w:eastAsia="zh-CN"/>
        </w:rPr>
        <w:t>会</w:t>
      </w:r>
      <w:r>
        <w:t>会议6次以上，根据实际情况依法任免国家机关工作人员。</w:t>
      </w:r>
    </w:p>
    <w:p>
      <w:pPr>
        <w:spacing w:line="500" w:lineRule="exact"/>
        <w:ind w:firstLine="560"/>
      </w:pPr>
      <w:r>
        <w:rPr>
          <w:rFonts w:eastAsia="方正仿宋_GBK"/>
          <w:color w:val="000000"/>
          <w:sz w:val="28"/>
        </w:rPr>
        <w:t>（二）分项绩效目标</w:t>
      </w:r>
    </w:p>
    <w:p>
      <w:pPr>
        <w:pStyle w:val="20"/>
      </w:pPr>
      <w:r>
        <w:rPr>
          <w:rFonts w:hint="eastAsia"/>
          <w:lang w:val="en-US" w:eastAsia="zh-CN"/>
        </w:rPr>
        <w:t>1</w:t>
      </w:r>
      <w:r>
        <w:rPr>
          <w:rFonts w:eastAsia="方正仿宋_GBK"/>
          <w:color w:val="000000"/>
          <w:sz w:val="28"/>
        </w:rPr>
        <w:t>、</w:t>
      </w:r>
      <w:r>
        <w:t>做好人大监督工作。</w:t>
      </w:r>
    </w:p>
    <w:p>
      <w:pPr>
        <w:pStyle w:val="20"/>
      </w:pPr>
      <w:r>
        <w:t>绩效目标：发挥委员、代表作用，开展检查、视察和调研，监督“一府两院”改进工作。</w:t>
      </w:r>
    </w:p>
    <w:p>
      <w:pPr>
        <w:pStyle w:val="20"/>
      </w:pPr>
      <w:r>
        <w:t>绩效指标：视察、检查听取工作报告和调研任务100%完成。</w:t>
      </w:r>
    </w:p>
    <w:p>
      <w:pPr>
        <w:pStyle w:val="20"/>
      </w:pPr>
      <w:r>
        <w:rPr>
          <w:rFonts w:hint="eastAsia"/>
          <w:lang w:val="en-US" w:eastAsia="zh-CN"/>
        </w:rPr>
        <w:t>2</w:t>
      </w:r>
      <w:r>
        <w:rPr>
          <w:rFonts w:eastAsia="方正仿宋_GBK"/>
          <w:color w:val="000000"/>
          <w:sz w:val="28"/>
        </w:rPr>
        <w:t>、</w:t>
      </w:r>
      <w:r>
        <w:t>做好人大会议工作</w:t>
      </w:r>
    </w:p>
    <w:p>
      <w:pPr>
        <w:pStyle w:val="20"/>
      </w:pPr>
      <w:r>
        <w:t>绩效目标：规范会议程序、认真筹备会议、审议质量提高、会议圆满召开。</w:t>
      </w:r>
    </w:p>
    <w:p>
      <w:pPr>
        <w:pStyle w:val="20"/>
      </w:pPr>
      <w:r>
        <w:t>绩效指标：会议筹备及会务工作100%完成。</w:t>
      </w:r>
    </w:p>
    <w:p>
      <w:pPr>
        <w:pStyle w:val="20"/>
      </w:pPr>
      <w:r>
        <w:rPr>
          <w:rFonts w:hint="eastAsia"/>
          <w:lang w:val="en-US" w:eastAsia="zh-CN"/>
        </w:rPr>
        <w:t>3</w:t>
      </w:r>
      <w:r>
        <w:rPr>
          <w:rFonts w:eastAsia="方正仿宋_GBK"/>
          <w:color w:val="000000"/>
          <w:sz w:val="28"/>
        </w:rPr>
        <w:t>、</w:t>
      </w:r>
      <w:r>
        <w:t>做好选举任免工作</w:t>
      </w:r>
    </w:p>
    <w:p>
      <w:pPr>
        <w:pStyle w:val="20"/>
      </w:pPr>
      <w:r>
        <w:t>绩效目标：确保党委人事安排部署的实现，有效实施对“一府两院”组成人员的监督。</w:t>
      </w:r>
    </w:p>
    <w:p>
      <w:pPr>
        <w:pStyle w:val="20"/>
      </w:pPr>
      <w:r>
        <w:t>绩效指标：党委人事安排100%完成。</w:t>
      </w:r>
    </w:p>
    <w:p>
      <w:pPr>
        <w:pStyle w:val="20"/>
      </w:pPr>
      <w:r>
        <w:rPr>
          <w:rFonts w:hint="eastAsia"/>
          <w:lang w:val="en-US" w:eastAsia="zh-CN"/>
        </w:rPr>
        <w:t>4</w:t>
      </w:r>
      <w:r>
        <w:rPr>
          <w:rFonts w:eastAsia="方正仿宋_GBK"/>
          <w:color w:val="000000"/>
          <w:sz w:val="28"/>
        </w:rPr>
        <w:t>、</w:t>
      </w:r>
      <w:r>
        <w:t>做好人大事务管理工作</w:t>
      </w:r>
    </w:p>
    <w:p>
      <w:pPr>
        <w:pStyle w:val="20"/>
      </w:pPr>
      <w:r>
        <w:t>绩效目标：机关基础设施、设备正常运转、各种文件收发有序、信访接待工作有序开展。</w:t>
      </w:r>
    </w:p>
    <w:p>
      <w:pPr>
        <w:pStyle w:val="20"/>
      </w:pPr>
      <w:r>
        <w:t>绩效指标：各项工作完成率大于等于90%。</w:t>
      </w:r>
    </w:p>
    <w:p>
      <w:pPr>
        <w:pStyle w:val="20"/>
      </w:pPr>
    </w:p>
    <w:p>
      <w:pPr>
        <w:spacing w:line="500" w:lineRule="exact"/>
        <w:ind w:firstLine="560"/>
      </w:pPr>
      <w:r>
        <w:rPr>
          <w:rFonts w:eastAsia="方正仿宋_GBK"/>
          <w:color w:val="000000"/>
          <w:sz w:val="28"/>
        </w:rPr>
        <w:t>（三）工作保障措施</w:t>
      </w:r>
    </w:p>
    <w:p>
      <w:pPr>
        <w:pStyle w:val="21"/>
      </w:pPr>
      <w:r>
        <w:t> </w:t>
      </w:r>
    </w:p>
    <w:p>
      <w:pPr>
        <w:pStyle w:val="21"/>
      </w:pPr>
      <w:r>
        <w:rPr>
          <w:rFonts w:hint="eastAsia"/>
          <w:lang w:val="en-US" w:eastAsia="zh-CN"/>
        </w:rPr>
        <w:t>1</w:t>
      </w:r>
      <w:r>
        <w:rPr>
          <w:rFonts w:eastAsia="方正仿宋_GBK"/>
          <w:color w:val="000000"/>
          <w:sz w:val="28"/>
        </w:rPr>
        <w:t>、</w:t>
      </w:r>
      <w:r>
        <w:t>完善制度建设。制定完善预算绩效管理制度、资金管理办法、工作保障制度等，为全年预算绩效目标的实现奠定制度基础。</w:t>
      </w:r>
    </w:p>
    <w:p>
      <w:pPr>
        <w:pStyle w:val="21"/>
      </w:pPr>
      <w:r>
        <w:rPr>
          <w:rFonts w:hint="eastAsia"/>
          <w:lang w:val="en-US" w:eastAsia="zh-CN"/>
        </w:rPr>
        <w:t>2</w:t>
      </w:r>
      <w:r>
        <w:rPr>
          <w:rFonts w:eastAsia="方正仿宋_GBK"/>
          <w:color w:val="000000"/>
          <w:sz w:val="28"/>
        </w:rPr>
        <w:t>、</w:t>
      </w:r>
      <w:r>
        <w:t>加强支出管理。通过优化支出结构、编细编实预算、尽快启动项目、及时支付资金、等多种措施，确保支出进度达标。</w:t>
      </w:r>
    </w:p>
    <w:p>
      <w:pPr>
        <w:pStyle w:val="21"/>
      </w:pPr>
      <w:r>
        <w:rPr>
          <w:rFonts w:hint="eastAsia"/>
          <w:lang w:val="en-US" w:eastAsia="zh-CN"/>
        </w:rPr>
        <w:t>3</w:t>
      </w:r>
      <w:r>
        <w:rPr>
          <w:rFonts w:eastAsia="方正仿宋_GBK"/>
          <w:color w:val="000000"/>
          <w:sz w:val="28"/>
        </w:rPr>
        <w:t>、</w:t>
      </w:r>
      <w:r>
        <w:t>加强绩效运行监控。按要求开展绩效运行监控，发现问题及时采取措施，确保绩效目标如期保质实现。</w:t>
      </w:r>
    </w:p>
    <w:p>
      <w:pPr>
        <w:pStyle w:val="21"/>
      </w:pPr>
      <w:r>
        <w:rPr>
          <w:rFonts w:hint="eastAsia"/>
          <w:lang w:val="en-US" w:eastAsia="zh-CN"/>
        </w:rPr>
        <w:t>4</w:t>
      </w:r>
      <w:r>
        <w:rPr>
          <w:rFonts w:eastAsia="方正仿宋_GBK"/>
          <w:color w:val="000000"/>
          <w:sz w:val="28"/>
        </w:rPr>
        <w:t>、</w:t>
      </w:r>
      <w:r>
        <w:t>做好绩效自评。按要求开展上年度部门预算绩效自评和重点评价工作，对评价中发现的问题及时整改，调整优化支出结构，提高财政资金使用效益。</w:t>
      </w:r>
    </w:p>
    <w:p>
      <w:pPr>
        <w:pStyle w:val="21"/>
      </w:pPr>
      <w:r>
        <w:rPr>
          <w:rFonts w:hint="eastAsia"/>
          <w:lang w:val="en-US" w:eastAsia="zh-CN"/>
        </w:rPr>
        <w:t>5</w:t>
      </w:r>
      <w:r>
        <w:rPr>
          <w:rFonts w:eastAsia="方正仿宋_GBK"/>
          <w:color w:val="000000"/>
          <w:sz w:val="28"/>
        </w:rPr>
        <w:t>、</w:t>
      </w:r>
      <w:r>
        <w:t>规范财务资产管理。完善财务管理制度，严格审批程序，加强固定资产登记、使用和报废处置管理，做到支出合理，物尽其用。</w:t>
      </w:r>
    </w:p>
    <w:p>
      <w:pPr>
        <w:pStyle w:val="21"/>
      </w:pPr>
      <w:r>
        <w:rPr>
          <w:rFonts w:hint="eastAsia"/>
          <w:lang w:val="en-US" w:eastAsia="zh-CN"/>
        </w:rPr>
        <w:t>6</w:t>
      </w:r>
      <w:r>
        <w:rPr>
          <w:rFonts w:eastAsia="方正仿宋_GBK"/>
          <w:color w:val="000000"/>
          <w:sz w:val="28"/>
        </w:rPr>
        <w:t>、</w:t>
      </w:r>
      <w:r>
        <w:t>加强内部监督。加强内部监督制度建设，对绩效运行情况、资产处置及其他重要经济业务事项的决策和执行进行督导，对会计资料进行内部审计，并配合做好审计、财政监督等外部监督工作，确保财政资金安全有效。</w:t>
      </w:r>
    </w:p>
    <w:p>
      <w:pPr>
        <w:pStyle w:val="21"/>
      </w:pPr>
      <w:r>
        <w:rPr>
          <w:rFonts w:hint="eastAsia"/>
          <w:lang w:val="en-US" w:eastAsia="zh-CN"/>
        </w:rPr>
        <w:t>7</w:t>
      </w:r>
      <w:r>
        <w:rPr>
          <w:rFonts w:eastAsia="方正仿宋_GBK"/>
          <w:color w:val="000000"/>
          <w:sz w:val="28"/>
        </w:rPr>
        <w:t>、</w:t>
      </w:r>
      <w:r>
        <w:t>加强宣传培训调研等。加强人员培训，提高本部门职工业务素质；加强调研，提出优化财政资金配置、提高资金使用效益的</w:t>
      </w:r>
      <w:bookmarkStart w:id="20" w:name="_GoBack"/>
      <w:bookmarkEnd w:id="20"/>
      <w:r>
        <w:t>意见；加大宣传力度，强化预算绩效管理意识，促进预算绩效管理水平进一步提升。</w:t>
      </w:r>
    </w:p>
    <w:p>
      <w:pPr>
        <w:pStyle w:val="21"/>
        <w:sectPr>
          <w:pgSz w:w="16840" w:h="11900" w:orient="landscape"/>
          <w:pgMar w:top="1361" w:right="1020" w:bottom="1361" w:left="1020" w:header="720" w:footer="720" w:gutter="0"/>
          <w:cols w:space="720" w:num="1"/>
        </w:sectPr>
      </w:pPr>
    </w:p>
    <w:p>
      <w:pPr>
        <w:numPr>
          <w:ilvl w:val="0"/>
          <w:numId w:val="1"/>
        </w:num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outlineLvl w:val="2"/>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sz w:val="28"/>
          <w:szCs w:val="24"/>
          <w:lang w:val="en-US" w:eastAsia="zh-CN" w:bidi="ar-SA"/>
        </w:rPr>
        <w:t xml:space="preserve">无 </w:t>
      </w:r>
      <w:r>
        <w:rPr>
          <w:rFonts w:hint="eastAsia" w:ascii="黑体" w:hAnsi="黑体" w:eastAsia="黑体" w:cs="黑体"/>
          <w:color w:val="000000"/>
          <w:sz w:val="32"/>
          <w:lang w:val="en-US" w:eastAsia="zh-CN"/>
        </w:rPr>
        <w:t xml:space="preserve">     </w:t>
      </w:r>
    </w:p>
    <w:p>
      <w:pPr>
        <w:numPr>
          <w:ilvl w:val="0"/>
          <w:numId w:val="0"/>
        </w:numPr>
        <w:spacing w:before="10" w:after="10" w:line="360" w:lineRule="auto"/>
        <w:outlineLvl w:val="2"/>
        <w:rPr>
          <w:rFonts w:ascii="黑体" w:hAnsi="黑体" w:eastAsia="黑体" w:cs="黑体"/>
          <w:color w:val="000000"/>
          <w:sz w:val="32"/>
        </w:rPr>
      </w:pPr>
    </w:p>
    <w:p>
      <w:pPr>
        <w:numPr>
          <w:ilvl w:val="0"/>
          <w:numId w:val="0"/>
        </w:numPr>
        <w:spacing w:before="10" w:after="10" w:line="360" w:lineRule="auto"/>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1、高阳县人大代表之家绩效目标表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13062825P000156100049</w:t>
            </w:r>
          </w:p>
        </w:tc>
        <w:tc>
          <w:tcPr>
            <w:tcW w:w="2835" w:type="dxa"/>
            <w:vAlign w:val="center"/>
          </w:tcPr>
          <w:p>
            <w:pPr>
              <w:pStyle w:val="8"/>
            </w:pPr>
            <w:r>
              <w:t>项目名称</w:t>
            </w:r>
          </w:p>
        </w:tc>
        <w:tc>
          <w:tcPr>
            <w:tcW w:w="6095" w:type="dxa"/>
            <w:gridSpan w:val="3"/>
            <w:vAlign w:val="center"/>
          </w:tcPr>
          <w:p>
            <w:pPr>
              <w:pStyle w:val="10"/>
            </w:pPr>
            <w:r>
              <w:t>高阳县人大代表之家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20.00</w:t>
            </w:r>
          </w:p>
        </w:tc>
        <w:tc>
          <w:tcPr>
            <w:tcW w:w="2835" w:type="dxa"/>
            <w:vAlign w:val="center"/>
          </w:tcPr>
          <w:p>
            <w:pPr>
              <w:pStyle w:val="8"/>
            </w:pPr>
            <w:r>
              <w:t>其中：财政    资金</w:t>
            </w:r>
          </w:p>
        </w:tc>
        <w:tc>
          <w:tcPr>
            <w:tcW w:w="2551" w:type="dxa"/>
            <w:vAlign w:val="center"/>
          </w:tcPr>
          <w:p>
            <w:pPr>
              <w:pStyle w:val="10"/>
            </w:pPr>
            <w:r>
              <w:t>20.00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2025年高阳县人大代表之家经费支出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r>
              <w:rPr>
                <w:rFonts w:hint="eastAsia"/>
                <w:lang w:eastAsia="zh-CN"/>
              </w:rPr>
              <w:t>万元</w:t>
            </w:r>
            <w:r>
              <w:t>）</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5.00</w:t>
            </w:r>
          </w:p>
        </w:tc>
        <w:tc>
          <w:tcPr>
            <w:tcW w:w="2835" w:type="dxa"/>
            <w:vAlign w:val="center"/>
          </w:tcPr>
          <w:p>
            <w:pPr>
              <w:pStyle w:val="11"/>
            </w:pPr>
            <w:r>
              <w:t>10.00</w:t>
            </w:r>
          </w:p>
        </w:tc>
        <w:tc>
          <w:tcPr>
            <w:tcW w:w="2551" w:type="dxa"/>
            <w:vAlign w:val="center"/>
          </w:tcPr>
          <w:p>
            <w:pPr>
              <w:pStyle w:val="11"/>
            </w:pPr>
            <w:r>
              <w:t>15.00</w:t>
            </w:r>
          </w:p>
        </w:tc>
        <w:tc>
          <w:tcPr>
            <w:tcW w:w="3544" w:type="dxa"/>
            <w:gridSpan w:val="2"/>
            <w:vAlign w:val="center"/>
          </w:tcPr>
          <w:p>
            <w:pPr>
              <w:pStyle w:val="11"/>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1.高阳县人大代表之家目标内容</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宣传、活动开展次数</w:t>
            </w:r>
          </w:p>
        </w:tc>
        <w:tc>
          <w:tcPr>
            <w:tcW w:w="5386" w:type="dxa"/>
            <w:vAlign w:val="center"/>
          </w:tcPr>
          <w:p>
            <w:pPr>
              <w:pStyle w:val="10"/>
            </w:pPr>
            <w:r>
              <w:t>年内开展调研、视察、执法检查各项活动数量</w:t>
            </w:r>
          </w:p>
        </w:tc>
        <w:tc>
          <w:tcPr>
            <w:tcW w:w="2268" w:type="dxa"/>
            <w:vAlign w:val="center"/>
          </w:tcPr>
          <w:p>
            <w:pPr>
              <w:pStyle w:val="10"/>
            </w:pPr>
            <w:r>
              <w:t>≥10项</w:t>
            </w:r>
          </w:p>
        </w:tc>
        <w:tc>
          <w:tcPr>
            <w:tcW w:w="1276" w:type="dxa"/>
            <w:vAlign w:val="center"/>
          </w:tcPr>
          <w:p>
            <w:pPr>
              <w:pStyle w:val="10"/>
            </w:pPr>
            <w:r>
              <w:t>代表法相关规定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合格率</w:t>
            </w:r>
          </w:p>
        </w:tc>
        <w:tc>
          <w:tcPr>
            <w:tcW w:w="5386" w:type="dxa"/>
            <w:vAlign w:val="center"/>
          </w:tcPr>
          <w:p>
            <w:pPr>
              <w:pStyle w:val="10"/>
            </w:pPr>
            <w:r>
              <w:t>占总数的比值</w:t>
            </w:r>
          </w:p>
        </w:tc>
        <w:tc>
          <w:tcPr>
            <w:tcW w:w="2268" w:type="dxa"/>
            <w:vAlign w:val="center"/>
          </w:tcPr>
          <w:p>
            <w:pPr>
              <w:pStyle w:val="10"/>
            </w:pPr>
            <w:r>
              <w:t>≥95%</w:t>
            </w:r>
          </w:p>
        </w:tc>
        <w:tc>
          <w:tcPr>
            <w:tcW w:w="1276" w:type="dxa"/>
            <w:vAlign w:val="center"/>
          </w:tcPr>
          <w:p>
            <w:pPr>
              <w:pStyle w:val="10"/>
            </w:pPr>
            <w:r>
              <w:t>市人大关于代表之家建设相关规定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工作开展及时性</w:t>
            </w:r>
          </w:p>
        </w:tc>
        <w:tc>
          <w:tcPr>
            <w:tcW w:w="5386" w:type="dxa"/>
            <w:vAlign w:val="center"/>
          </w:tcPr>
          <w:p>
            <w:pPr>
              <w:pStyle w:val="10"/>
            </w:pPr>
            <w:r>
              <w:t>反映工作是否在规定的时间内完成</w:t>
            </w:r>
          </w:p>
        </w:tc>
        <w:tc>
          <w:tcPr>
            <w:tcW w:w="2268" w:type="dxa"/>
            <w:vAlign w:val="center"/>
          </w:tcPr>
          <w:p>
            <w:pPr>
              <w:pStyle w:val="10"/>
            </w:pPr>
            <w:r>
              <w:t>100%</w:t>
            </w:r>
          </w:p>
        </w:tc>
        <w:tc>
          <w:tcPr>
            <w:tcW w:w="1276" w:type="dxa"/>
            <w:vAlign w:val="center"/>
          </w:tcPr>
          <w:p>
            <w:pPr>
              <w:pStyle w:val="10"/>
            </w:pPr>
            <w:r>
              <w:t>代表法相关规定、常委会工作计划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实际支出金额占预算金额的比率</w:t>
            </w:r>
          </w:p>
        </w:tc>
        <w:tc>
          <w:tcPr>
            <w:tcW w:w="2268" w:type="dxa"/>
            <w:vAlign w:val="center"/>
          </w:tcPr>
          <w:p>
            <w:pPr>
              <w:pStyle w:val="10"/>
            </w:pPr>
            <w:r>
              <w:t>≤100%</w:t>
            </w:r>
          </w:p>
        </w:tc>
        <w:tc>
          <w:tcPr>
            <w:tcW w:w="1276" w:type="dxa"/>
            <w:vAlign w:val="center"/>
          </w:tcPr>
          <w:p>
            <w:pPr>
              <w:pStyle w:val="10"/>
            </w:pPr>
            <w:r>
              <w:t>市人大关于的表之家建设相关规定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社会积极评价率</w:t>
            </w:r>
          </w:p>
        </w:tc>
        <w:tc>
          <w:tcPr>
            <w:tcW w:w="5386" w:type="dxa"/>
            <w:vAlign w:val="center"/>
          </w:tcPr>
          <w:p>
            <w:pPr>
              <w:pStyle w:val="10"/>
            </w:pPr>
            <w:r>
              <w:t>开展活动满意率占群众和代表测评总数的比值</w:t>
            </w:r>
          </w:p>
        </w:tc>
        <w:tc>
          <w:tcPr>
            <w:tcW w:w="2268" w:type="dxa"/>
            <w:vAlign w:val="center"/>
          </w:tcPr>
          <w:p>
            <w:pPr>
              <w:pStyle w:val="10"/>
            </w:pPr>
            <w:r>
              <w:t>≥95%</w:t>
            </w:r>
          </w:p>
        </w:tc>
        <w:tc>
          <w:tcPr>
            <w:tcW w:w="1276" w:type="dxa"/>
            <w:vAlign w:val="center"/>
          </w:tcPr>
          <w:p>
            <w:pPr>
              <w:pStyle w:val="10"/>
            </w:pPr>
            <w:r>
              <w:t>代表法相关规定</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2、高阳县人大会议绩效目标表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13062825P00DLBN10006B</w:t>
            </w:r>
          </w:p>
        </w:tc>
        <w:tc>
          <w:tcPr>
            <w:tcW w:w="2835" w:type="dxa"/>
            <w:vAlign w:val="center"/>
          </w:tcPr>
          <w:p>
            <w:pPr>
              <w:pStyle w:val="8"/>
            </w:pPr>
            <w:r>
              <w:t>项目名称</w:t>
            </w:r>
          </w:p>
        </w:tc>
        <w:tc>
          <w:tcPr>
            <w:tcW w:w="6095" w:type="dxa"/>
            <w:gridSpan w:val="3"/>
            <w:vAlign w:val="center"/>
          </w:tcPr>
          <w:p>
            <w:pPr>
              <w:pStyle w:val="10"/>
            </w:pPr>
            <w:r>
              <w:t>高阳县人大会议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36.00</w:t>
            </w:r>
          </w:p>
        </w:tc>
        <w:tc>
          <w:tcPr>
            <w:tcW w:w="2835" w:type="dxa"/>
            <w:vAlign w:val="center"/>
          </w:tcPr>
          <w:p>
            <w:pPr>
              <w:pStyle w:val="8"/>
            </w:pPr>
            <w:r>
              <w:t>其中：财政    资金</w:t>
            </w:r>
          </w:p>
        </w:tc>
        <w:tc>
          <w:tcPr>
            <w:tcW w:w="2551" w:type="dxa"/>
            <w:vAlign w:val="center"/>
          </w:tcPr>
          <w:p>
            <w:pPr>
              <w:pStyle w:val="10"/>
            </w:pPr>
            <w:r>
              <w:t>36.00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2025年高阳县人大会议经费支出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r>
              <w:rPr>
                <w:rFonts w:hint="eastAsia"/>
                <w:lang w:eastAsia="zh-CN"/>
              </w:rPr>
              <w:t>万元</w:t>
            </w:r>
            <w:r>
              <w:t>）</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36.00</w:t>
            </w:r>
          </w:p>
        </w:tc>
        <w:tc>
          <w:tcPr>
            <w:tcW w:w="2835" w:type="dxa"/>
            <w:vAlign w:val="center"/>
          </w:tcPr>
          <w:p>
            <w:pPr>
              <w:pStyle w:val="11"/>
            </w:pPr>
            <w:r>
              <w:t>36.00</w:t>
            </w:r>
          </w:p>
        </w:tc>
        <w:tc>
          <w:tcPr>
            <w:tcW w:w="2551" w:type="dxa"/>
            <w:vAlign w:val="center"/>
          </w:tcPr>
          <w:p>
            <w:pPr>
              <w:pStyle w:val="11"/>
            </w:pPr>
            <w:r>
              <w:t>36.00</w:t>
            </w:r>
          </w:p>
        </w:tc>
        <w:tc>
          <w:tcPr>
            <w:tcW w:w="3544" w:type="dxa"/>
            <w:gridSpan w:val="2"/>
            <w:vAlign w:val="center"/>
          </w:tcPr>
          <w:p>
            <w:pPr>
              <w:pStyle w:val="11"/>
            </w:pPr>
            <w:r>
              <w:t>36.00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1.高阳县人大会议目标内容1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完成数量</w:t>
            </w:r>
          </w:p>
        </w:tc>
        <w:tc>
          <w:tcPr>
            <w:tcW w:w="5386" w:type="dxa"/>
            <w:vAlign w:val="center"/>
          </w:tcPr>
          <w:p>
            <w:pPr>
              <w:pStyle w:val="10"/>
            </w:pPr>
            <w:r>
              <w:t>完成会前视察1次，提出意见、批评和建议15条</w:t>
            </w:r>
          </w:p>
        </w:tc>
        <w:tc>
          <w:tcPr>
            <w:tcW w:w="2268" w:type="dxa"/>
            <w:vAlign w:val="center"/>
          </w:tcPr>
          <w:p>
            <w:pPr>
              <w:pStyle w:val="10"/>
            </w:pPr>
            <w:r>
              <w:t>≥16条/次</w:t>
            </w:r>
          </w:p>
        </w:tc>
        <w:tc>
          <w:tcPr>
            <w:tcW w:w="1276" w:type="dxa"/>
            <w:vAlign w:val="center"/>
          </w:tcPr>
          <w:p>
            <w:pPr>
              <w:pStyle w:val="10"/>
            </w:pPr>
            <w:r>
              <w:t>代表履职手册相关规定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培训班、会议完成率</w:t>
            </w:r>
          </w:p>
          <w:p>
            <w:pPr>
              <w:pStyle w:val="10"/>
            </w:pPr>
          </w:p>
        </w:tc>
        <w:tc>
          <w:tcPr>
            <w:tcW w:w="5386" w:type="dxa"/>
            <w:vAlign w:val="center"/>
          </w:tcPr>
          <w:p>
            <w:pPr>
              <w:pStyle w:val="10"/>
            </w:pPr>
            <w:r>
              <w:t>常委会确定各项议题完成率占预期比值</w:t>
            </w:r>
          </w:p>
          <w:p>
            <w:pPr>
              <w:pStyle w:val="10"/>
            </w:pPr>
          </w:p>
        </w:tc>
        <w:tc>
          <w:tcPr>
            <w:tcW w:w="2268" w:type="dxa"/>
            <w:vAlign w:val="center"/>
          </w:tcPr>
          <w:p>
            <w:pPr>
              <w:pStyle w:val="10"/>
            </w:pPr>
            <w:r>
              <w:t>≥95%</w:t>
            </w:r>
          </w:p>
        </w:tc>
        <w:tc>
          <w:tcPr>
            <w:tcW w:w="1276" w:type="dxa"/>
            <w:vAlign w:val="center"/>
          </w:tcPr>
          <w:p>
            <w:pPr>
              <w:pStyle w:val="10"/>
            </w:pPr>
            <w:r>
              <w:t>组织法相关规定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完成工作任务及时性</w:t>
            </w:r>
          </w:p>
        </w:tc>
        <w:tc>
          <w:tcPr>
            <w:tcW w:w="5386" w:type="dxa"/>
            <w:vAlign w:val="center"/>
          </w:tcPr>
          <w:p>
            <w:pPr>
              <w:pStyle w:val="10"/>
            </w:pPr>
            <w:r>
              <w:t>反映工作是否在规定时间内完成</w:t>
            </w:r>
          </w:p>
        </w:tc>
        <w:tc>
          <w:tcPr>
            <w:tcW w:w="2268" w:type="dxa"/>
            <w:vAlign w:val="center"/>
          </w:tcPr>
          <w:p>
            <w:pPr>
              <w:pStyle w:val="10"/>
            </w:pPr>
            <w:r>
              <w:t>100%</w:t>
            </w:r>
          </w:p>
        </w:tc>
        <w:tc>
          <w:tcPr>
            <w:tcW w:w="1276" w:type="dxa"/>
            <w:vAlign w:val="center"/>
          </w:tcPr>
          <w:p>
            <w:pPr>
              <w:pStyle w:val="10"/>
            </w:pPr>
            <w:r>
              <w:t>组织法相关规定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实际支出金额占预算金额的比例</w:t>
            </w:r>
          </w:p>
        </w:tc>
        <w:tc>
          <w:tcPr>
            <w:tcW w:w="2268" w:type="dxa"/>
            <w:vAlign w:val="center"/>
          </w:tcPr>
          <w:p>
            <w:pPr>
              <w:pStyle w:val="10"/>
            </w:pPr>
            <w:r>
              <w:t>≤100%</w:t>
            </w:r>
          </w:p>
        </w:tc>
        <w:tc>
          <w:tcPr>
            <w:tcW w:w="1276" w:type="dxa"/>
            <w:vAlign w:val="center"/>
          </w:tcPr>
          <w:p>
            <w:pPr>
              <w:pStyle w:val="10"/>
            </w:pPr>
            <w:r>
              <w:t>组织法相关规定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工作完成率</w:t>
            </w:r>
          </w:p>
        </w:tc>
        <w:tc>
          <w:tcPr>
            <w:tcW w:w="5386" w:type="dxa"/>
            <w:vAlign w:val="center"/>
          </w:tcPr>
          <w:p>
            <w:pPr>
              <w:pStyle w:val="10"/>
            </w:pPr>
            <w:r>
              <w:t>反映办公任务是否正常持续开展</w:t>
            </w:r>
          </w:p>
        </w:tc>
        <w:tc>
          <w:tcPr>
            <w:tcW w:w="2268" w:type="dxa"/>
            <w:vAlign w:val="center"/>
          </w:tcPr>
          <w:p>
            <w:pPr>
              <w:pStyle w:val="10"/>
            </w:pPr>
            <w:r>
              <w:t>100%</w:t>
            </w:r>
          </w:p>
        </w:tc>
        <w:tc>
          <w:tcPr>
            <w:tcW w:w="1276" w:type="dxa"/>
            <w:vAlign w:val="center"/>
          </w:tcPr>
          <w:p>
            <w:pPr>
              <w:pStyle w:val="10"/>
            </w:pPr>
            <w:r>
              <w:t>组织法相关规定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3、高阳县人大监督绩效目标表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13062825P00868410005J</w:t>
            </w:r>
          </w:p>
        </w:tc>
        <w:tc>
          <w:tcPr>
            <w:tcW w:w="2835" w:type="dxa"/>
            <w:vAlign w:val="center"/>
          </w:tcPr>
          <w:p>
            <w:pPr>
              <w:pStyle w:val="8"/>
            </w:pPr>
            <w:r>
              <w:t>项目名称</w:t>
            </w:r>
          </w:p>
        </w:tc>
        <w:tc>
          <w:tcPr>
            <w:tcW w:w="6095" w:type="dxa"/>
            <w:gridSpan w:val="3"/>
            <w:vAlign w:val="center"/>
          </w:tcPr>
          <w:p>
            <w:pPr>
              <w:pStyle w:val="10"/>
            </w:pPr>
            <w:r>
              <w:t>高阳县人大监督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w:t>
            </w:r>
          </w:p>
        </w:tc>
        <w:tc>
          <w:tcPr>
            <w:tcW w:w="2835" w:type="dxa"/>
            <w:vAlign w:val="center"/>
          </w:tcPr>
          <w:p>
            <w:pPr>
              <w:pStyle w:val="8"/>
            </w:pPr>
            <w:r>
              <w:t>其中：财政    资金</w:t>
            </w:r>
          </w:p>
        </w:tc>
        <w:tc>
          <w:tcPr>
            <w:tcW w:w="2551" w:type="dxa"/>
            <w:vAlign w:val="center"/>
          </w:tcPr>
          <w:p>
            <w:pPr>
              <w:pStyle w:val="10"/>
            </w:pPr>
            <w:r>
              <w:t>5.00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2025年高阳县人大监督经费支出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r>
              <w:rPr>
                <w:rFonts w:hint="eastAsia"/>
                <w:lang w:eastAsia="zh-CN"/>
              </w:rPr>
              <w:t>万元</w:t>
            </w:r>
            <w:r>
              <w:t>）</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1.25</w:t>
            </w:r>
          </w:p>
        </w:tc>
        <w:tc>
          <w:tcPr>
            <w:tcW w:w="2835" w:type="dxa"/>
            <w:vAlign w:val="center"/>
          </w:tcPr>
          <w:p>
            <w:pPr>
              <w:pStyle w:val="11"/>
            </w:pPr>
            <w:r>
              <w:t>2.50</w:t>
            </w:r>
          </w:p>
        </w:tc>
        <w:tc>
          <w:tcPr>
            <w:tcW w:w="2551" w:type="dxa"/>
            <w:vAlign w:val="center"/>
          </w:tcPr>
          <w:p>
            <w:pPr>
              <w:pStyle w:val="11"/>
            </w:pPr>
            <w:r>
              <w:t>3.75</w:t>
            </w:r>
          </w:p>
        </w:tc>
        <w:tc>
          <w:tcPr>
            <w:tcW w:w="3544" w:type="dxa"/>
            <w:gridSpan w:val="2"/>
            <w:vAlign w:val="center"/>
          </w:tcPr>
          <w:p>
            <w:pPr>
              <w:pStyle w:val="11"/>
            </w:pPr>
            <w:r>
              <w:t>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1.开展视察、调研和执法检查3项</w:t>
            </w:r>
          </w:p>
          <w:p>
            <w:pPr>
              <w:pStyle w:val="10"/>
            </w:pPr>
            <w:r>
              <w:t>2.听取和审议专项工作报告3项</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活动数量</w:t>
            </w:r>
          </w:p>
        </w:tc>
        <w:tc>
          <w:tcPr>
            <w:tcW w:w="5386" w:type="dxa"/>
            <w:vAlign w:val="center"/>
          </w:tcPr>
          <w:p>
            <w:pPr>
              <w:pStyle w:val="10"/>
            </w:pPr>
            <w:r>
              <w:t>年内完成活动计划数量</w:t>
            </w:r>
          </w:p>
        </w:tc>
        <w:tc>
          <w:tcPr>
            <w:tcW w:w="2268" w:type="dxa"/>
            <w:vAlign w:val="center"/>
          </w:tcPr>
          <w:p>
            <w:pPr>
              <w:pStyle w:val="10"/>
            </w:pPr>
            <w:r>
              <w:t>≥10项</w:t>
            </w:r>
          </w:p>
        </w:tc>
        <w:tc>
          <w:tcPr>
            <w:tcW w:w="1276" w:type="dxa"/>
            <w:vAlign w:val="center"/>
          </w:tcPr>
          <w:p>
            <w:pPr>
              <w:pStyle w:val="10"/>
            </w:pPr>
            <w:r>
              <w:t>人大常委会年度工作计划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活动达标</w:t>
            </w:r>
          </w:p>
        </w:tc>
        <w:tc>
          <w:tcPr>
            <w:tcW w:w="5386" w:type="dxa"/>
            <w:vAlign w:val="center"/>
          </w:tcPr>
          <w:p>
            <w:pPr>
              <w:pStyle w:val="10"/>
            </w:pPr>
            <w:r>
              <w:t>所开展活动达标率占比</w:t>
            </w:r>
          </w:p>
        </w:tc>
        <w:tc>
          <w:tcPr>
            <w:tcW w:w="2268" w:type="dxa"/>
            <w:vAlign w:val="center"/>
          </w:tcPr>
          <w:p>
            <w:pPr>
              <w:pStyle w:val="10"/>
            </w:pPr>
            <w:r>
              <w:t>≥95%</w:t>
            </w:r>
          </w:p>
        </w:tc>
        <w:tc>
          <w:tcPr>
            <w:tcW w:w="1276" w:type="dxa"/>
            <w:vAlign w:val="center"/>
          </w:tcPr>
          <w:p>
            <w:pPr>
              <w:pStyle w:val="10"/>
            </w:pPr>
            <w:r>
              <w:t>监督法规定和上级人大要求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完成年度</w:t>
            </w:r>
          </w:p>
        </w:tc>
        <w:tc>
          <w:tcPr>
            <w:tcW w:w="5386" w:type="dxa"/>
            <w:vAlign w:val="center"/>
          </w:tcPr>
          <w:p>
            <w:pPr>
              <w:pStyle w:val="10"/>
            </w:pPr>
            <w:r>
              <w:t>确保年内如期开展各项活动</w:t>
            </w:r>
          </w:p>
        </w:tc>
        <w:tc>
          <w:tcPr>
            <w:tcW w:w="2268" w:type="dxa"/>
            <w:vAlign w:val="center"/>
          </w:tcPr>
          <w:p>
            <w:pPr>
              <w:pStyle w:val="10"/>
            </w:pPr>
            <w:r>
              <w:t>1年</w:t>
            </w:r>
          </w:p>
        </w:tc>
        <w:tc>
          <w:tcPr>
            <w:tcW w:w="1276" w:type="dxa"/>
            <w:vAlign w:val="center"/>
          </w:tcPr>
          <w:p>
            <w:pPr>
              <w:pStyle w:val="10"/>
            </w:pPr>
            <w:r>
              <w:t>监督法规定和人大年度工作计划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资金支付进度</w:t>
            </w:r>
          </w:p>
        </w:tc>
        <w:tc>
          <w:tcPr>
            <w:tcW w:w="5386" w:type="dxa"/>
            <w:vAlign w:val="center"/>
          </w:tcPr>
          <w:p>
            <w:pPr>
              <w:pStyle w:val="10"/>
            </w:pPr>
            <w:r>
              <w:t>资金支付数额占年度预算的比值</w:t>
            </w:r>
          </w:p>
        </w:tc>
        <w:tc>
          <w:tcPr>
            <w:tcW w:w="2268" w:type="dxa"/>
            <w:vAlign w:val="center"/>
          </w:tcPr>
          <w:p>
            <w:pPr>
              <w:pStyle w:val="10"/>
            </w:pPr>
            <w:r>
              <w:t>100%</w:t>
            </w:r>
          </w:p>
        </w:tc>
        <w:tc>
          <w:tcPr>
            <w:tcW w:w="1276" w:type="dxa"/>
            <w:vAlign w:val="center"/>
          </w:tcPr>
          <w:p>
            <w:pPr>
              <w:pStyle w:val="10"/>
            </w:pPr>
            <w:r>
              <w:t>监督法规定和预算安排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满意率</w:t>
            </w:r>
          </w:p>
        </w:tc>
        <w:tc>
          <w:tcPr>
            <w:tcW w:w="5386" w:type="dxa"/>
            <w:vAlign w:val="center"/>
          </w:tcPr>
          <w:p>
            <w:pPr>
              <w:pStyle w:val="10"/>
            </w:pPr>
            <w:r>
              <w:t>开展活动满意率占代表测评的比值</w:t>
            </w:r>
          </w:p>
        </w:tc>
        <w:tc>
          <w:tcPr>
            <w:tcW w:w="2268" w:type="dxa"/>
            <w:vAlign w:val="center"/>
          </w:tcPr>
          <w:p>
            <w:pPr>
              <w:pStyle w:val="10"/>
            </w:pPr>
            <w:r>
              <w:t>≥90%</w:t>
            </w:r>
          </w:p>
        </w:tc>
        <w:tc>
          <w:tcPr>
            <w:tcW w:w="1276" w:type="dxa"/>
            <w:vAlign w:val="center"/>
          </w:tcPr>
          <w:p>
            <w:pPr>
              <w:pStyle w:val="10"/>
            </w:pPr>
            <w:r>
              <w:t>监督法规和代表测评</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101高阳县人民代表大会常务委员会办公室</w:t>
            </w:r>
          </w:p>
        </w:tc>
        <w:tc>
          <w:tcPr>
            <w:tcW w:w="7712"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8" w:type="dxa"/>
            <w:gridSpan w:val="7"/>
            <w:vAlign w:val="center"/>
          </w:tcPr>
          <w:p>
            <w:pPr>
              <w:pStyle w:val="8"/>
            </w:pPr>
            <w:r>
              <w:t>政府采购金额（当年部门预算安排资金）</w:t>
            </w:r>
          </w:p>
        </w:tc>
        <w:tc>
          <w:tcPr>
            <w:tcW w:w="964" w:type="dxa"/>
            <w:vMerge w:val="restart"/>
            <w:vAlign w:val="center"/>
          </w:tcPr>
          <w:p>
            <w:pPr>
              <w:pStyle w:val="8"/>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0"/>
            </w:pPr>
          </w:p>
        </w:tc>
        <w:tc>
          <w:tcPr>
            <w:tcW w:w="964" w:type="dxa"/>
            <w:vAlign w:val="center"/>
          </w:tcPr>
          <w:p>
            <w:pPr>
              <w:pStyle w:val="9"/>
            </w:pPr>
          </w:p>
        </w:tc>
        <w:tc>
          <w:tcPr>
            <w:tcW w:w="1134" w:type="dxa"/>
            <w:vAlign w:val="center"/>
          </w:tcPr>
          <w:p>
            <w:pPr>
              <w:pStyle w:val="10"/>
            </w:pPr>
          </w:p>
        </w:tc>
        <w:tc>
          <w:tcPr>
            <w:tcW w:w="1134" w:type="dxa"/>
            <w:vAlign w:val="center"/>
          </w:tcPr>
          <w:p>
            <w:pPr>
              <w:pStyle w:val="10"/>
            </w:pPr>
          </w:p>
        </w:tc>
        <w:tc>
          <w:tcPr>
            <w:tcW w:w="709" w:type="dxa"/>
            <w:vAlign w:val="center"/>
          </w:tcPr>
          <w:p>
            <w:pPr>
              <w:pStyle w:val="11"/>
            </w:pPr>
          </w:p>
        </w:tc>
        <w:tc>
          <w:tcPr>
            <w:tcW w:w="850" w:type="dxa"/>
            <w:vAlign w:val="center"/>
          </w:tcPr>
          <w:p>
            <w:pPr>
              <w:pStyle w:val="9"/>
            </w:pPr>
          </w:p>
        </w:tc>
        <w:tc>
          <w:tcPr>
            <w:tcW w:w="850"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高阳县人民代表大会常务委员会办公室（含所属单位）上年末固定资产金额为90.77万元（详见下表）。本年度拟购置固定资产总额为2.96万元，</w:t>
      </w:r>
      <w:r>
        <w:rPr>
          <w:rFonts w:hint="eastAsia" w:eastAsia="方正仿宋_GBK"/>
          <w:color w:val="000000"/>
          <w:sz w:val="28"/>
          <w:lang w:eastAsia="zh-CN"/>
        </w:rPr>
        <w:t>购置项目未达到政府采购标准，不在政府采购预算体现</w:t>
      </w:r>
      <w:r>
        <w:rPr>
          <w:rFonts w:eastAsia="方正仿宋_GBK"/>
          <w:color w:val="000000"/>
          <w:sz w:val="28"/>
        </w:rPr>
        <w:t>。</w:t>
      </w:r>
    </w:p>
    <w:p>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101高阳县人民代表大会常务委员会办公室</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90.77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r>
              <w:t>4</w:t>
            </w:r>
          </w:p>
        </w:tc>
        <w:tc>
          <w:tcPr>
            <w:tcW w:w="2835" w:type="dxa"/>
            <w:vAlign w:val="center"/>
          </w:tcPr>
          <w:p>
            <w:pPr>
              <w:pStyle w:val="9"/>
            </w:pPr>
            <w:r>
              <w:t>53.57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0"/>
            </w:pPr>
            <w:r>
              <w:t>4、其他固定资产</w:t>
            </w:r>
          </w:p>
        </w:tc>
        <w:tc>
          <w:tcPr>
            <w:tcW w:w="2835" w:type="dxa"/>
            <w:vAlign w:val="center"/>
          </w:tcPr>
          <w:p>
            <w:pPr>
              <w:pStyle w:val="11"/>
            </w:pPr>
            <w:r>
              <w:t>83</w:t>
            </w:r>
          </w:p>
        </w:tc>
        <w:tc>
          <w:tcPr>
            <w:tcW w:w="2835" w:type="dxa"/>
            <w:vAlign w:val="center"/>
          </w:tcPr>
          <w:p>
            <w:pPr>
              <w:pStyle w:val="9"/>
            </w:pPr>
            <w:r>
              <w:t>37.20</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874A6"/>
    <w:multiLevelType w:val="singleLevel"/>
    <w:tmpl w:val="F75874A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F36897"/>
    <w:rsid w:val="00384BFB"/>
    <w:rsid w:val="00611539"/>
    <w:rsid w:val="009839CE"/>
    <w:rsid w:val="00B71794"/>
    <w:rsid w:val="00D31EE3"/>
    <w:rsid w:val="00F36897"/>
    <w:rsid w:val="14B80F01"/>
    <w:rsid w:val="34E7401A"/>
    <w:rsid w:val="38AE64E7"/>
    <w:rsid w:val="4A33409E"/>
    <w:rsid w:val="4C534492"/>
    <w:rsid w:val="4DAE1980"/>
    <w:rsid w:val="4E257606"/>
    <w:rsid w:val="4F1474AC"/>
    <w:rsid w:val="5D6C1C25"/>
    <w:rsid w:val="72643484"/>
    <w:rsid w:val="7553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7920</Words>
  <Characters>9685</Characters>
  <Lines>95</Lines>
  <Paragraphs>26</Paragraphs>
  <TotalTime>2</TotalTime>
  <ScaleCrop>false</ScaleCrop>
  <LinksUpToDate>false</LinksUpToDate>
  <CharactersWithSpaces>9870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2025-02-05T15:18:00Z</dcterms:created>
  <dc:creator>Administrator</dc:creator>
  <cp:lastModifiedBy>Eve</cp:lastModifiedBy>
  <dcterms:modified xsi:type="dcterms:W3CDTF">2025-02-13T01:23:37Z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A4B34A5CE8614F35916DDA087BC2B4EC</vt:lpwstr>
  </property>
</Properties>
</file>