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一、高阳县城市管理综合行政执法局收支预算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一、高阳县城市管理综合行政执法局收支预算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12100.82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10634.05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12100.82</w:t>
            </w:r>
          </w:p>
        </w:tc>
        <w:tc>
          <w:tcPr>
            <w:tcW w:w="4535" w:type="dxa"/>
            <w:vAlign w:val="center"/>
          </w:tcPr>
          <w:p>
            <w:pPr>
              <w:pStyle w:val="14"/>
            </w:pPr>
            <w:r>
              <w:t>本年支出合计</w:t>
            </w:r>
          </w:p>
        </w:tc>
        <w:tc>
          <w:tcPr>
            <w:tcW w:w="2126" w:type="dxa"/>
            <w:vAlign w:val="center"/>
          </w:tcPr>
          <w:p>
            <w:pPr>
              <w:pStyle w:val="15"/>
            </w:pPr>
            <w:r>
              <w:t>12100.82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12100.82</w:t>
            </w:r>
          </w:p>
        </w:tc>
        <w:tc>
          <w:tcPr>
            <w:tcW w:w="4535" w:type="dxa"/>
            <w:vAlign w:val="center"/>
          </w:tcPr>
          <w:p>
            <w:pPr>
              <w:pStyle w:val="14"/>
            </w:pPr>
            <w:r>
              <w:t>支出总计</w:t>
            </w:r>
          </w:p>
        </w:tc>
        <w:tc>
          <w:tcPr>
            <w:tcW w:w="2126" w:type="dxa"/>
            <w:vAlign w:val="center"/>
          </w:tcPr>
          <w:p>
            <w:pPr>
              <w:pStyle w:val="15"/>
            </w:pPr>
            <w:r>
              <w:t>12100.82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12100.82</w:t>
            </w:r>
          </w:p>
        </w:tc>
        <w:tc>
          <w:tcPr>
            <w:tcW w:w="1134" w:type="dxa"/>
            <w:vAlign w:val="center"/>
          </w:tcPr>
          <w:p>
            <w:pPr>
              <w:pStyle w:val="15"/>
            </w:pPr>
            <w:r>
              <w:t>12100.82</w:t>
            </w:r>
          </w:p>
        </w:tc>
        <w:tc>
          <w:tcPr>
            <w:tcW w:w="1134" w:type="dxa"/>
            <w:vAlign w:val="center"/>
          </w:tcPr>
          <w:p>
            <w:pPr>
              <w:pStyle w:val="15"/>
            </w:pPr>
            <w:r>
              <w:t>12100.82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99.18</w:t>
            </w:r>
          </w:p>
        </w:tc>
        <w:tc>
          <w:tcPr>
            <w:tcW w:w="1134" w:type="dxa"/>
            <w:vAlign w:val="center"/>
          </w:tcPr>
          <w:p>
            <w:pPr>
              <w:pStyle w:val="11"/>
            </w:pPr>
            <w:r>
              <w:t>99.18</w:t>
            </w:r>
          </w:p>
        </w:tc>
        <w:tc>
          <w:tcPr>
            <w:tcW w:w="1134" w:type="dxa"/>
            <w:vAlign w:val="center"/>
          </w:tcPr>
          <w:p>
            <w:pPr>
              <w:pStyle w:val="11"/>
            </w:pPr>
            <w:r>
              <w:t>99.18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95.10</w:t>
            </w:r>
          </w:p>
        </w:tc>
        <w:tc>
          <w:tcPr>
            <w:tcW w:w="1134" w:type="dxa"/>
            <w:vAlign w:val="center"/>
          </w:tcPr>
          <w:p>
            <w:pPr>
              <w:pStyle w:val="11"/>
            </w:pPr>
            <w:r>
              <w:t>95.10</w:t>
            </w:r>
          </w:p>
        </w:tc>
        <w:tc>
          <w:tcPr>
            <w:tcW w:w="1134" w:type="dxa"/>
            <w:vAlign w:val="center"/>
          </w:tcPr>
          <w:p>
            <w:pPr>
              <w:pStyle w:val="11"/>
            </w:pPr>
            <w:r>
              <w:t>95.10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66.45</w:t>
            </w:r>
          </w:p>
        </w:tc>
        <w:tc>
          <w:tcPr>
            <w:tcW w:w="1134" w:type="dxa"/>
            <w:vAlign w:val="center"/>
          </w:tcPr>
          <w:p>
            <w:pPr>
              <w:pStyle w:val="11"/>
            </w:pPr>
            <w:r>
              <w:t>66.45</w:t>
            </w:r>
          </w:p>
        </w:tc>
        <w:tc>
          <w:tcPr>
            <w:tcW w:w="1134" w:type="dxa"/>
            <w:vAlign w:val="center"/>
          </w:tcPr>
          <w:p>
            <w:pPr>
              <w:pStyle w:val="11"/>
            </w:pPr>
            <w:r>
              <w:t>66.45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19.11</w:t>
            </w:r>
          </w:p>
        </w:tc>
        <w:tc>
          <w:tcPr>
            <w:tcW w:w="1134" w:type="dxa"/>
            <w:vAlign w:val="center"/>
          </w:tcPr>
          <w:p>
            <w:pPr>
              <w:pStyle w:val="11"/>
            </w:pPr>
            <w:r>
              <w:t>19.11</w:t>
            </w:r>
          </w:p>
        </w:tc>
        <w:tc>
          <w:tcPr>
            <w:tcW w:w="1134" w:type="dxa"/>
            <w:vAlign w:val="center"/>
          </w:tcPr>
          <w:p>
            <w:pPr>
              <w:pStyle w:val="11"/>
            </w:pPr>
            <w:r>
              <w:t>19.11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9.55</w:t>
            </w:r>
          </w:p>
        </w:tc>
        <w:tc>
          <w:tcPr>
            <w:tcW w:w="1134" w:type="dxa"/>
            <w:vAlign w:val="center"/>
          </w:tcPr>
          <w:p>
            <w:pPr>
              <w:pStyle w:val="11"/>
            </w:pPr>
            <w:r>
              <w:t>9.55</w:t>
            </w:r>
          </w:p>
        </w:tc>
        <w:tc>
          <w:tcPr>
            <w:tcW w:w="1134" w:type="dxa"/>
            <w:vAlign w:val="center"/>
          </w:tcPr>
          <w:p>
            <w:pPr>
              <w:pStyle w:val="11"/>
            </w:pPr>
            <w:r>
              <w:t>9.55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0.88</w:t>
            </w:r>
          </w:p>
        </w:tc>
        <w:tc>
          <w:tcPr>
            <w:tcW w:w="1134" w:type="dxa"/>
            <w:vAlign w:val="center"/>
          </w:tcPr>
          <w:p>
            <w:pPr>
              <w:pStyle w:val="11"/>
            </w:pPr>
            <w:r>
              <w:t>0.88</w:t>
            </w:r>
          </w:p>
        </w:tc>
        <w:tc>
          <w:tcPr>
            <w:tcW w:w="1134" w:type="dxa"/>
            <w:vAlign w:val="center"/>
          </w:tcPr>
          <w:p>
            <w:pPr>
              <w:pStyle w:val="11"/>
            </w:pPr>
            <w:r>
              <w:t>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2082701</w:t>
            </w:r>
          </w:p>
        </w:tc>
        <w:tc>
          <w:tcPr>
            <w:tcW w:w="1559" w:type="dxa"/>
            <w:vAlign w:val="center"/>
          </w:tcPr>
          <w:p>
            <w:pPr>
              <w:pStyle w:val="12"/>
            </w:pPr>
            <w:r>
              <w:t>财政对失业保险基金的补助</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0.54</w:t>
            </w:r>
          </w:p>
        </w:tc>
        <w:tc>
          <w:tcPr>
            <w:tcW w:w="1134" w:type="dxa"/>
            <w:vAlign w:val="center"/>
          </w:tcPr>
          <w:p>
            <w:pPr>
              <w:pStyle w:val="11"/>
            </w:pPr>
            <w:r>
              <w:t>0.54</w:t>
            </w:r>
          </w:p>
        </w:tc>
        <w:tc>
          <w:tcPr>
            <w:tcW w:w="1134" w:type="dxa"/>
            <w:vAlign w:val="center"/>
          </w:tcPr>
          <w:p>
            <w:pPr>
              <w:pStyle w:val="11"/>
            </w:pPr>
            <w:r>
              <w:t>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4.81</w:t>
            </w:r>
          </w:p>
        </w:tc>
        <w:tc>
          <w:tcPr>
            <w:tcW w:w="1134" w:type="dxa"/>
            <w:vAlign w:val="center"/>
          </w:tcPr>
          <w:p>
            <w:pPr>
              <w:pStyle w:val="11"/>
            </w:pPr>
            <w:r>
              <w:t>4.81</w:t>
            </w:r>
          </w:p>
        </w:tc>
        <w:tc>
          <w:tcPr>
            <w:tcW w:w="1134" w:type="dxa"/>
            <w:vAlign w:val="center"/>
          </w:tcPr>
          <w:p>
            <w:pPr>
              <w:pStyle w:val="11"/>
            </w:pPr>
            <w:r>
              <w:t>4.81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3.51</w:t>
            </w:r>
          </w:p>
        </w:tc>
        <w:tc>
          <w:tcPr>
            <w:tcW w:w="1134" w:type="dxa"/>
            <w:vAlign w:val="center"/>
          </w:tcPr>
          <w:p>
            <w:pPr>
              <w:pStyle w:val="11"/>
            </w:pPr>
            <w:r>
              <w:t>3.51</w:t>
            </w:r>
          </w:p>
        </w:tc>
        <w:tc>
          <w:tcPr>
            <w:tcW w:w="1134" w:type="dxa"/>
            <w:vAlign w:val="center"/>
          </w:tcPr>
          <w:p>
            <w:pPr>
              <w:pStyle w:val="11"/>
            </w:pPr>
            <w:r>
              <w:t>3.51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10634.05</w:t>
            </w:r>
          </w:p>
        </w:tc>
        <w:tc>
          <w:tcPr>
            <w:tcW w:w="1134" w:type="dxa"/>
            <w:vAlign w:val="center"/>
          </w:tcPr>
          <w:p>
            <w:pPr>
              <w:pStyle w:val="11"/>
            </w:pPr>
            <w:r>
              <w:t>10634.05</w:t>
            </w:r>
          </w:p>
        </w:tc>
        <w:tc>
          <w:tcPr>
            <w:tcW w:w="1134" w:type="dxa"/>
            <w:vAlign w:val="center"/>
          </w:tcPr>
          <w:p>
            <w:pPr>
              <w:pStyle w:val="11"/>
            </w:pPr>
            <w:r>
              <w:t>10634.05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2227.68</w:t>
            </w:r>
          </w:p>
        </w:tc>
        <w:tc>
          <w:tcPr>
            <w:tcW w:w="1134" w:type="dxa"/>
            <w:vAlign w:val="center"/>
          </w:tcPr>
          <w:p>
            <w:pPr>
              <w:pStyle w:val="11"/>
            </w:pPr>
            <w:r>
              <w:t>2227.68</w:t>
            </w:r>
          </w:p>
        </w:tc>
        <w:tc>
          <w:tcPr>
            <w:tcW w:w="1134" w:type="dxa"/>
            <w:vAlign w:val="center"/>
          </w:tcPr>
          <w:p>
            <w:pPr>
              <w:pStyle w:val="11"/>
            </w:pPr>
            <w:r>
              <w:t>2227.68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222.31</w:t>
            </w:r>
          </w:p>
        </w:tc>
        <w:tc>
          <w:tcPr>
            <w:tcW w:w="1134" w:type="dxa"/>
            <w:vAlign w:val="center"/>
          </w:tcPr>
          <w:p>
            <w:pPr>
              <w:pStyle w:val="11"/>
            </w:pPr>
            <w:r>
              <w:t>222.31</w:t>
            </w:r>
          </w:p>
        </w:tc>
        <w:tc>
          <w:tcPr>
            <w:tcW w:w="1134" w:type="dxa"/>
            <w:vAlign w:val="center"/>
          </w:tcPr>
          <w:p>
            <w:pPr>
              <w:pStyle w:val="11"/>
            </w:pPr>
            <w:r>
              <w:t>222.31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111.90</w:t>
            </w:r>
          </w:p>
        </w:tc>
        <w:tc>
          <w:tcPr>
            <w:tcW w:w="1134" w:type="dxa"/>
            <w:vAlign w:val="center"/>
          </w:tcPr>
          <w:p>
            <w:pPr>
              <w:pStyle w:val="11"/>
            </w:pPr>
            <w:r>
              <w:t>111.90</w:t>
            </w:r>
          </w:p>
        </w:tc>
        <w:tc>
          <w:tcPr>
            <w:tcW w:w="1134" w:type="dxa"/>
            <w:vAlign w:val="center"/>
          </w:tcPr>
          <w:p>
            <w:pPr>
              <w:pStyle w:val="11"/>
            </w:pPr>
            <w:r>
              <w:t>111.90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1893.47</w:t>
            </w:r>
          </w:p>
        </w:tc>
        <w:tc>
          <w:tcPr>
            <w:tcW w:w="1134" w:type="dxa"/>
            <w:vAlign w:val="center"/>
          </w:tcPr>
          <w:p>
            <w:pPr>
              <w:pStyle w:val="11"/>
            </w:pPr>
            <w:r>
              <w:t>1893.47</w:t>
            </w:r>
          </w:p>
        </w:tc>
        <w:tc>
          <w:tcPr>
            <w:tcW w:w="1134" w:type="dxa"/>
            <w:vAlign w:val="center"/>
          </w:tcPr>
          <w:p>
            <w:pPr>
              <w:pStyle w:val="11"/>
            </w:pPr>
            <w:r>
              <w:t>1893.47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49.07</w:t>
            </w:r>
          </w:p>
        </w:tc>
        <w:tc>
          <w:tcPr>
            <w:tcW w:w="1134" w:type="dxa"/>
            <w:vAlign w:val="center"/>
          </w:tcPr>
          <w:p>
            <w:pPr>
              <w:pStyle w:val="11"/>
            </w:pPr>
            <w:r>
              <w:t>49.07</w:t>
            </w:r>
          </w:p>
        </w:tc>
        <w:tc>
          <w:tcPr>
            <w:tcW w:w="1134" w:type="dxa"/>
            <w:vAlign w:val="center"/>
          </w:tcPr>
          <w:p>
            <w:pPr>
              <w:pStyle w:val="11"/>
            </w:pPr>
            <w:r>
              <w:t>49.07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1"/>
            </w:pPr>
            <w:r>
              <w:t>49.07</w:t>
            </w:r>
          </w:p>
        </w:tc>
        <w:tc>
          <w:tcPr>
            <w:tcW w:w="1134" w:type="dxa"/>
            <w:vAlign w:val="center"/>
          </w:tcPr>
          <w:p>
            <w:pPr>
              <w:pStyle w:val="11"/>
            </w:pPr>
            <w:r>
              <w:t>49.07</w:t>
            </w:r>
          </w:p>
        </w:tc>
        <w:tc>
          <w:tcPr>
            <w:tcW w:w="1134" w:type="dxa"/>
            <w:vAlign w:val="center"/>
          </w:tcPr>
          <w:p>
            <w:pPr>
              <w:pStyle w:val="11"/>
            </w:pPr>
            <w:r>
              <w:t>49.07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8357.30</w:t>
            </w:r>
          </w:p>
        </w:tc>
        <w:tc>
          <w:tcPr>
            <w:tcW w:w="1134" w:type="dxa"/>
            <w:vAlign w:val="center"/>
          </w:tcPr>
          <w:p>
            <w:pPr>
              <w:pStyle w:val="11"/>
            </w:pPr>
            <w:r>
              <w:t>8357.30</w:t>
            </w:r>
          </w:p>
        </w:tc>
        <w:tc>
          <w:tcPr>
            <w:tcW w:w="1134" w:type="dxa"/>
            <w:vAlign w:val="center"/>
          </w:tcPr>
          <w:p>
            <w:pPr>
              <w:pStyle w:val="11"/>
            </w:pPr>
            <w:r>
              <w:t>8357.30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8357.30</w:t>
            </w:r>
          </w:p>
        </w:tc>
        <w:tc>
          <w:tcPr>
            <w:tcW w:w="1134" w:type="dxa"/>
            <w:vAlign w:val="center"/>
          </w:tcPr>
          <w:p>
            <w:pPr>
              <w:pStyle w:val="11"/>
            </w:pPr>
            <w:r>
              <w:t>8357.30</w:t>
            </w:r>
          </w:p>
        </w:tc>
        <w:tc>
          <w:tcPr>
            <w:tcW w:w="1134" w:type="dxa"/>
            <w:vAlign w:val="center"/>
          </w:tcPr>
          <w:p>
            <w:pPr>
              <w:pStyle w:val="11"/>
            </w:pPr>
            <w:r>
              <w:t>8357.30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1346.83</w:t>
            </w:r>
          </w:p>
        </w:tc>
        <w:tc>
          <w:tcPr>
            <w:tcW w:w="1134" w:type="dxa"/>
            <w:vAlign w:val="center"/>
          </w:tcPr>
          <w:p>
            <w:pPr>
              <w:pStyle w:val="11"/>
            </w:pPr>
            <w:r>
              <w:t>1346.83</w:t>
            </w:r>
          </w:p>
        </w:tc>
        <w:tc>
          <w:tcPr>
            <w:tcW w:w="1134" w:type="dxa"/>
            <w:vAlign w:val="center"/>
          </w:tcPr>
          <w:p>
            <w:pPr>
              <w:pStyle w:val="11"/>
            </w:pPr>
            <w:r>
              <w:t>1346.83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1346.83</w:t>
            </w:r>
          </w:p>
        </w:tc>
        <w:tc>
          <w:tcPr>
            <w:tcW w:w="1134" w:type="dxa"/>
            <w:vAlign w:val="center"/>
          </w:tcPr>
          <w:p>
            <w:pPr>
              <w:pStyle w:val="11"/>
            </w:pPr>
            <w:r>
              <w:t>1346.83</w:t>
            </w:r>
          </w:p>
        </w:tc>
        <w:tc>
          <w:tcPr>
            <w:tcW w:w="1134" w:type="dxa"/>
            <w:vAlign w:val="center"/>
          </w:tcPr>
          <w:p>
            <w:pPr>
              <w:pStyle w:val="11"/>
            </w:pPr>
            <w:r>
              <w:t>1346.83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2200106</w:t>
            </w:r>
          </w:p>
        </w:tc>
        <w:tc>
          <w:tcPr>
            <w:tcW w:w="1559" w:type="dxa"/>
            <w:vAlign w:val="center"/>
          </w:tcPr>
          <w:p>
            <w:pPr>
              <w:pStyle w:val="12"/>
            </w:pPr>
            <w:r>
              <w:t>自然资源利用与保护</w:t>
            </w:r>
          </w:p>
        </w:tc>
        <w:tc>
          <w:tcPr>
            <w:tcW w:w="1134" w:type="dxa"/>
            <w:vAlign w:val="center"/>
          </w:tcPr>
          <w:p>
            <w:pPr>
              <w:pStyle w:val="11"/>
            </w:pPr>
            <w:r>
              <w:t>1346.83</w:t>
            </w:r>
          </w:p>
        </w:tc>
        <w:tc>
          <w:tcPr>
            <w:tcW w:w="1134" w:type="dxa"/>
            <w:vAlign w:val="center"/>
          </w:tcPr>
          <w:p>
            <w:pPr>
              <w:pStyle w:val="11"/>
            </w:pPr>
            <w:r>
              <w:t>1346.83</w:t>
            </w:r>
          </w:p>
        </w:tc>
        <w:tc>
          <w:tcPr>
            <w:tcW w:w="1134" w:type="dxa"/>
            <w:vAlign w:val="center"/>
          </w:tcPr>
          <w:p>
            <w:pPr>
              <w:pStyle w:val="11"/>
            </w:pPr>
            <w:r>
              <w:t>1346.83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12.45</w:t>
            </w:r>
          </w:p>
        </w:tc>
        <w:tc>
          <w:tcPr>
            <w:tcW w:w="1134" w:type="dxa"/>
            <w:vAlign w:val="center"/>
          </w:tcPr>
          <w:p>
            <w:pPr>
              <w:pStyle w:val="11"/>
            </w:pPr>
            <w:r>
              <w:t>12.45</w:t>
            </w:r>
          </w:p>
        </w:tc>
        <w:tc>
          <w:tcPr>
            <w:tcW w:w="1134" w:type="dxa"/>
            <w:vAlign w:val="center"/>
          </w:tcPr>
          <w:p>
            <w:pPr>
              <w:pStyle w:val="11"/>
            </w:pPr>
            <w:r>
              <w:t>12.45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12.45</w:t>
            </w:r>
          </w:p>
        </w:tc>
        <w:tc>
          <w:tcPr>
            <w:tcW w:w="1134" w:type="dxa"/>
            <w:vAlign w:val="center"/>
          </w:tcPr>
          <w:p>
            <w:pPr>
              <w:pStyle w:val="11"/>
            </w:pPr>
            <w:r>
              <w:t>12.45</w:t>
            </w:r>
          </w:p>
        </w:tc>
        <w:tc>
          <w:tcPr>
            <w:tcW w:w="1134" w:type="dxa"/>
            <w:vAlign w:val="center"/>
          </w:tcPr>
          <w:p>
            <w:pPr>
              <w:pStyle w:val="11"/>
            </w:pPr>
            <w:r>
              <w:t>12.45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12.45</w:t>
            </w:r>
          </w:p>
        </w:tc>
        <w:tc>
          <w:tcPr>
            <w:tcW w:w="1134" w:type="dxa"/>
            <w:vAlign w:val="center"/>
          </w:tcPr>
          <w:p>
            <w:pPr>
              <w:pStyle w:val="11"/>
            </w:pPr>
            <w:r>
              <w:t>12.45</w:t>
            </w:r>
          </w:p>
        </w:tc>
        <w:tc>
          <w:tcPr>
            <w:tcW w:w="1134" w:type="dxa"/>
            <w:vAlign w:val="center"/>
          </w:tcPr>
          <w:p>
            <w:pPr>
              <w:pStyle w:val="11"/>
            </w:pPr>
            <w:r>
              <w:t>12.45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12100.82</w:t>
            </w:r>
          </w:p>
        </w:tc>
        <w:tc>
          <w:tcPr>
            <w:tcW w:w="1361" w:type="dxa"/>
            <w:vAlign w:val="center"/>
          </w:tcPr>
          <w:p>
            <w:pPr>
              <w:pStyle w:val="15"/>
            </w:pPr>
            <w:r>
              <w:t>2235.72</w:t>
            </w:r>
          </w:p>
        </w:tc>
        <w:tc>
          <w:tcPr>
            <w:tcW w:w="1361" w:type="dxa"/>
            <w:vAlign w:val="center"/>
          </w:tcPr>
          <w:p>
            <w:pPr>
              <w:pStyle w:val="15"/>
            </w:pPr>
            <w:r>
              <w:t>9865.10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99.18</w:t>
            </w:r>
          </w:p>
        </w:tc>
        <w:tc>
          <w:tcPr>
            <w:tcW w:w="1361" w:type="dxa"/>
            <w:vAlign w:val="center"/>
          </w:tcPr>
          <w:p>
            <w:pPr>
              <w:pStyle w:val="11"/>
            </w:pPr>
            <w:r>
              <w:t>99.18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95.10</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66.45</w:t>
            </w:r>
          </w:p>
        </w:tc>
        <w:tc>
          <w:tcPr>
            <w:tcW w:w="1361" w:type="dxa"/>
            <w:vAlign w:val="center"/>
          </w:tcPr>
          <w:p>
            <w:pPr>
              <w:pStyle w:val="11"/>
            </w:pPr>
            <w:r>
              <w:t>66.45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19.11</w:t>
            </w:r>
          </w:p>
        </w:tc>
        <w:tc>
          <w:tcPr>
            <w:tcW w:w="1361" w:type="dxa"/>
            <w:vAlign w:val="center"/>
          </w:tcPr>
          <w:p>
            <w:pPr>
              <w:pStyle w:val="11"/>
            </w:pPr>
            <w:r>
              <w:t>19.11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9.55</w:t>
            </w:r>
          </w:p>
        </w:tc>
        <w:tc>
          <w:tcPr>
            <w:tcW w:w="1361" w:type="dxa"/>
            <w:vAlign w:val="center"/>
          </w:tcPr>
          <w:p>
            <w:pPr>
              <w:pStyle w:val="11"/>
            </w:pPr>
            <w:r>
              <w:t>9.55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0.88</w:t>
            </w:r>
          </w:p>
        </w:tc>
        <w:tc>
          <w:tcPr>
            <w:tcW w:w="1361" w:type="dxa"/>
            <w:vAlign w:val="center"/>
          </w:tcPr>
          <w:p>
            <w:pPr>
              <w:pStyle w:val="11"/>
            </w:pPr>
            <w:r>
              <w:t>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2082701</w:t>
            </w:r>
          </w:p>
        </w:tc>
        <w:tc>
          <w:tcPr>
            <w:tcW w:w="4535" w:type="dxa"/>
            <w:vAlign w:val="center"/>
          </w:tcPr>
          <w:p>
            <w:pPr>
              <w:pStyle w:val="12"/>
            </w:pPr>
            <w:r>
              <w:t>财政对失业保险基金的补助</w:t>
            </w:r>
          </w:p>
        </w:tc>
        <w:tc>
          <w:tcPr>
            <w:tcW w:w="1361" w:type="dxa"/>
            <w:vAlign w:val="center"/>
          </w:tcPr>
          <w:p>
            <w:pPr>
              <w:pStyle w:val="11"/>
            </w:pPr>
            <w:r>
              <w:t>0.34</w:t>
            </w: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0.54</w:t>
            </w:r>
          </w:p>
        </w:tc>
        <w:tc>
          <w:tcPr>
            <w:tcW w:w="1361" w:type="dxa"/>
            <w:vAlign w:val="center"/>
          </w:tcPr>
          <w:p>
            <w:pPr>
              <w:pStyle w:val="11"/>
            </w:pPr>
            <w:r>
              <w:t>0.54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8.31</w:t>
            </w:r>
          </w:p>
        </w:tc>
        <w:tc>
          <w:tcPr>
            <w:tcW w:w="1361" w:type="dxa"/>
            <w:vAlign w:val="center"/>
          </w:tcPr>
          <w:p>
            <w:pPr>
              <w:pStyle w:val="11"/>
            </w:pPr>
            <w:r>
              <w:t>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8.31</w:t>
            </w:r>
          </w:p>
        </w:tc>
        <w:tc>
          <w:tcPr>
            <w:tcW w:w="1361" w:type="dxa"/>
            <w:vAlign w:val="center"/>
          </w:tcPr>
          <w:p>
            <w:pPr>
              <w:pStyle w:val="11"/>
            </w:pPr>
            <w:r>
              <w:t>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4.81</w:t>
            </w:r>
          </w:p>
        </w:tc>
        <w:tc>
          <w:tcPr>
            <w:tcW w:w="1361" w:type="dxa"/>
            <w:vAlign w:val="center"/>
          </w:tcPr>
          <w:p>
            <w:pPr>
              <w:pStyle w:val="11"/>
            </w:pPr>
            <w:r>
              <w:t>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3.51</w:t>
            </w:r>
          </w:p>
        </w:tc>
        <w:tc>
          <w:tcPr>
            <w:tcW w:w="1361" w:type="dxa"/>
            <w:vAlign w:val="center"/>
          </w:tcPr>
          <w:p>
            <w:pPr>
              <w:pStyle w:val="11"/>
            </w:pPr>
            <w:r>
              <w:t>3.51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10634.05</w:t>
            </w:r>
          </w:p>
        </w:tc>
        <w:tc>
          <w:tcPr>
            <w:tcW w:w="1361" w:type="dxa"/>
            <w:vAlign w:val="center"/>
          </w:tcPr>
          <w:p>
            <w:pPr>
              <w:pStyle w:val="11"/>
            </w:pPr>
            <w:r>
              <w:t>2115.78</w:t>
            </w:r>
          </w:p>
        </w:tc>
        <w:tc>
          <w:tcPr>
            <w:tcW w:w="1361" w:type="dxa"/>
            <w:vAlign w:val="center"/>
          </w:tcPr>
          <w:p>
            <w:pPr>
              <w:pStyle w:val="11"/>
            </w:pPr>
            <w:r>
              <w:t>8518.27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2227.68</w:t>
            </w:r>
          </w:p>
        </w:tc>
        <w:tc>
          <w:tcPr>
            <w:tcW w:w="1361" w:type="dxa"/>
            <w:vAlign w:val="center"/>
          </w:tcPr>
          <w:p>
            <w:pPr>
              <w:pStyle w:val="11"/>
            </w:pPr>
            <w:r>
              <w:t>2115.78</w:t>
            </w:r>
          </w:p>
        </w:tc>
        <w:tc>
          <w:tcPr>
            <w:tcW w:w="1361" w:type="dxa"/>
            <w:vAlign w:val="center"/>
          </w:tcPr>
          <w:p>
            <w:pPr>
              <w:pStyle w:val="11"/>
            </w:pPr>
            <w:r>
              <w:t>111.90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222.31</w:t>
            </w:r>
          </w:p>
        </w:tc>
        <w:tc>
          <w:tcPr>
            <w:tcW w:w="1361" w:type="dxa"/>
            <w:vAlign w:val="center"/>
          </w:tcPr>
          <w:p>
            <w:pPr>
              <w:pStyle w:val="11"/>
            </w:pPr>
            <w:r>
              <w:t>222.31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111.90</w:t>
            </w:r>
          </w:p>
        </w:tc>
        <w:tc>
          <w:tcPr>
            <w:tcW w:w="1361" w:type="dxa"/>
            <w:vAlign w:val="center"/>
          </w:tcPr>
          <w:p>
            <w:pPr>
              <w:pStyle w:val="11"/>
            </w:pPr>
          </w:p>
        </w:tc>
        <w:tc>
          <w:tcPr>
            <w:tcW w:w="1361" w:type="dxa"/>
            <w:vAlign w:val="center"/>
          </w:tcPr>
          <w:p>
            <w:pPr>
              <w:pStyle w:val="11"/>
            </w:pPr>
            <w:r>
              <w:t>111.90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1893.47</w:t>
            </w:r>
          </w:p>
        </w:tc>
        <w:tc>
          <w:tcPr>
            <w:tcW w:w="1361" w:type="dxa"/>
            <w:vAlign w:val="center"/>
          </w:tcPr>
          <w:p>
            <w:pPr>
              <w:pStyle w:val="11"/>
            </w:pPr>
            <w:r>
              <w:t>1893.47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49.07</w:t>
            </w:r>
          </w:p>
        </w:tc>
        <w:tc>
          <w:tcPr>
            <w:tcW w:w="1361" w:type="dxa"/>
            <w:vAlign w:val="center"/>
          </w:tcPr>
          <w:p>
            <w:pPr>
              <w:pStyle w:val="11"/>
            </w:pPr>
          </w:p>
        </w:tc>
        <w:tc>
          <w:tcPr>
            <w:tcW w:w="1361" w:type="dxa"/>
            <w:vAlign w:val="center"/>
          </w:tcPr>
          <w:p>
            <w:pPr>
              <w:pStyle w:val="11"/>
            </w:pPr>
            <w:r>
              <w:t>49.07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1"/>
            </w:pPr>
            <w:r>
              <w:t>49.07</w:t>
            </w:r>
          </w:p>
        </w:tc>
        <w:tc>
          <w:tcPr>
            <w:tcW w:w="1361" w:type="dxa"/>
            <w:vAlign w:val="center"/>
          </w:tcPr>
          <w:p>
            <w:pPr>
              <w:pStyle w:val="11"/>
            </w:pPr>
          </w:p>
        </w:tc>
        <w:tc>
          <w:tcPr>
            <w:tcW w:w="1361" w:type="dxa"/>
            <w:vAlign w:val="center"/>
          </w:tcPr>
          <w:p>
            <w:pPr>
              <w:pStyle w:val="11"/>
            </w:pPr>
            <w:r>
              <w:t>49.07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8357.30</w:t>
            </w:r>
          </w:p>
        </w:tc>
        <w:tc>
          <w:tcPr>
            <w:tcW w:w="1361" w:type="dxa"/>
            <w:vAlign w:val="center"/>
          </w:tcPr>
          <w:p>
            <w:pPr>
              <w:pStyle w:val="11"/>
            </w:pPr>
          </w:p>
        </w:tc>
        <w:tc>
          <w:tcPr>
            <w:tcW w:w="1361" w:type="dxa"/>
            <w:vAlign w:val="center"/>
          </w:tcPr>
          <w:p>
            <w:pPr>
              <w:pStyle w:val="11"/>
            </w:pPr>
            <w:r>
              <w:t>8357.30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8357.30</w:t>
            </w:r>
          </w:p>
        </w:tc>
        <w:tc>
          <w:tcPr>
            <w:tcW w:w="1361" w:type="dxa"/>
            <w:vAlign w:val="center"/>
          </w:tcPr>
          <w:p>
            <w:pPr>
              <w:pStyle w:val="11"/>
            </w:pPr>
          </w:p>
        </w:tc>
        <w:tc>
          <w:tcPr>
            <w:tcW w:w="1361" w:type="dxa"/>
            <w:vAlign w:val="center"/>
          </w:tcPr>
          <w:p>
            <w:pPr>
              <w:pStyle w:val="11"/>
            </w:pPr>
            <w:r>
              <w:t>8357.30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1346.83</w:t>
            </w:r>
          </w:p>
        </w:tc>
        <w:tc>
          <w:tcPr>
            <w:tcW w:w="1361" w:type="dxa"/>
            <w:vAlign w:val="center"/>
          </w:tcPr>
          <w:p>
            <w:pPr>
              <w:pStyle w:val="11"/>
            </w:pPr>
          </w:p>
        </w:tc>
        <w:tc>
          <w:tcPr>
            <w:tcW w:w="1361" w:type="dxa"/>
            <w:vAlign w:val="center"/>
          </w:tcPr>
          <w:p>
            <w:pPr>
              <w:pStyle w:val="11"/>
            </w:pPr>
            <w:r>
              <w:t>1346.83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1346.83</w:t>
            </w:r>
          </w:p>
        </w:tc>
        <w:tc>
          <w:tcPr>
            <w:tcW w:w="1361" w:type="dxa"/>
            <w:vAlign w:val="center"/>
          </w:tcPr>
          <w:p>
            <w:pPr>
              <w:pStyle w:val="11"/>
            </w:pPr>
          </w:p>
        </w:tc>
        <w:tc>
          <w:tcPr>
            <w:tcW w:w="1361" w:type="dxa"/>
            <w:vAlign w:val="center"/>
          </w:tcPr>
          <w:p>
            <w:pPr>
              <w:pStyle w:val="11"/>
            </w:pPr>
            <w:r>
              <w:t>1346.83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2200106</w:t>
            </w:r>
          </w:p>
        </w:tc>
        <w:tc>
          <w:tcPr>
            <w:tcW w:w="4535" w:type="dxa"/>
            <w:vAlign w:val="center"/>
          </w:tcPr>
          <w:p>
            <w:pPr>
              <w:pStyle w:val="12"/>
            </w:pPr>
            <w:r>
              <w:t>自然资源利用与保护</w:t>
            </w:r>
          </w:p>
        </w:tc>
        <w:tc>
          <w:tcPr>
            <w:tcW w:w="1361" w:type="dxa"/>
            <w:vAlign w:val="center"/>
          </w:tcPr>
          <w:p>
            <w:pPr>
              <w:pStyle w:val="11"/>
            </w:pPr>
            <w:r>
              <w:t>1346.83</w:t>
            </w:r>
          </w:p>
        </w:tc>
        <w:tc>
          <w:tcPr>
            <w:tcW w:w="1361" w:type="dxa"/>
            <w:vAlign w:val="center"/>
          </w:tcPr>
          <w:p>
            <w:pPr>
              <w:pStyle w:val="11"/>
            </w:pPr>
          </w:p>
        </w:tc>
        <w:tc>
          <w:tcPr>
            <w:tcW w:w="1361" w:type="dxa"/>
            <w:vAlign w:val="center"/>
          </w:tcPr>
          <w:p>
            <w:pPr>
              <w:pStyle w:val="11"/>
            </w:pPr>
            <w:r>
              <w:t>1346.83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12.45</w:t>
            </w:r>
          </w:p>
        </w:tc>
        <w:tc>
          <w:tcPr>
            <w:tcW w:w="1361" w:type="dxa"/>
            <w:vAlign w:val="center"/>
          </w:tcPr>
          <w:p>
            <w:pPr>
              <w:pStyle w:val="11"/>
            </w:pPr>
            <w:r>
              <w:t>12.45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12.45</w:t>
            </w:r>
          </w:p>
        </w:tc>
        <w:tc>
          <w:tcPr>
            <w:tcW w:w="1361" w:type="dxa"/>
            <w:vAlign w:val="center"/>
          </w:tcPr>
          <w:p>
            <w:pPr>
              <w:pStyle w:val="11"/>
            </w:pPr>
            <w:r>
              <w:t>12.45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12.45</w:t>
            </w:r>
          </w:p>
        </w:tc>
        <w:tc>
          <w:tcPr>
            <w:tcW w:w="1361" w:type="dxa"/>
            <w:vAlign w:val="center"/>
          </w:tcPr>
          <w:p>
            <w:pPr>
              <w:pStyle w:val="11"/>
            </w:pPr>
            <w:r>
              <w:t>12.45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12100.82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99.18</w:t>
            </w:r>
          </w:p>
        </w:tc>
        <w:tc>
          <w:tcPr>
            <w:tcW w:w="1474" w:type="dxa"/>
            <w:vAlign w:val="center"/>
          </w:tcPr>
          <w:p>
            <w:pPr>
              <w:pStyle w:val="11"/>
            </w:pPr>
            <w:r>
              <w:t>99.18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8.31</w:t>
            </w:r>
          </w:p>
        </w:tc>
        <w:tc>
          <w:tcPr>
            <w:tcW w:w="1474" w:type="dxa"/>
            <w:vAlign w:val="center"/>
          </w:tcPr>
          <w:p>
            <w:pPr>
              <w:pStyle w:val="11"/>
            </w:pPr>
            <w:r>
              <w:t>8.31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10634.05</w:t>
            </w:r>
          </w:p>
        </w:tc>
        <w:tc>
          <w:tcPr>
            <w:tcW w:w="1474" w:type="dxa"/>
            <w:vAlign w:val="center"/>
          </w:tcPr>
          <w:p>
            <w:pPr>
              <w:pStyle w:val="11"/>
            </w:pPr>
            <w:r>
              <w:t>10634.05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1346.83</w:t>
            </w:r>
          </w:p>
        </w:tc>
        <w:tc>
          <w:tcPr>
            <w:tcW w:w="1474" w:type="dxa"/>
            <w:vAlign w:val="center"/>
          </w:tcPr>
          <w:p>
            <w:pPr>
              <w:pStyle w:val="11"/>
            </w:pPr>
            <w:r>
              <w:t>1346.83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12.45</w:t>
            </w:r>
          </w:p>
        </w:tc>
        <w:tc>
          <w:tcPr>
            <w:tcW w:w="1474" w:type="dxa"/>
            <w:vAlign w:val="center"/>
          </w:tcPr>
          <w:p>
            <w:pPr>
              <w:pStyle w:val="11"/>
            </w:pPr>
            <w:r>
              <w:t>12.45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12100.82</w:t>
            </w:r>
          </w:p>
        </w:tc>
        <w:tc>
          <w:tcPr>
            <w:tcW w:w="3402" w:type="dxa"/>
            <w:vAlign w:val="center"/>
          </w:tcPr>
          <w:p>
            <w:pPr>
              <w:pStyle w:val="14"/>
            </w:pPr>
            <w:r>
              <w:t>本年支出合计</w:t>
            </w:r>
          </w:p>
        </w:tc>
        <w:tc>
          <w:tcPr>
            <w:tcW w:w="1474" w:type="dxa"/>
            <w:vAlign w:val="center"/>
          </w:tcPr>
          <w:p>
            <w:pPr>
              <w:pStyle w:val="15"/>
            </w:pPr>
            <w:r>
              <w:t>12100.82</w:t>
            </w:r>
          </w:p>
        </w:tc>
        <w:tc>
          <w:tcPr>
            <w:tcW w:w="1474" w:type="dxa"/>
            <w:vAlign w:val="center"/>
          </w:tcPr>
          <w:p>
            <w:pPr>
              <w:pStyle w:val="15"/>
            </w:pPr>
            <w:r>
              <w:t>12100.82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12100.82</w:t>
            </w:r>
          </w:p>
        </w:tc>
        <w:tc>
          <w:tcPr>
            <w:tcW w:w="3402" w:type="dxa"/>
            <w:vAlign w:val="center"/>
          </w:tcPr>
          <w:p>
            <w:pPr>
              <w:pStyle w:val="14"/>
            </w:pPr>
            <w:r>
              <w:t>支出总计</w:t>
            </w:r>
          </w:p>
        </w:tc>
        <w:tc>
          <w:tcPr>
            <w:tcW w:w="1474" w:type="dxa"/>
            <w:vAlign w:val="center"/>
          </w:tcPr>
          <w:p>
            <w:pPr>
              <w:pStyle w:val="15"/>
            </w:pPr>
            <w:r>
              <w:t>12100.82</w:t>
            </w:r>
          </w:p>
        </w:tc>
        <w:tc>
          <w:tcPr>
            <w:tcW w:w="1474" w:type="dxa"/>
            <w:vAlign w:val="center"/>
          </w:tcPr>
          <w:p>
            <w:pPr>
              <w:pStyle w:val="15"/>
            </w:pPr>
            <w:r>
              <w:t>12100.82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12100.82</w:t>
            </w:r>
          </w:p>
        </w:tc>
        <w:tc>
          <w:tcPr>
            <w:tcW w:w="2551" w:type="dxa"/>
            <w:vAlign w:val="center"/>
          </w:tcPr>
          <w:p>
            <w:pPr>
              <w:pStyle w:val="15"/>
            </w:pPr>
            <w:r>
              <w:t>2235.72</w:t>
            </w:r>
          </w:p>
        </w:tc>
        <w:tc>
          <w:tcPr>
            <w:tcW w:w="2551" w:type="dxa"/>
            <w:vAlign w:val="center"/>
          </w:tcPr>
          <w:p>
            <w:pPr>
              <w:pStyle w:val="15"/>
            </w:pPr>
            <w:r>
              <w:t>9865.10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99.18</w:t>
            </w:r>
          </w:p>
        </w:tc>
        <w:tc>
          <w:tcPr>
            <w:tcW w:w="2551" w:type="dxa"/>
            <w:vAlign w:val="center"/>
          </w:tcPr>
          <w:p>
            <w:pPr>
              <w:pStyle w:val="11"/>
            </w:pPr>
            <w:r>
              <w:t>99.18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95.10</w:t>
            </w:r>
          </w:p>
        </w:tc>
        <w:tc>
          <w:tcPr>
            <w:tcW w:w="2551" w:type="dxa"/>
            <w:vAlign w:val="center"/>
          </w:tcPr>
          <w:p>
            <w:pPr>
              <w:pStyle w:val="11"/>
            </w:pPr>
            <w:r>
              <w:t>95.10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66.45</w:t>
            </w:r>
          </w:p>
        </w:tc>
        <w:tc>
          <w:tcPr>
            <w:tcW w:w="2551" w:type="dxa"/>
            <w:vAlign w:val="center"/>
          </w:tcPr>
          <w:p>
            <w:pPr>
              <w:pStyle w:val="11"/>
            </w:pPr>
            <w:r>
              <w:t>66.45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19.11</w:t>
            </w:r>
          </w:p>
        </w:tc>
        <w:tc>
          <w:tcPr>
            <w:tcW w:w="2551" w:type="dxa"/>
            <w:vAlign w:val="center"/>
          </w:tcPr>
          <w:p>
            <w:pPr>
              <w:pStyle w:val="11"/>
            </w:pPr>
            <w:r>
              <w:t>19.11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9.55</w:t>
            </w:r>
          </w:p>
        </w:tc>
        <w:tc>
          <w:tcPr>
            <w:tcW w:w="2551" w:type="dxa"/>
            <w:vAlign w:val="center"/>
          </w:tcPr>
          <w:p>
            <w:pPr>
              <w:pStyle w:val="11"/>
            </w:pPr>
            <w:r>
              <w:t>9.55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0.88</w:t>
            </w:r>
          </w:p>
        </w:tc>
        <w:tc>
          <w:tcPr>
            <w:tcW w:w="2551" w:type="dxa"/>
            <w:vAlign w:val="center"/>
          </w:tcPr>
          <w:p>
            <w:pPr>
              <w:pStyle w:val="11"/>
            </w:pPr>
            <w:r>
              <w:t>0.88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2082701</w:t>
            </w:r>
          </w:p>
        </w:tc>
        <w:tc>
          <w:tcPr>
            <w:tcW w:w="4535" w:type="dxa"/>
            <w:vAlign w:val="center"/>
          </w:tcPr>
          <w:p>
            <w:pPr>
              <w:pStyle w:val="12"/>
            </w:pPr>
            <w:r>
              <w:t>财政对失业保险基金的补助</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4.81</w:t>
            </w:r>
          </w:p>
        </w:tc>
        <w:tc>
          <w:tcPr>
            <w:tcW w:w="2551" w:type="dxa"/>
            <w:vAlign w:val="center"/>
          </w:tcPr>
          <w:p>
            <w:pPr>
              <w:pStyle w:val="11"/>
            </w:pPr>
            <w:r>
              <w:t>4.81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3.51</w:t>
            </w:r>
          </w:p>
        </w:tc>
        <w:tc>
          <w:tcPr>
            <w:tcW w:w="2551" w:type="dxa"/>
            <w:vAlign w:val="center"/>
          </w:tcPr>
          <w:p>
            <w:pPr>
              <w:pStyle w:val="11"/>
            </w:pPr>
            <w:r>
              <w:t>3.51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10634.05</w:t>
            </w:r>
          </w:p>
        </w:tc>
        <w:tc>
          <w:tcPr>
            <w:tcW w:w="2551" w:type="dxa"/>
            <w:vAlign w:val="center"/>
          </w:tcPr>
          <w:p>
            <w:pPr>
              <w:pStyle w:val="11"/>
            </w:pPr>
            <w:r>
              <w:t>2115.78</w:t>
            </w:r>
          </w:p>
        </w:tc>
        <w:tc>
          <w:tcPr>
            <w:tcW w:w="2551" w:type="dxa"/>
            <w:vAlign w:val="center"/>
          </w:tcPr>
          <w:p>
            <w:pPr>
              <w:pStyle w:val="11"/>
            </w:pPr>
            <w:r>
              <w:t>8518.27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2227.68</w:t>
            </w:r>
          </w:p>
        </w:tc>
        <w:tc>
          <w:tcPr>
            <w:tcW w:w="2551" w:type="dxa"/>
            <w:vAlign w:val="center"/>
          </w:tcPr>
          <w:p>
            <w:pPr>
              <w:pStyle w:val="11"/>
            </w:pPr>
            <w:r>
              <w:t>2115.78</w:t>
            </w:r>
          </w:p>
        </w:tc>
        <w:tc>
          <w:tcPr>
            <w:tcW w:w="2551" w:type="dxa"/>
            <w:vAlign w:val="center"/>
          </w:tcPr>
          <w:p>
            <w:pPr>
              <w:pStyle w:val="11"/>
            </w:pPr>
            <w:r>
              <w:t>111.90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222.31</w:t>
            </w:r>
          </w:p>
        </w:tc>
        <w:tc>
          <w:tcPr>
            <w:tcW w:w="2551" w:type="dxa"/>
            <w:vAlign w:val="center"/>
          </w:tcPr>
          <w:p>
            <w:pPr>
              <w:pStyle w:val="11"/>
            </w:pPr>
            <w:r>
              <w:t>222.31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111.90</w:t>
            </w:r>
          </w:p>
        </w:tc>
        <w:tc>
          <w:tcPr>
            <w:tcW w:w="2551" w:type="dxa"/>
            <w:vAlign w:val="center"/>
          </w:tcPr>
          <w:p>
            <w:pPr>
              <w:pStyle w:val="11"/>
            </w:pPr>
          </w:p>
        </w:tc>
        <w:tc>
          <w:tcPr>
            <w:tcW w:w="2551" w:type="dxa"/>
            <w:vAlign w:val="center"/>
          </w:tcPr>
          <w:p>
            <w:pPr>
              <w:pStyle w:val="11"/>
            </w:pPr>
            <w:r>
              <w:t>111.90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1893.47</w:t>
            </w:r>
          </w:p>
        </w:tc>
        <w:tc>
          <w:tcPr>
            <w:tcW w:w="2551" w:type="dxa"/>
            <w:vAlign w:val="center"/>
          </w:tcPr>
          <w:p>
            <w:pPr>
              <w:pStyle w:val="11"/>
            </w:pPr>
            <w:r>
              <w:t>1893.47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49.07</w:t>
            </w:r>
          </w:p>
        </w:tc>
        <w:tc>
          <w:tcPr>
            <w:tcW w:w="2551" w:type="dxa"/>
            <w:vAlign w:val="center"/>
          </w:tcPr>
          <w:p>
            <w:pPr>
              <w:pStyle w:val="11"/>
            </w:pPr>
          </w:p>
        </w:tc>
        <w:tc>
          <w:tcPr>
            <w:tcW w:w="2551" w:type="dxa"/>
            <w:vAlign w:val="center"/>
          </w:tcPr>
          <w:p>
            <w:pPr>
              <w:pStyle w:val="11"/>
            </w:pPr>
            <w:r>
              <w:t>49.07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1"/>
            </w:pPr>
            <w:r>
              <w:t>49.07</w:t>
            </w:r>
          </w:p>
        </w:tc>
        <w:tc>
          <w:tcPr>
            <w:tcW w:w="2551" w:type="dxa"/>
            <w:vAlign w:val="center"/>
          </w:tcPr>
          <w:p>
            <w:pPr>
              <w:pStyle w:val="11"/>
            </w:pPr>
          </w:p>
        </w:tc>
        <w:tc>
          <w:tcPr>
            <w:tcW w:w="2551" w:type="dxa"/>
            <w:vAlign w:val="center"/>
          </w:tcPr>
          <w:p>
            <w:pPr>
              <w:pStyle w:val="11"/>
            </w:pPr>
            <w:r>
              <w:t>49.07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8357.30</w:t>
            </w:r>
          </w:p>
        </w:tc>
        <w:tc>
          <w:tcPr>
            <w:tcW w:w="2551" w:type="dxa"/>
            <w:vAlign w:val="center"/>
          </w:tcPr>
          <w:p>
            <w:pPr>
              <w:pStyle w:val="11"/>
            </w:pPr>
          </w:p>
        </w:tc>
        <w:tc>
          <w:tcPr>
            <w:tcW w:w="2551" w:type="dxa"/>
            <w:vAlign w:val="center"/>
          </w:tcPr>
          <w:p>
            <w:pPr>
              <w:pStyle w:val="11"/>
            </w:pPr>
            <w:r>
              <w:t>8357.30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8357.30</w:t>
            </w:r>
          </w:p>
        </w:tc>
        <w:tc>
          <w:tcPr>
            <w:tcW w:w="2551" w:type="dxa"/>
            <w:vAlign w:val="center"/>
          </w:tcPr>
          <w:p>
            <w:pPr>
              <w:pStyle w:val="11"/>
            </w:pPr>
          </w:p>
        </w:tc>
        <w:tc>
          <w:tcPr>
            <w:tcW w:w="2551" w:type="dxa"/>
            <w:vAlign w:val="center"/>
          </w:tcPr>
          <w:p>
            <w:pPr>
              <w:pStyle w:val="11"/>
            </w:pPr>
            <w:r>
              <w:t>8357.30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1346.83</w:t>
            </w:r>
          </w:p>
        </w:tc>
        <w:tc>
          <w:tcPr>
            <w:tcW w:w="2551" w:type="dxa"/>
            <w:vAlign w:val="center"/>
          </w:tcPr>
          <w:p>
            <w:pPr>
              <w:pStyle w:val="11"/>
            </w:pPr>
          </w:p>
        </w:tc>
        <w:tc>
          <w:tcPr>
            <w:tcW w:w="2551" w:type="dxa"/>
            <w:vAlign w:val="center"/>
          </w:tcPr>
          <w:p>
            <w:pPr>
              <w:pStyle w:val="11"/>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1346.83</w:t>
            </w:r>
          </w:p>
        </w:tc>
        <w:tc>
          <w:tcPr>
            <w:tcW w:w="2551" w:type="dxa"/>
            <w:vAlign w:val="center"/>
          </w:tcPr>
          <w:p>
            <w:pPr>
              <w:pStyle w:val="11"/>
            </w:pPr>
          </w:p>
        </w:tc>
        <w:tc>
          <w:tcPr>
            <w:tcW w:w="2551" w:type="dxa"/>
            <w:vAlign w:val="center"/>
          </w:tcPr>
          <w:p>
            <w:pPr>
              <w:pStyle w:val="11"/>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1346.83</w:t>
            </w:r>
          </w:p>
        </w:tc>
        <w:tc>
          <w:tcPr>
            <w:tcW w:w="2551" w:type="dxa"/>
            <w:vAlign w:val="center"/>
          </w:tcPr>
          <w:p>
            <w:pPr>
              <w:pStyle w:val="11"/>
            </w:pPr>
          </w:p>
        </w:tc>
        <w:tc>
          <w:tcPr>
            <w:tcW w:w="2551" w:type="dxa"/>
            <w:vAlign w:val="center"/>
          </w:tcPr>
          <w:p>
            <w:pPr>
              <w:pStyle w:val="11"/>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12.45</w:t>
            </w:r>
          </w:p>
        </w:tc>
        <w:tc>
          <w:tcPr>
            <w:tcW w:w="2551" w:type="dxa"/>
            <w:vAlign w:val="center"/>
          </w:tcPr>
          <w:p>
            <w:pPr>
              <w:pStyle w:val="11"/>
            </w:pPr>
            <w:r>
              <w:t>12.45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12.45</w:t>
            </w:r>
          </w:p>
        </w:tc>
        <w:tc>
          <w:tcPr>
            <w:tcW w:w="2551" w:type="dxa"/>
            <w:vAlign w:val="center"/>
          </w:tcPr>
          <w:p>
            <w:pPr>
              <w:pStyle w:val="11"/>
            </w:pPr>
            <w:r>
              <w:t>12.45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12.45</w:t>
            </w:r>
          </w:p>
        </w:tc>
        <w:tc>
          <w:tcPr>
            <w:tcW w:w="2551" w:type="dxa"/>
            <w:vAlign w:val="center"/>
          </w:tcPr>
          <w:p>
            <w:pPr>
              <w:pStyle w:val="11"/>
            </w:pPr>
            <w:r>
              <w:t>12.45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2235.72</w:t>
            </w:r>
          </w:p>
        </w:tc>
        <w:tc>
          <w:tcPr>
            <w:tcW w:w="2551" w:type="dxa"/>
            <w:vAlign w:val="center"/>
          </w:tcPr>
          <w:p>
            <w:pPr>
              <w:pStyle w:val="15"/>
            </w:pPr>
            <w:r>
              <w:t>2087.96</w:t>
            </w:r>
          </w:p>
        </w:tc>
        <w:tc>
          <w:tcPr>
            <w:tcW w:w="2551" w:type="dxa"/>
            <w:vAlign w:val="center"/>
          </w:tcPr>
          <w:p>
            <w:pPr>
              <w:pStyle w:val="15"/>
            </w:pPr>
            <w:r>
              <w:t>147.76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2018.31</w:t>
            </w:r>
          </w:p>
        </w:tc>
        <w:tc>
          <w:tcPr>
            <w:tcW w:w="2551" w:type="dxa"/>
            <w:vAlign w:val="center"/>
          </w:tcPr>
          <w:p>
            <w:pPr>
              <w:pStyle w:val="11"/>
            </w:pPr>
            <w:r>
              <w:t>2018.31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75.38</w:t>
            </w:r>
          </w:p>
        </w:tc>
        <w:tc>
          <w:tcPr>
            <w:tcW w:w="2551" w:type="dxa"/>
            <w:vAlign w:val="center"/>
          </w:tcPr>
          <w:p>
            <w:pPr>
              <w:pStyle w:val="11"/>
            </w:pPr>
            <w:r>
              <w:t>75.38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23.46</w:t>
            </w:r>
          </w:p>
        </w:tc>
        <w:tc>
          <w:tcPr>
            <w:tcW w:w="2551" w:type="dxa"/>
            <w:vAlign w:val="center"/>
          </w:tcPr>
          <w:p>
            <w:pPr>
              <w:pStyle w:val="11"/>
            </w:pPr>
            <w:r>
              <w:t>23.46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12.55</w:t>
            </w:r>
          </w:p>
        </w:tc>
        <w:tc>
          <w:tcPr>
            <w:tcW w:w="2551" w:type="dxa"/>
            <w:vAlign w:val="center"/>
          </w:tcPr>
          <w:p>
            <w:pPr>
              <w:pStyle w:val="11"/>
            </w:pPr>
            <w:r>
              <w:t>12.55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21.20</w:t>
            </w:r>
          </w:p>
        </w:tc>
        <w:tc>
          <w:tcPr>
            <w:tcW w:w="2551" w:type="dxa"/>
            <w:vAlign w:val="center"/>
          </w:tcPr>
          <w:p>
            <w:pPr>
              <w:pStyle w:val="11"/>
            </w:pPr>
            <w:r>
              <w:t>21.20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19.11</w:t>
            </w:r>
          </w:p>
        </w:tc>
        <w:tc>
          <w:tcPr>
            <w:tcW w:w="2551" w:type="dxa"/>
            <w:vAlign w:val="center"/>
          </w:tcPr>
          <w:p>
            <w:pPr>
              <w:pStyle w:val="11"/>
            </w:pPr>
            <w:r>
              <w:t>19.11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9.55</w:t>
            </w:r>
          </w:p>
        </w:tc>
        <w:tc>
          <w:tcPr>
            <w:tcW w:w="2551" w:type="dxa"/>
            <w:vAlign w:val="center"/>
          </w:tcPr>
          <w:p>
            <w:pPr>
              <w:pStyle w:val="11"/>
            </w:pPr>
            <w:r>
              <w:t>9.55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0.88</w:t>
            </w:r>
          </w:p>
        </w:tc>
        <w:tc>
          <w:tcPr>
            <w:tcW w:w="2551" w:type="dxa"/>
            <w:vAlign w:val="center"/>
          </w:tcPr>
          <w:p>
            <w:pPr>
              <w:pStyle w:val="11"/>
            </w:pPr>
            <w:r>
              <w:t>0.88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12.45</w:t>
            </w:r>
          </w:p>
        </w:tc>
        <w:tc>
          <w:tcPr>
            <w:tcW w:w="2551" w:type="dxa"/>
            <w:vAlign w:val="center"/>
          </w:tcPr>
          <w:p>
            <w:pPr>
              <w:pStyle w:val="11"/>
            </w:pPr>
            <w:r>
              <w:t>12.45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1835.44</w:t>
            </w:r>
          </w:p>
        </w:tc>
        <w:tc>
          <w:tcPr>
            <w:tcW w:w="2551" w:type="dxa"/>
            <w:vAlign w:val="center"/>
          </w:tcPr>
          <w:p>
            <w:pPr>
              <w:pStyle w:val="11"/>
            </w:pPr>
            <w:r>
              <w:t>1835.44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141.48</w:t>
            </w:r>
          </w:p>
        </w:tc>
        <w:tc>
          <w:tcPr>
            <w:tcW w:w="2551" w:type="dxa"/>
            <w:vAlign w:val="center"/>
          </w:tcPr>
          <w:p>
            <w:pPr>
              <w:pStyle w:val="11"/>
            </w:pPr>
          </w:p>
        </w:tc>
        <w:tc>
          <w:tcPr>
            <w:tcW w:w="2551" w:type="dxa"/>
            <w:vAlign w:val="center"/>
          </w:tcPr>
          <w:p>
            <w:pPr>
              <w:pStyle w:val="11"/>
            </w:pPr>
            <w:r>
              <w:t>141.48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19.88</w:t>
            </w:r>
          </w:p>
        </w:tc>
        <w:tc>
          <w:tcPr>
            <w:tcW w:w="2551" w:type="dxa"/>
            <w:vAlign w:val="center"/>
          </w:tcPr>
          <w:p>
            <w:pPr>
              <w:pStyle w:val="11"/>
            </w:pPr>
          </w:p>
        </w:tc>
        <w:tc>
          <w:tcPr>
            <w:tcW w:w="2551" w:type="dxa"/>
            <w:vAlign w:val="center"/>
          </w:tcPr>
          <w:p>
            <w:pPr>
              <w:pStyle w:val="11"/>
            </w:pPr>
            <w:r>
              <w:t>19.88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29.29</w:t>
            </w:r>
          </w:p>
        </w:tc>
        <w:tc>
          <w:tcPr>
            <w:tcW w:w="2551" w:type="dxa"/>
            <w:vAlign w:val="center"/>
          </w:tcPr>
          <w:p>
            <w:pPr>
              <w:pStyle w:val="11"/>
            </w:pPr>
          </w:p>
        </w:tc>
        <w:tc>
          <w:tcPr>
            <w:tcW w:w="2551" w:type="dxa"/>
            <w:vAlign w:val="center"/>
          </w:tcPr>
          <w:p>
            <w:pPr>
              <w:pStyle w:val="11"/>
            </w:pPr>
            <w:r>
              <w:t>29.29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12.68</w:t>
            </w:r>
          </w:p>
        </w:tc>
        <w:tc>
          <w:tcPr>
            <w:tcW w:w="2551" w:type="dxa"/>
            <w:vAlign w:val="center"/>
          </w:tcPr>
          <w:p>
            <w:pPr>
              <w:pStyle w:val="11"/>
            </w:pPr>
          </w:p>
        </w:tc>
        <w:tc>
          <w:tcPr>
            <w:tcW w:w="2551" w:type="dxa"/>
            <w:vAlign w:val="center"/>
          </w:tcPr>
          <w:p>
            <w:pPr>
              <w:pStyle w:val="11"/>
            </w:pPr>
            <w:r>
              <w:t>12.68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9.54</w:t>
            </w:r>
          </w:p>
        </w:tc>
        <w:tc>
          <w:tcPr>
            <w:tcW w:w="2551" w:type="dxa"/>
            <w:vAlign w:val="center"/>
          </w:tcPr>
          <w:p>
            <w:pPr>
              <w:pStyle w:val="11"/>
            </w:pPr>
          </w:p>
        </w:tc>
        <w:tc>
          <w:tcPr>
            <w:tcW w:w="2551" w:type="dxa"/>
            <w:vAlign w:val="center"/>
          </w:tcPr>
          <w:p>
            <w:pPr>
              <w:pStyle w:val="11"/>
            </w:pPr>
            <w:r>
              <w:t>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15.57</w:t>
            </w:r>
          </w:p>
        </w:tc>
        <w:tc>
          <w:tcPr>
            <w:tcW w:w="2551" w:type="dxa"/>
            <w:vAlign w:val="center"/>
          </w:tcPr>
          <w:p>
            <w:pPr>
              <w:pStyle w:val="11"/>
            </w:pPr>
          </w:p>
        </w:tc>
        <w:tc>
          <w:tcPr>
            <w:tcW w:w="2551" w:type="dxa"/>
            <w:vAlign w:val="center"/>
          </w:tcPr>
          <w:p>
            <w:pPr>
              <w:pStyle w:val="11"/>
            </w:pPr>
            <w:r>
              <w:t>15.57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12.55</w:t>
            </w:r>
          </w:p>
        </w:tc>
        <w:tc>
          <w:tcPr>
            <w:tcW w:w="2551" w:type="dxa"/>
            <w:vAlign w:val="center"/>
          </w:tcPr>
          <w:p>
            <w:pPr>
              <w:pStyle w:val="11"/>
            </w:pPr>
          </w:p>
        </w:tc>
        <w:tc>
          <w:tcPr>
            <w:tcW w:w="2551" w:type="dxa"/>
            <w:vAlign w:val="center"/>
          </w:tcPr>
          <w:p>
            <w:pPr>
              <w:pStyle w:val="11"/>
            </w:pPr>
            <w:r>
              <w:t>12.55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8.96</w:t>
            </w:r>
          </w:p>
        </w:tc>
        <w:tc>
          <w:tcPr>
            <w:tcW w:w="2551" w:type="dxa"/>
            <w:vAlign w:val="center"/>
          </w:tcPr>
          <w:p>
            <w:pPr>
              <w:pStyle w:val="11"/>
            </w:pPr>
          </w:p>
        </w:tc>
        <w:tc>
          <w:tcPr>
            <w:tcW w:w="2551" w:type="dxa"/>
            <w:vAlign w:val="center"/>
          </w:tcPr>
          <w:p>
            <w:pPr>
              <w:pStyle w:val="11"/>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6.54</w:t>
            </w:r>
          </w:p>
        </w:tc>
        <w:tc>
          <w:tcPr>
            <w:tcW w:w="2551" w:type="dxa"/>
            <w:vAlign w:val="center"/>
          </w:tcPr>
          <w:p>
            <w:pPr>
              <w:pStyle w:val="11"/>
            </w:pPr>
          </w:p>
        </w:tc>
        <w:tc>
          <w:tcPr>
            <w:tcW w:w="2551" w:type="dxa"/>
            <w:vAlign w:val="center"/>
          </w:tcPr>
          <w:p>
            <w:pPr>
              <w:pStyle w:val="11"/>
            </w:pPr>
            <w:r>
              <w:t>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1.92</w:t>
            </w:r>
          </w:p>
        </w:tc>
        <w:tc>
          <w:tcPr>
            <w:tcW w:w="2551" w:type="dxa"/>
            <w:vAlign w:val="center"/>
          </w:tcPr>
          <w:p>
            <w:pPr>
              <w:pStyle w:val="11"/>
            </w:pPr>
          </w:p>
        </w:tc>
        <w:tc>
          <w:tcPr>
            <w:tcW w:w="2551" w:type="dxa"/>
            <w:vAlign w:val="center"/>
          </w:tcPr>
          <w:p>
            <w:pPr>
              <w:pStyle w:val="11"/>
            </w:pPr>
            <w:r>
              <w:t>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69.64</w:t>
            </w:r>
          </w:p>
        </w:tc>
        <w:tc>
          <w:tcPr>
            <w:tcW w:w="2551" w:type="dxa"/>
            <w:vAlign w:val="center"/>
          </w:tcPr>
          <w:p>
            <w:pPr>
              <w:pStyle w:val="11"/>
            </w:pPr>
            <w:r>
              <w:t>69.64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66.45</w:t>
            </w:r>
          </w:p>
        </w:tc>
        <w:tc>
          <w:tcPr>
            <w:tcW w:w="2551" w:type="dxa"/>
            <w:vAlign w:val="center"/>
          </w:tcPr>
          <w:p>
            <w:pPr>
              <w:pStyle w:val="11"/>
            </w:pPr>
            <w:r>
              <w:t>66.45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6.28</w:t>
            </w:r>
          </w:p>
        </w:tc>
        <w:tc>
          <w:tcPr>
            <w:tcW w:w="2551" w:type="dxa"/>
            <w:vAlign w:val="center"/>
          </w:tcPr>
          <w:p>
            <w:pPr>
              <w:pStyle w:val="11"/>
            </w:pPr>
          </w:p>
        </w:tc>
        <w:tc>
          <w:tcPr>
            <w:tcW w:w="2551" w:type="dxa"/>
            <w:vAlign w:val="center"/>
          </w:tcPr>
          <w:p>
            <w:pPr>
              <w:pStyle w:val="11"/>
            </w:pPr>
            <w:r>
              <w:t>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6.28</w:t>
            </w:r>
          </w:p>
        </w:tc>
        <w:tc>
          <w:tcPr>
            <w:tcW w:w="2551" w:type="dxa"/>
            <w:vAlign w:val="center"/>
          </w:tcPr>
          <w:p>
            <w:pPr>
              <w:pStyle w:val="11"/>
            </w:pPr>
          </w:p>
        </w:tc>
        <w:tc>
          <w:tcPr>
            <w:tcW w:w="2551" w:type="dxa"/>
            <w:vAlign w:val="center"/>
          </w:tcPr>
          <w:p>
            <w:pPr>
              <w:pStyle w:val="11"/>
            </w:pPr>
            <w:r>
              <w:t>6.28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10.01</w:t>
            </w:r>
          </w:p>
        </w:tc>
        <w:tc>
          <w:tcPr>
            <w:tcW w:w="2381" w:type="dxa"/>
            <w:vAlign w:val="center"/>
          </w:tcPr>
          <w:p>
            <w:pPr>
              <w:pStyle w:val="15"/>
            </w:pPr>
            <w:r>
              <w:t>10.01</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10.01</w:t>
            </w:r>
          </w:p>
        </w:tc>
        <w:tc>
          <w:tcPr>
            <w:tcW w:w="2381" w:type="dxa"/>
            <w:vAlign w:val="center"/>
          </w:tcPr>
          <w:p>
            <w:pPr>
              <w:pStyle w:val="11"/>
            </w:pPr>
            <w:r>
              <w:t>10.01</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8.96</w:t>
            </w:r>
          </w:p>
        </w:tc>
        <w:tc>
          <w:tcPr>
            <w:tcW w:w="2381" w:type="dxa"/>
            <w:vAlign w:val="center"/>
          </w:tcPr>
          <w:p>
            <w:pPr>
              <w:pStyle w:val="11"/>
            </w:pPr>
            <w:r>
              <w:t>8.96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8.96</w:t>
            </w:r>
          </w:p>
        </w:tc>
        <w:tc>
          <w:tcPr>
            <w:tcW w:w="2381" w:type="dxa"/>
            <w:vAlign w:val="center"/>
          </w:tcPr>
          <w:p>
            <w:pPr>
              <w:pStyle w:val="11"/>
            </w:pPr>
            <w:r>
              <w:t>8.96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1.05</w:t>
            </w:r>
          </w:p>
        </w:tc>
        <w:tc>
          <w:tcPr>
            <w:tcW w:w="2381" w:type="dxa"/>
            <w:vAlign w:val="center"/>
          </w:tcPr>
          <w:p>
            <w:pPr>
              <w:pStyle w:val="11"/>
            </w:pPr>
            <w:r>
              <w:t>1.05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高阳县城市管理综合行政执法局2025年单位预算信息公开情况说明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按照《中华人民共和国预算法》、《地方预决算公开操作规程》和《关于进一步推进预算公开工作的实施意见》规定，现将高阳县城市管理综合行政执法局2025年单位预算公开如下：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（一）宣传贯彻省、市、县有关城市管理方面的政策和法规；拟定和实施城市管理方面的有关规定。</w:t>
      </w:r>
    </w:p>
    <w:p>
      <w:pPr>
        <w:pStyle w:val="17"/>
      </w:pPr>
      <w:r>
        <w:t>（二）负责编制城市管理发展战略,中长期发展规划和年度计划,推进数字城管智慧化。并会同自然资源和规划局编制实施市容景观、环境卫生、城市绿化等各项专业规划。</w:t>
      </w:r>
    </w:p>
    <w:p>
      <w:pPr>
        <w:pStyle w:val="17"/>
      </w:pPr>
      <w:r>
        <w:t>（三）负责城区城市容貌和环境卫生管理、参与城区环境卫生设施的规划及环卫设施的竣工验收；负责城区环境卫生设施、设备、经费的管理,道路清融雪等工作；负责对环境卫生方面新技术的研究推广工作。负责制定城市容貌标准,并监督执行。组织实施市容整治和门前“三包”；组织开展街道、住宅小区环境的考核评比工作。</w:t>
      </w:r>
    </w:p>
    <w:p>
      <w:pPr>
        <w:pStyle w:val="17"/>
      </w:pPr>
      <w:r>
        <w:t>（四）负责建成区内垃圾处理等方面的工作。指导建制镇生活垃圾及农村生活垃圾收运处置体系建设；指导各乡镇环卫工作的开展。</w:t>
      </w:r>
    </w:p>
    <w:p>
      <w:pPr>
        <w:pStyle w:val="17"/>
      </w:pPr>
      <w:r>
        <w:t>（五）负责城区公共空间秩序管理方面的户外广告设置,门头牌匾、建筑外立面装修、“街道家具”等管理工作。</w:t>
      </w:r>
    </w:p>
    <w:p>
      <w:pPr>
        <w:pStyle w:val="17"/>
      </w:pPr>
      <w:r>
        <w:t>（六）负责城市交通管理方面的便道车辆停放管理工作。</w:t>
      </w:r>
    </w:p>
    <w:p>
      <w:pPr>
        <w:pStyle w:val="17"/>
      </w:pPr>
      <w:r>
        <w:t>（七）负责城市管理相关业务安全管理工作。</w:t>
      </w:r>
    </w:p>
    <w:p>
      <w:pPr>
        <w:pStyle w:val="17"/>
      </w:pPr>
      <w:r>
        <w:t>（八）负责城市环境保护管理方面的道路扬尘、露天烧烤整治工作。</w:t>
      </w:r>
    </w:p>
    <w:p>
      <w:pPr>
        <w:pStyle w:val="17"/>
      </w:pPr>
      <w:r>
        <w:t>（九）负责城市园林绿化管理等方面的全部工作。</w:t>
      </w:r>
    </w:p>
    <w:p>
      <w:pPr>
        <w:pStyle w:val="17"/>
      </w:pPr>
      <w:r>
        <w:t>（十）集中行使与群众生产生活密切相关、执法频率高、多头执法扰民问题突出、专业技术要求适宜、与城市管理密切相关的行政处罚权,具体包括：</w:t>
      </w:r>
    </w:p>
    <w:p>
      <w:pPr>
        <w:pStyle w:val="17"/>
      </w:pPr>
      <w:r>
        <w:t>1、市容环境卫生管理方面法律、法规、规章规定的行政处罚权；</w:t>
      </w:r>
    </w:p>
    <w:p>
      <w:pPr>
        <w:pStyle w:val="17"/>
      </w:pPr>
      <w:r>
        <w:t>2、城市绿化管理方面法律、法规、规章规定的行政处罚权；</w:t>
      </w:r>
    </w:p>
    <w:p>
      <w:pPr>
        <w:pStyle w:val="17"/>
      </w:pPr>
      <w:r>
        <w:t>3、城市规划管理方面在规划区内未取得建设工程规划许可证进行建设的、已取得建设工程规划许可证未按规划进行建设的行政处罚权；</w:t>
      </w:r>
    </w:p>
    <w:p>
      <w:pPr>
        <w:pStyle w:val="17"/>
      </w:pPr>
      <w:r>
        <w:t>4、公安交通管理方面在人行道、广场等公共场所内违反机动车停放、临时停车规定行为法律、法规、规章规定的行政处罚权；</w:t>
      </w:r>
    </w:p>
    <w:p>
      <w:pPr>
        <w:pStyle w:val="17"/>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17"/>
      </w:pPr>
      <w:r>
        <w:t>6、水务管理方面向城市河道倾倒废弃物和垃圾、城市河道违法建筑物拆除、违法取土的法律、法规、规章规定的行政处罚权；</w:t>
      </w:r>
    </w:p>
    <w:p>
      <w:pPr>
        <w:pStyle w:val="17"/>
      </w:pPr>
      <w:r>
        <w:t>7、市场监督管理方面户外公共场所无证、无照经营、违规设置户外广告,违法回收贩卖药品行为法律、法规、规章规定的行政处罚权；</w:t>
      </w:r>
    </w:p>
    <w:p>
      <w:pPr>
        <w:pStyle w:val="17"/>
      </w:pPr>
      <w:r>
        <w:t>城市管理综合行政执法部门可以实施与上述范围内法律、法规、规章规定的行政处罚权有关的行政强制措施。</w:t>
      </w:r>
    </w:p>
    <w:p>
      <w:pPr>
        <w:pStyle w:val="17"/>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12100.82万元，其中：一般公共预算收入12100.82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城市管理综合行政执法局年度单位预算中支出预算的总体情况。2025年支出预算12100.82万元，其中基本支出2235.72万元，包括人员经费2087.96万元和日常公用经费147.76万元；项目支出9865.10万元，主要为城区环卫作业市场化经费、农村环卫作业市场化经费、城区公厕运行维护费、垃圾运输处理费、城区绿地和公园绿地社会化养护、公路隔离栏管护费用、垃圾中转站运行维护费、执法专项经费等专项业务经费。</w:t>
      </w:r>
    </w:p>
    <w:p>
      <w:pPr>
        <w:pStyle w:val="18"/>
      </w:pPr>
      <w:r>
        <w:t>3、比上年增减情况</w:t>
      </w:r>
    </w:p>
    <w:p>
      <w:pPr>
        <w:pStyle w:val="18"/>
      </w:pPr>
      <w:r>
        <w:t>2025年预算收支安排12100.82万元，较2024年预算增加6557.55万元，其中：基本支出增加2039.82万元，主要为人员增加导致人员经费增加。项目支出增加4517.73万元，主要为项目经费增加。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2025年，我</w:t>
      </w:r>
      <w:r>
        <w:rPr>
          <w:rFonts w:hint="eastAsia"/>
          <w:lang w:eastAsia="zh-CN"/>
        </w:rPr>
        <w:t>单位</w:t>
      </w:r>
      <w:r>
        <w:t>机关运行经费共计安排147.76万元，主要用于日常维修、办公用房水电费、办公用房取暖费、办公用房物业管理费等日常运行支出。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10.01万元，其中因公出国（境）费0.00万元；公务用车购置及运维费8.96万元（其中：公务用车购置费为0.00万元，公务用车运维费8.96万元)；公务接待费1.05万元。与2024年相比减少0.54万元，增减变化的主要原因是按照三公经费逐年递减，控制“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1、城市管理工作经费-劳务派遣绩效目标表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13062825P000115100156</w:t>
            </w:r>
          </w:p>
        </w:tc>
        <w:tc>
          <w:tcPr>
            <w:tcW w:w="2835" w:type="dxa"/>
            <w:vAlign w:val="center"/>
          </w:tcPr>
          <w:p>
            <w:pPr>
              <w:pStyle w:val="10"/>
            </w:pPr>
            <w:r>
              <w:t>项目名称</w:t>
            </w:r>
          </w:p>
        </w:tc>
        <w:tc>
          <w:tcPr>
            <w:tcW w:w="6095" w:type="dxa"/>
            <w:gridSpan w:val="3"/>
            <w:vAlign w:val="center"/>
          </w:tcPr>
          <w:p>
            <w:pPr>
              <w:pStyle w:val="12"/>
            </w:pPr>
            <w:r>
              <w:t>城市管理工作经费-劳务派遣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81.90</w:t>
            </w:r>
          </w:p>
        </w:tc>
        <w:tc>
          <w:tcPr>
            <w:tcW w:w="2835" w:type="dxa"/>
            <w:vAlign w:val="center"/>
          </w:tcPr>
          <w:p>
            <w:pPr>
              <w:pStyle w:val="10"/>
            </w:pPr>
            <w:r>
              <w:t>其中：财政    资金</w:t>
            </w:r>
          </w:p>
        </w:tc>
        <w:tc>
          <w:tcPr>
            <w:tcW w:w="2551" w:type="dxa"/>
            <w:vAlign w:val="center"/>
          </w:tcPr>
          <w:p>
            <w:pPr>
              <w:pStyle w:val="12"/>
            </w:pPr>
            <w:r>
              <w:t>81.90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用于城市管理工作经费-劳务派遣项目支出。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1.保障劳务派遣人员工资和保险正常发放及缴纳。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劳务派遣人员数量</w:t>
            </w:r>
          </w:p>
        </w:tc>
        <w:tc>
          <w:tcPr>
            <w:tcW w:w="2268" w:type="dxa"/>
            <w:vAlign w:val="center"/>
          </w:tcPr>
          <w:p>
            <w:pPr>
              <w:pStyle w:val="12"/>
            </w:pPr>
            <w:r>
              <w:t>≥13人</w:t>
            </w:r>
          </w:p>
        </w:tc>
        <w:tc>
          <w:tcPr>
            <w:tcW w:w="1276" w:type="dxa"/>
            <w:vAlign w:val="center"/>
          </w:tcPr>
          <w:p>
            <w:pPr>
              <w:pStyle w:val="12"/>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实际发放数占应发放数的比例</w:t>
            </w:r>
          </w:p>
        </w:tc>
        <w:tc>
          <w:tcPr>
            <w:tcW w:w="2268" w:type="dxa"/>
            <w:vAlign w:val="center"/>
          </w:tcPr>
          <w:p>
            <w:pPr>
              <w:pStyle w:val="12"/>
            </w:pPr>
            <w:r>
              <w:t>100%</w:t>
            </w:r>
          </w:p>
        </w:tc>
        <w:tc>
          <w:tcPr>
            <w:tcW w:w="1276" w:type="dxa"/>
            <w:vAlign w:val="center"/>
          </w:tcPr>
          <w:p>
            <w:pPr>
              <w:pStyle w:val="12"/>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反映工资发放及时情况</w:t>
            </w:r>
          </w:p>
        </w:tc>
        <w:tc>
          <w:tcPr>
            <w:tcW w:w="2268" w:type="dxa"/>
            <w:vAlign w:val="center"/>
          </w:tcPr>
          <w:p>
            <w:pPr>
              <w:pStyle w:val="12"/>
            </w:pPr>
            <w:r>
              <w:t>100%</w:t>
            </w:r>
          </w:p>
        </w:tc>
        <w:tc>
          <w:tcPr>
            <w:tcW w:w="1276" w:type="dxa"/>
            <w:vAlign w:val="center"/>
          </w:tcPr>
          <w:p>
            <w:pPr>
              <w:pStyle w:val="12"/>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实际支出占预算安排的比例</w:t>
            </w:r>
          </w:p>
        </w:tc>
        <w:tc>
          <w:tcPr>
            <w:tcW w:w="2268" w:type="dxa"/>
            <w:vAlign w:val="center"/>
          </w:tcPr>
          <w:p>
            <w:pPr>
              <w:pStyle w:val="12"/>
            </w:pPr>
            <w:r>
              <w:t>≤100%</w:t>
            </w:r>
          </w:p>
        </w:tc>
        <w:tc>
          <w:tcPr>
            <w:tcW w:w="1276" w:type="dxa"/>
            <w:vAlign w:val="center"/>
          </w:tcPr>
          <w:p>
            <w:pPr>
              <w:pStyle w:val="12"/>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工作开展持续性</w:t>
            </w:r>
          </w:p>
        </w:tc>
        <w:tc>
          <w:tcPr>
            <w:tcW w:w="5386" w:type="dxa"/>
            <w:vAlign w:val="center"/>
          </w:tcPr>
          <w:p>
            <w:pPr>
              <w:pStyle w:val="12"/>
            </w:pPr>
            <w:r>
              <w:t>保障工作正常持续性开展</w:t>
            </w:r>
          </w:p>
        </w:tc>
        <w:tc>
          <w:tcPr>
            <w:tcW w:w="2268" w:type="dxa"/>
            <w:vAlign w:val="center"/>
          </w:tcPr>
          <w:p>
            <w:pPr>
              <w:pStyle w:val="12"/>
            </w:pPr>
            <w:r>
              <w:t>保障工作正常持续开展</w:t>
            </w:r>
          </w:p>
        </w:tc>
        <w:tc>
          <w:tcPr>
            <w:tcW w:w="1276" w:type="dxa"/>
            <w:vAlign w:val="center"/>
          </w:tcPr>
          <w:p>
            <w:pPr>
              <w:pStyle w:val="12"/>
            </w:pPr>
            <w:r>
              <w:t>劳务派遣协议书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2、城区公厕运行维护费绩效目标表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13062825P00060010001Y</w:t>
            </w:r>
          </w:p>
        </w:tc>
        <w:tc>
          <w:tcPr>
            <w:tcW w:w="2835" w:type="dxa"/>
            <w:vAlign w:val="center"/>
          </w:tcPr>
          <w:p>
            <w:pPr>
              <w:pStyle w:val="10"/>
            </w:pPr>
            <w:r>
              <w:t>项目名称</w:t>
            </w:r>
          </w:p>
        </w:tc>
        <w:tc>
          <w:tcPr>
            <w:tcW w:w="6095" w:type="dxa"/>
            <w:gridSpan w:val="3"/>
            <w:vAlign w:val="center"/>
          </w:tcPr>
          <w:p>
            <w:pPr>
              <w:pStyle w:val="12"/>
            </w:pPr>
            <w:r>
              <w:t>城区公厕运行维护费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用于城区公厕运行维护费支出。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1.完善城市整体功能，提升城市形象品质。</w:t>
            </w:r>
          </w:p>
          <w:p>
            <w:pPr>
              <w:pStyle w:val="12"/>
            </w:pPr>
            <w:r>
              <w:t>2.保障城区公厕正常运行。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公厕正常运行数量</w:t>
            </w:r>
          </w:p>
        </w:tc>
        <w:tc>
          <w:tcPr>
            <w:tcW w:w="5386" w:type="dxa"/>
            <w:vAlign w:val="center"/>
          </w:tcPr>
          <w:p>
            <w:pPr>
              <w:pStyle w:val="12"/>
            </w:pPr>
            <w:r>
              <w:t>城区范围内正常运转的公厕数量</w:t>
            </w:r>
          </w:p>
        </w:tc>
        <w:tc>
          <w:tcPr>
            <w:tcW w:w="2268" w:type="dxa"/>
            <w:vAlign w:val="center"/>
          </w:tcPr>
          <w:p>
            <w:pPr>
              <w:pStyle w:val="12"/>
            </w:pPr>
            <w:r>
              <w:t>≥19座</w:t>
            </w:r>
          </w:p>
        </w:tc>
        <w:tc>
          <w:tcPr>
            <w:tcW w:w="1276" w:type="dxa"/>
            <w:vAlign w:val="center"/>
          </w:tcPr>
          <w:p>
            <w:pPr>
              <w:pStyle w:val="12"/>
            </w:pPr>
            <w:r>
              <w:t>公厕数量清单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维修质量合格产品与全部维修产品比例</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按规定时间要求完成工作的情况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工作开展的持续性</w:t>
            </w:r>
          </w:p>
        </w:tc>
        <w:tc>
          <w:tcPr>
            <w:tcW w:w="5386" w:type="dxa"/>
            <w:vAlign w:val="center"/>
          </w:tcPr>
          <w:p>
            <w:pPr>
              <w:pStyle w:val="12"/>
            </w:pPr>
            <w:r>
              <w:t>反映保障公厕正常运行工作开展的持续性状况</w:t>
            </w:r>
          </w:p>
        </w:tc>
        <w:tc>
          <w:tcPr>
            <w:tcW w:w="2268" w:type="dxa"/>
            <w:vAlign w:val="center"/>
          </w:tcPr>
          <w:p>
            <w:pPr>
              <w:pStyle w:val="12"/>
            </w:pPr>
            <w:r>
              <w:t>保证公厕正常运行，满足居民出行需要</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3、城区环卫作业市场化经费绩效目标表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13062825P000569100029</w:t>
            </w:r>
          </w:p>
        </w:tc>
        <w:tc>
          <w:tcPr>
            <w:tcW w:w="2835" w:type="dxa"/>
            <w:vAlign w:val="center"/>
          </w:tcPr>
          <w:p>
            <w:pPr>
              <w:pStyle w:val="10"/>
            </w:pPr>
            <w:r>
              <w:t>项目名称</w:t>
            </w:r>
          </w:p>
        </w:tc>
        <w:tc>
          <w:tcPr>
            <w:tcW w:w="6095" w:type="dxa"/>
            <w:gridSpan w:val="3"/>
            <w:vAlign w:val="center"/>
          </w:tcPr>
          <w:p>
            <w:pPr>
              <w:pStyle w:val="12"/>
            </w:pPr>
            <w:r>
              <w:t>城区环卫作业市场化经费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2950.00</w:t>
            </w:r>
          </w:p>
        </w:tc>
        <w:tc>
          <w:tcPr>
            <w:tcW w:w="2835" w:type="dxa"/>
            <w:vAlign w:val="center"/>
          </w:tcPr>
          <w:p>
            <w:pPr>
              <w:pStyle w:val="10"/>
            </w:pPr>
            <w:r>
              <w:t>其中：财政    资金</w:t>
            </w:r>
          </w:p>
        </w:tc>
        <w:tc>
          <w:tcPr>
            <w:tcW w:w="2551" w:type="dxa"/>
            <w:vAlign w:val="center"/>
          </w:tcPr>
          <w:p>
            <w:pPr>
              <w:pStyle w:val="12"/>
            </w:pPr>
            <w:r>
              <w:t>2950.00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用于城区环卫作业市场化经费支出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1.改善城区环境卫生，提升城市形象，为居民创造整洁、干净的城市环境。</w:t>
            </w:r>
          </w:p>
          <w:p>
            <w:pPr>
              <w:pStyle w:val="12"/>
            </w:pPr>
            <w:r>
              <w:t>2.推进城区环卫作业市场化服务，实现城区垃圾日产日清。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清扫工作量</w:t>
            </w:r>
          </w:p>
        </w:tc>
        <w:tc>
          <w:tcPr>
            <w:tcW w:w="5386" w:type="dxa"/>
            <w:vAlign w:val="center"/>
          </w:tcPr>
          <w:p>
            <w:pPr>
              <w:pStyle w:val="12"/>
            </w:pPr>
            <w:r>
              <w:t>实际清扫服务面积</w:t>
            </w:r>
          </w:p>
        </w:tc>
        <w:tc>
          <w:tcPr>
            <w:tcW w:w="2268" w:type="dxa"/>
            <w:vAlign w:val="center"/>
          </w:tcPr>
          <w:p>
            <w:pPr>
              <w:pStyle w:val="12"/>
            </w:pPr>
            <w:r>
              <w:t>≥341.55万平方米</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清扫面积合格率</w:t>
            </w:r>
          </w:p>
        </w:tc>
        <w:tc>
          <w:tcPr>
            <w:tcW w:w="5386" w:type="dxa"/>
            <w:vAlign w:val="center"/>
          </w:tcPr>
          <w:p>
            <w:pPr>
              <w:pStyle w:val="12"/>
            </w:pPr>
            <w:r>
              <w:t>道路清扫需要达到的基本要求，提高合格率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反映清扫任务完成情况</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改善居民生活环境</w:t>
            </w:r>
          </w:p>
        </w:tc>
        <w:tc>
          <w:tcPr>
            <w:tcW w:w="5386" w:type="dxa"/>
            <w:vAlign w:val="center"/>
          </w:tcPr>
          <w:p>
            <w:pPr>
              <w:pStyle w:val="12"/>
            </w:pPr>
            <w:r>
              <w:t>提升城市形象，美化城市环境，改善居民生活环境</w:t>
            </w:r>
          </w:p>
        </w:tc>
        <w:tc>
          <w:tcPr>
            <w:tcW w:w="2268" w:type="dxa"/>
            <w:vAlign w:val="center"/>
          </w:tcPr>
          <w:p>
            <w:pPr>
              <w:pStyle w:val="12"/>
            </w:pPr>
            <w:r>
              <w:t>改善城区环境卫生，提升城市形象，为居民创造整洁、干净的城市环境</w:t>
            </w:r>
          </w:p>
        </w:tc>
        <w:tc>
          <w:tcPr>
            <w:tcW w:w="1276" w:type="dxa"/>
            <w:vAlign w:val="center"/>
          </w:tcPr>
          <w:p>
            <w:pPr>
              <w:pStyle w:val="12"/>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受访群众达到基本满意以上人数与全体受访人数的比值</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4、城区绿地和公园绿地社会化养护绩效目标表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13062825P00059810001M</w:t>
            </w:r>
          </w:p>
        </w:tc>
        <w:tc>
          <w:tcPr>
            <w:tcW w:w="2835" w:type="dxa"/>
            <w:vAlign w:val="center"/>
          </w:tcPr>
          <w:p>
            <w:pPr>
              <w:pStyle w:val="10"/>
            </w:pPr>
            <w:r>
              <w:t>项目名称</w:t>
            </w:r>
          </w:p>
        </w:tc>
        <w:tc>
          <w:tcPr>
            <w:tcW w:w="6095" w:type="dxa"/>
            <w:gridSpan w:val="3"/>
            <w:vAlign w:val="center"/>
          </w:tcPr>
          <w:p>
            <w:pPr>
              <w:pStyle w:val="12"/>
            </w:pPr>
            <w:r>
              <w:t>城区绿地和公园绿地社会化养护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1600.00</w:t>
            </w:r>
          </w:p>
        </w:tc>
        <w:tc>
          <w:tcPr>
            <w:tcW w:w="2835" w:type="dxa"/>
            <w:vAlign w:val="center"/>
          </w:tcPr>
          <w:p>
            <w:pPr>
              <w:pStyle w:val="10"/>
            </w:pPr>
            <w:r>
              <w:t>其中：财政    资金</w:t>
            </w:r>
          </w:p>
        </w:tc>
        <w:tc>
          <w:tcPr>
            <w:tcW w:w="2551" w:type="dxa"/>
            <w:vAlign w:val="center"/>
          </w:tcPr>
          <w:p>
            <w:pPr>
              <w:pStyle w:val="12"/>
            </w:pPr>
            <w:r>
              <w:t>1600.00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用于城区绿地和公园绿地社会化养护支出。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1.保持并完善城区道路、游园及防护林绿地的景观效果。</w:t>
            </w:r>
          </w:p>
          <w:p>
            <w:pPr>
              <w:pStyle w:val="12"/>
            </w:pPr>
            <w:r>
              <w:t>2.确保公园绿地、行道树更加整洁、优美、有序，进一步巩固公园绿化成果，为市民提供强身健体的休闲、游憩场所。</w:t>
            </w:r>
          </w:p>
          <w:p>
            <w:pPr>
              <w:pStyle w:val="12"/>
            </w:pPr>
            <w:r>
              <w:t>3.保持并完善三座公园的绿地景观效果。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养护数量</w:t>
            </w:r>
          </w:p>
        </w:tc>
        <w:tc>
          <w:tcPr>
            <w:tcW w:w="5386" w:type="dxa"/>
            <w:vAlign w:val="center"/>
          </w:tcPr>
          <w:p>
            <w:pPr>
              <w:pStyle w:val="12"/>
            </w:pPr>
            <w:r>
              <w:t>反映城区公园养护数量情况</w:t>
            </w:r>
          </w:p>
        </w:tc>
        <w:tc>
          <w:tcPr>
            <w:tcW w:w="2268" w:type="dxa"/>
            <w:vAlign w:val="center"/>
          </w:tcPr>
          <w:p>
            <w:pPr>
              <w:pStyle w:val="12"/>
            </w:pPr>
            <w:r>
              <w:t>3座</w:t>
            </w:r>
          </w:p>
        </w:tc>
        <w:tc>
          <w:tcPr>
            <w:tcW w:w="1276" w:type="dxa"/>
            <w:vAlign w:val="center"/>
          </w:tcPr>
          <w:p>
            <w:pPr>
              <w:pStyle w:val="12"/>
            </w:pPr>
            <w:r>
              <w:t>养护合同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绿化成活率</w:t>
            </w:r>
          </w:p>
        </w:tc>
        <w:tc>
          <w:tcPr>
            <w:tcW w:w="5386" w:type="dxa"/>
            <w:vAlign w:val="center"/>
          </w:tcPr>
          <w:p>
            <w:pPr>
              <w:pStyle w:val="12"/>
            </w:pPr>
            <w:r>
              <w:t>反映种植苗木成活情况</w:t>
            </w:r>
          </w:p>
        </w:tc>
        <w:tc>
          <w:tcPr>
            <w:tcW w:w="2268" w:type="dxa"/>
            <w:vAlign w:val="center"/>
          </w:tcPr>
          <w:p>
            <w:pPr>
              <w:pStyle w:val="12"/>
            </w:pPr>
            <w:r>
              <w:t>≥95%</w:t>
            </w:r>
          </w:p>
        </w:tc>
        <w:tc>
          <w:tcPr>
            <w:tcW w:w="1276" w:type="dxa"/>
            <w:vAlign w:val="center"/>
          </w:tcPr>
          <w:p>
            <w:pPr>
              <w:pStyle w:val="12"/>
            </w:pPr>
            <w:r>
              <w:t>养护合同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反映养护活动完成情况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养护单价</w:t>
            </w:r>
          </w:p>
        </w:tc>
        <w:tc>
          <w:tcPr>
            <w:tcW w:w="5386" w:type="dxa"/>
            <w:vAlign w:val="center"/>
          </w:tcPr>
          <w:p>
            <w:pPr>
              <w:pStyle w:val="12"/>
            </w:pPr>
            <w:r>
              <w:t>合同约定养护单价成本</w:t>
            </w:r>
          </w:p>
        </w:tc>
        <w:tc>
          <w:tcPr>
            <w:tcW w:w="2268" w:type="dxa"/>
            <w:vAlign w:val="center"/>
          </w:tcPr>
          <w:p>
            <w:pPr>
              <w:pStyle w:val="12"/>
            </w:pPr>
            <w:r>
              <w:t>≤74.25万元/月</w:t>
            </w:r>
          </w:p>
        </w:tc>
        <w:tc>
          <w:tcPr>
            <w:tcW w:w="1276" w:type="dxa"/>
            <w:vAlign w:val="center"/>
          </w:tcPr>
          <w:p>
            <w:pPr>
              <w:pStyle w:val="12"/>
            </w:pPr>
            <w:r>
              <w:t>养护合同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巩固绿化成果</w:t>
            </w:r>
          </w:p>
        </w:tc>
        <w:tc>
          <w:tcPr>
            <w:tcW w:w="5386" w:type="dxa"/>
            <w:vAlign w:val="center"/>
          </w:tcPr>
          <w:p>
            <w:pPr>
              <w:pStyle w:val="12"/>
            </w:pPr>
            <w:r>
              <w:t>公园绿地、行道树更加整洁、优美、有序。</w:t>
            </w:r>
          </w:p>
        </w:tc>
        <w:tc>
          <w:tcPr>
            <w:tcW w:w="2268" w:type="dxa"/>
            <w:vAlign w:val="center"/>
          </w:tcPr>
          <w:p>
            <w:pPr>
              <w:pStyle w:val="12"/>
            </w:pPr>
            <w:r>
              <w:t>绿地景观效果有效保持和完善。</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5、高阳县市政交通护栏清洗维护项目绩效目标表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13062825P00060010002J</w:t>
            </w:r>
          </w:p>
        </w:tc>
        <w:tc>
          <w:tcPr>
            <w:tcW w:w="2835" w:type="dxa"/>
            <w:vAlign w:val="center"/>
          </w:tcPr>
          <w:p>
            <w:pPr>
              <w:pStyle w:val="10"/>
            </w:pPr>
            <w:r>
              <w:t>项目名称</w:t>
            </w:r>
          </w:p>
        </w:tc>
        <w:tc>
          <w:tcPr>
            <w:tcW w:w="6095" w:type="dxa"/>
            <w:gridSpan w:val="3"/>
            <w:vAlign w:val="center"/>
          </w:tcPr>
          <w:p>
            <w:pPr>
              <w:pStyle w:val="12"/>
            </w:pPr>
            <w:r>
              <w:t>高阳县市政交通护栏清洗维护项目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用于公路隔离栏管护费用支出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1.保障道路交通安全、畅通、有序，提升城市道路管理水平，美化市容市貌。</w:t>
            </w:r>
          </w:p>
          <w:p>
            <w:pPr>
              <w:pStyle w:val="12"/>
            </w:pPr>
            <w:r>
              <w:t>2.保障公路隔离栏维修清洗保养工作正常开展。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清扫覆盖率</w:t>
            </w:r>
          </w:p>
        </w:tc>
        <w:tc>
          <w:tcPr>
            <w:tcW w:w="5386" w:type="dxa"/>
            <w:vAlign w:val="center"/>
          </w:tcPr>
          <w:p>
            <w:pPr>
              <w:pStyle w:val="12"/>
            </w:pPr>
            <w:r>
              <w:t>隔离栏清扫保洁数量占全部隔离栏的比例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维修合格的设备数量与总数量的比值</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清扫维修工作开展及时性</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实际支出金额占预算金额的百分比</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保障公路隔离栏维护清洗保养工作正常开展</w:t>
            </w:r>
          </w:p>
        </w:tc>
        <w:tc>
          <w:tcPr>
            <w:tcW w:w="5386" w:type="dxa"/>
            <w:vAlign w:val="center"/>
          </w:tcPr>
          <w:p>
            <w:pPr>
              <w:pStyle w:val="12"/>
            </w:pPr>
            <w:r>
              <w:t>保障隔离栏干净整齐，保障道路交通安全、畅通、有序，提升城市道路管理水平。</w:t>
            </w:r>
          </w:p>
        </w:tc>
        <w:tc>
          <w:tcPr>
            <w:tcW w:w="2268" w:type="dxa"/>
            <w:vAlign w:val="center"/>
          </w:tcPr>
          <w:p>
            <w:pPr>
              <w:pStyle w:val="12"/>
            </w:pPr>
            <w:r>
              <w:t>保障隔离栏及时维修养护</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6、垃圾运输处理费绩效目标表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13062825P00A59310003A</w:t>
            </w:r>
          </w:p>
        </w:tc>
        <w:tc>
          <w:tcPr>
            <w:tcW w:w="2835" w:type="dxa"/>
            <w:vAlign w:val="center"/>
          </w:tcPr>
          <w:p>
            <w:pPr>
              <w:pStyle w:val="10"/>
            </w:pPr>
            <w:r>
              <w:t>项目名称</w:t>
            </w:r>
          </w:p>
        </w:tc>
        <w:tc>
          <w:tcPr>
            <w:tcW w:w="6095" w:type="dxa"/>
            <w:gridSpan w:val="3"/>
            <w:vAlign w:val="center"/>
          </w:tcPr>
          <w:p>
            <w:pPr>
              <w:pStyle w:val="12"/>
            </w:pPr>
            <w:r>
              <w:t>垃圾运输处理费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w:t>
            </w:r>
          </w:p>
        </w:tc>
        <w:tc>
          <w:tcPr>
            <w:tcW w:w="2835" w:type="dxa"/>
            <w:vAlign w:val="center"/>
          </w:tcPr>
          <w:p>
            <w:pPr>
              <w:pStyle w:val="10"/>
            </w:pPr>
            <w:r>
              <w:t>其中：财政    资金</w:t>
            </w:r>
          </w:p>
        </w:tc>
        <w:tc>
          <w:tcPr>
            <w:tcW w:w="2551" w:type="dxa"/>
            <w:vAlign w:val="center"/>
          </w:tcPr>
          <w:p>
            <w:pPr>
              <w:pStyle w:val="12"/>
            </w:pPr>
            <w:r>
              <w:t>1300.00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用于垃圾运输处理费项目支出。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1.净化空气，避免环境污染，有效改善城乡居住环境。</w:t>
            </w:r>
          </w:p>
          <w:p>
            <w:pPr>
              <w:pStyle w:val="12"/>
            </w:pPr>
            <w:r>
              <w:t>2.保障垃圾清运日产日清、为居民提供洁净卫生的居住环境。</w:t>
            </w:r>
          </w:p>
          <w:p>
            <w:pPr>
              <w:pStyle w:val="12"/>
            </w:pPr>
            <w:r>
              <w:t>3.实行垃圾分类运输处理，及时将城乡生活垃圾和餐厨垃圾进行无害化处理。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无害化处理量</w:t>
            </w:r>
          </w:p>
        </w:tc>
        <w:tc>
          <w:tcPr>
            <w:tcW w:w="5386" w:type="dxa"/>
            <w:vAlign w:val="center"/>
          </w:tcPr>
          <w:p>
            <w:pPr>
              <w:pStyle w:val="12"/>
            </w:pPr>
            <w:r>
              <w:t>当年度无害化垃圾处理数量</w:t>
            </w:r>
          </w:p>
        </w:tc>
        <w:tc>
          <w:tcPr>
            <w:tcW w:w="2268" w:type="dxa"/>
            <w:vAlign w:val="center"/>
          </w:tcPr>
          <w:p>
            <w:pPr>
              <w:pStyle w:val="12"/>
            </w:pPr>
            <w:r>
              <w:t>≥300吨/月</w:t>
            </w:r>
          </w:p>
        </w:tc>
        <w:tc>
          <w:tcPr>
            <w:tcW w:w="1276" w:type="dxa"/>
            <w:vAlign w:val="center"/>
          </w:tcPr>
          <w:p>
            <w:pPr>
              <w:pStyle w:val="12"/>
            </w:pPr>
            <w:r>
              <w:t>垃圾量确认单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垃圾清运合格率</w:t>
            </w:r>
          </w:p>
        </w:tc>
        <w:tc>
          <w:tcPr>
            <w:tcW w:w="5386" w:type="dxa"/>
            <w:vAlign w:val="center"/>
          </w:tcPr>
          <w:p>
            <w:pPr>
              <w:pStyle w:val="12"/>
            </w:pPr>
            <w:r>
              <w:t>生活垃圾应实行密闭化运输，运输过程中不得滴漏、撒落；对撒漏物应及时清除干净，反映垃圾清运的合格状况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反映垃圾清运的及时性状况</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运输处理成本</w:t>
            </w:r>
          </w:p>
        </w:tc>
        <w:tc>
          <w:tcPr>
            <w:tcW w:w="5386" w:type="dxa"/>
            <w:vAlign w:val="center"/>
          </w:tcPr>
          <w:p>
            <w:pPr>
              <w:pStyle w:val="12"/>
            </w:pPr>
            <w:r>
              <w:t>垃圾运输处理单价</w:t>
            </w:r>
          </w:p>
        </w:tc>
        <w:tc>
          <w:tcPr>
            <w:tcW w:w="2268" w:type="dxa"/>
            <w:vAlign w:val="center"/>
          </w:tcPr>
          <w:p>
            <w:pPr>
              <w:pStyle w:val="12"/>
            </w:pPr>
            <w:r>
              <w:t>≤128.56元/吨</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保障垃圾及时清运处理，减少环境污染</w:t>
            </w:r>
          </w:p>
        </w:tc>
        <w:tc>
          <w:tcPr>
            <w:tcW w:w="5386" w:type="dxa"/>
            <w:vAlign w:val="center"/>
          </w:tcPr>
          <w:p>
            <w:pPr>
              <w:pStyle w:val="12"/>
            </w:pPr>
            <w:r>
              <w:t>垃圾及时清运，提升城市形象，美化城市环境</w:t>
            </w:r>
          </w:p>
        </w:tc>
        <w:tc>
          <w:tcPr>
            <w:tcW w:w="2268" w:type="dxa"/>
            <w:vAlign w:val="center"/>
          </w:tcPr>
          <w:p>
            <w:pPr>
              <w:pStyle w:val="12"/>
            </w:pPr>
            <w:r>
              <w:t>垃圾及时清运，提升城市形象，美化城市环境</w:t>
            </w:r>
          </w:p>
        </w:tc>
        <w:tc>
          <w:tcPr>
            <w:tcW w:w="1276" w:type="dxa"/>
            <w:vAlign w:val="center"/>
          </w:tcPr>
          <w:p>
            <w:pPr>
              <w:pStyle w:val="12"/>
            </w:pPr>
            <w:r>
              <w:t>考核单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7、垃圾中转站运行维护费绩效目标表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13062825P00A59310004X</w:t>
            </w:r>
          </w:p>
        </w:tc>
        <w:tc>
          <w:tcPr>
            <w:tcW w:w="2835" w:type="dxa"/>
            <w:vAlign w:val="center"/>
          </w:tcPr>
          <w:p>
            <w:pPr>
              <w:pStyle w:val="10"/>
            </w:pPr>
            <w:r>
              <w:t>项目名称</w:t>
            </w:r>
          </w:p>
        </w:tc>
        <w:tc>
          <w:tcPr>
            <w:tcW w:w="6095" w:type="dxa"/>
            <w:gridSpan w:val="3"/>
            <w:vAlign w:val="center"/>
          </w:tcPr>
          <w:p>
            <w:pPr>
              <w:pStyle w:val="12"/>
            </w:pPr>
            <w:r>
              <w:t>垃圾中转站运行维护费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用于垃圾中转站运行维护费支出。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1.实现垃圾日产日清，改善城乡环境卫生脏乱差现状。</w:t>
            </w:r>
          </w:p>
          <w:p>
            <w:pPr>
              <w:pStyle w:val="12"/>
            </w:pPr>
            <w:r>
              <w:t>2.保障垃圾中转站正常运转。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设备运转率</w:t>
            </w:r>
          </w:p>
        </w:tc>
        <w:tc>
          <w:tcPr>
            <w:tcW w:w="5386" w:type="dxa"/>
            <w:vAlign w:val="center"/>
          </w:tcPr>
          <w:p>
            <w:pPr>
              <w:pStyle w:val="12"/>
            </w:pPr>
            <w:r>
              <w:t>正常运转设备占全部设备数量的比例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维修质量合格产品与全部维修产品比例</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是否在规定时间内对资金进行支付</w:t>
            </w:r>
          </w:p>
        </w:tc>
        <w:tc>
          <w:tcPr>
            <w:tcW w:w="2268" w:type="dxa"/>
            <w:vAlign w:val="center"/>
          </w:tcPr>
          <w:p>
            <w:pPr>
              <w:pStyle w:val="12"/>
            </w:pPr>
            <w:r>
              <w:t>≥100%</w:t>
            </w:r>
          </w:p>
        </w:tc>
        <w:tc>
          <w:tcPr>
            <w:tcW w:w="1276" w:type="dxa"/>
            <w:vAlign w:val="center"/>
          </w:tcPr>
          <w:p>
            <w:pPr>
              <w:pStyle w:val="12"/>
            </w:pPr>
            <w:r>
              <w:t>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租赁单价</w:t>
            </w:r>
          </w:p>
        </w:tc>
        <w:tc>
          <w:tcPr>
            <w:tcW w:w="5386" w:type="dxa"/>
            <w:vAlign w:val="center"/>
          </w:tcPr>
          <w:p>
            <w:pPr>
              <w:pStyle w:val="12"/>
            </w:pPr>
            <w:r>
              <w:t>专用车辆租赁单价</w:t>
            </w:r>
          </w:p>
        </w:tc>
        <w:tc>
          <w:tcPr>
            <w:tcW w:w="2268" w:type="dxa"/>
            <w:vAlign w:val="center"/>
          </w:tcPr>
          <w:p>
            <w:pPr>
              <w:pStyle w:val="12"/>
            </w:pPr>
            <w:r>
              <w:t>≤1.5万元</w:t>
            </w:r>
          </w:p>
        </w:tc>
        <w:tc>
          <w:tcPr>
            <w:tcW w:w="1276" w:type="dxa"/>
            <w:vAlign w:val="center"/>
          </w:tcPr>
          <w:p>
            <w:pPr>
              <w:pStyle w:val="12"/>
            </w:pPr>
            <w:r>
              <w:t>合同及政府批示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生活垃圾及时中转，设备正常运行，改善卫生环境</w:t>
            </w:r>
          </w:p>
        </w:tc>
        <w:tc>
          <w:tcPr>
            <w:tcW w:w="5386" w:type="dxa"/>
            <w:vAlign w:val="center"/>
          </w:tcPr>
          <w:p>
            <w:pPr>
              <w:pStyle w:val="12"/>
            </w:pPr>
            <w:r>
              <w:t>反映垃圾中转站正常运转情况</w:t>
            </w:r>
          </w:p>
        </w:tc>
        <w:tc>
          <w:tcPr>
            <w:tcW w:w="2268" w:type="dxa"/>
            <w:vAlign w:val="center"/>
          </w:tcPr>
          <w:p>
            <w:pPr>
              <w:pStyle w:val="12"/>
            </w:pPr>
            <w:r>
              <w:t>生活垃圾及时中转，设备正常运行，改善卫生环境</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8、路灯维修费用绩效目标表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13062825P000600100036</w:t>
            </w:r>
          </w:p>
        </w:tc>
        <w:tc>
          <w:tcPr>
            <w:tcW w:w="2835" w:type="dxa"/>
            <w:vAlign w:val="center"/>
          </w:tcPr>
          <w:p>
            <w:pPr>
              <w:pStyle w:val="10"/>
            </w:pPr>
            <w:r>
              <w:t>项目名称</w:t>
            </w:r>
          </w:p>
        </w:tc>
        <w:tc>
          <w:tcPr>
            <w:tcW w:w="6095" w:type="dxa"/>
            <w:gridSpan w:val="3"/>
            <w:vAlign w:val="center"/>
          </w:tcPr>
          <w:p>
            <w:pPr>
              <w:pStyle w:val="12"/>
            </w:pPr>
            <w:r>
              <w:t>路灯维修费用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49.07</w:t>
            </w:r>
          </w:p>
        </w:tc>
        <w:tc>
          <w:tcPr>
            <w:tcW w:w="2835" w:type="dxa"/>
            <w:vAlign w:val="center"/>
          </w:tcPr>
          <w:p>
            <w:pPr>
              <w:pStyle w:val="10"/>
            </w:pPr>
            <w:r>
              <w:t>其中：财政    资金</w:t>
            </w:r>
          </w:p>
        </w:tc>
        <w:tc>
          <w:tcPr>
            <w:tcW w:w="2551" w:type="dxa"/>
            <w:vAlign w:val="center"/>
          </w:tcPr>
          <w:p>
            <w:pPr>
              <w:pStyle w:val="12"/>
            </w:pPr>
            <w:r>
              <w:t>49.07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用于路灯维修费用项目支出。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1.完善基础设施建设，为居民提供良好的夜间出行环境。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亮灯率</w:t>
            </w:r>
          </w:p>
        </w:tc>
        <w:tc>
          <w:tcPr>
            <w:tcW w:w="5386" w:type="dxa"/>
            <w:vAlign w:val="center"/>
          </w:tcPr>
          <w:p>
            <w:pPr>
              <w:pStyle w:val="12"/>
            </w:pPr>
            <w:r>
              <w:t>反应城区夜间路灯亮化数量占全部路灯数量的比例</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反应维修合格数量占全部维修数量的比例</w:t>
            </w:r>
          </w:p>
        </w:tc>
        <w:tc>
          <w:tcPr>
            <w:tcW w:w="2268" w:type="dxa"/>
            <w:vAlign w:val="center"/>
          </w:tcPr>
          <w:p>
            <w:pPr>
              <w:pStyle w:val="12"/>
            </w:pPr>
            <w:r>
              <w:t>100%</w:t>
            </w:r>
          </w:p>
        </w:tc>
        <w:tc>
          <w:tcPr>
            <w:tcW w:w="1276" w:type="dxa"/>
            <w:vAlign w:val="center"/>
          </w:tcPr>
          <w:p>
            <w:pPr>
              <w:pStyle w:val="12"/>
            </w:pPr>
            <w:r>
              <w:t>工程量明细表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反应在工作约定期限内完成的情况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市政设施得到有效的养护管理</w:t>
            </w:r>
          </w:p>
        </w:tc>
        <w:tc>
          <w:tcPr>
            <w:tcW w:w="5386" w:type="dxa"/>
            <w:vAlign w:val="center"/>
          </w:tcPr>
          <w:p>
            <w:pPr>
              <w:pStyle w:val="12"/>
            </w:pPr>
            <w:r>
              <w:t>保障城区道路照明，美化、亮化城市。</w:t>
            </w:r>
          </w:p>
        </w:tc>
        <w:tc>
          <w:tcPr>
            <w:tcW w:w="2268" w:type="dxa"/>
            <w:vAlign w:val="center"/>
          </w:tcPr>
          <w:p>
            <w:pPr>
              <w:pStyle w:val="12"/>
            </w:pPr>
            <w:r>
              <w:t>保障市政设施得到有效的养护管理。</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9、农村环卫作业市场化经费绩效目标表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13062825P00056910003W</w:t>
            </w:r>
          </w:p>
        </w:tc>
        <w:tc>
          <w:tcPr>
            <w:tcW w:w="2835" w:type="dxa"/>
            <w:vAlign w:val="center"/>
          </w:tcPr>
          <w:p>
            <w:pPr>
              <w:pStyle w:val="10"/>
            </w:pPr>
            <w:r>
              <w:t>项目名称</w:t>
            </w:r>
          </w:p>
        </w:tc>
        <w:tc>
          <w:tcPr>
            <w:tcW w:w="6095" w:type="dxa"/>
            <w:gridSpan w:val="3"/>
            <w:vAlign w:val="center"/>
          </w:tcPr>
          <w:p>
            <w:pPr>
              <w:pStyle w:val="12"/>
            </w:pPr>
            <w:r>
              <w:t>农村环卫作业市场化经费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1750.00</w:t>
            </w:r>
          </w:p>
        </w:tc>
        <w:tc>
          <w:tcPr>
            <w:tcW w:w="2835" w:type="dxa"/>
            <w:vAlign w:val="center"/>
          </w:tcPr>
          <w:p>
            <w:pPr>
              <w:pStyle w:val="10"/>
            </w:pPr>
            <w:r>
              <w:t>其中：财政    资金</w:t>
            </w:r>
          </w:p>
        </w:tc>
        <w:tc>
          <w:tcPr>
            <w:tcW w:w="2551" w:type="dxa"/>
            <w:vAlign w:val="center"/>
          </w:tcPr>
          <w:p>
            <w:pPr>
              <w:pStyle w:val="12"/>
            </w:pPr>
            <w:r>
              <w:t>1750.00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用于农村环卫作业市场化经费支出。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1.改善农村街道脏乱差面貌，创建干净整洁的农村新形象。</w:t>
            </w:r>
          </w:p>
          <w:p>
            <w:pPr>
              <w:pStyle w:val="12"/>
            </w:pPr>
            <w:r>
              <w:t>2.保障全县123个村庄清扫保洁和垃圾清运。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服务村庄数量</w:t>
            </w:r>
          </w:p>
        </w:tc>
        <w:tc>
          <w:tcPr>
            <w:tcW w:w="5386" w:type="dxa"/>
            <w:vAlign w:val="center"/>
          </w:tcPr>
          <w:p>
            <w:pPr>
              <w:pStyle w:val="12"/>
            </w:pPr>
            <w:r>
              <w:t>辖区范围内服务村庄覆盖数量</w:t>
            </w:r>
          </w:p>
        </w:tc>
        <w:tc>
          <w:tcPr>
            <w:tcW w:w="2268" w:type="dxa"/>
            <w:vAlign w:val="center"/>
          </w:tcPr>
          <w:p>
            <w:pPr>
              <w:pStyle w:val="12"/>
            </w:pPr>
            <w:r>
              <w:t>123个</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清扫区域合格率</w:t>
            </w:r>
          </w:p>
        </w:tc>
        <w:tc>
          <w:tcPr>
            <w:tcW w:w="5386" w:type="dxa"/>
            <w:vAlign w:val="center"/>
          </w:tcPr>
          <w:p>
            <w:pPr>
              <w:pStyle w:val="12"/>
            </w:pPr>
            <w:r>
              <w:t>反映项目是否按照要求清扫</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反映清扫任务完成情况</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保障农村垃圾及时清运，改善居民生活环境</w:t>
            </w:r>
          </w:p>
        </w:tc>
        <w:tc>
          <w:tcPr>
            <w:tcW w:w="5386" w:type="dxa"/>
            <w:vAlign w:val="center"/>
          </w:tcPr>
          <w:p>
            <w:pPr>
              <w:pStyle w:val="12"/>
            </w:pPr>
            <w:r>
              <w:t>提升城市形象，美化城市环境，改善农村生活环境</w:t>
            </w:r>
          </w:p>
        </w:tc>
        <w:tc>
          <w:tcPr>
            <w:tcW w:w="2268" w:type="dxa"/>
            <w:vAlign w:val="center"/>
          </w:tcPr>
          <w:p>
            <w:pPr>
              <w:pStyle w:val="12"/>
            </w:pPr>
            <w:r>
              <w:t>提升城市形象，美化城市环境，改善农村生活环境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受访群众达到基本满意以上人数与全体受访人数的比值</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10、园林绿化市政用水水费绩效目标表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13062825P00060010004R</w:t>
            </w:r>
          </w:p>
        </w:tc>
        <w:tc>
          <w:tcPr>
            <w:tcW w:w="2835" w:type="dxa"/>
            <w:vAlign w:val="center"/>
          </w:tcPr>
          <w:p>
            <w:pPr>
              <w:pStyle w:val="10"/>
            </w:pPr>
            <w:r>
              <w:t>项目名称</w:t>
            </w:r>
          </w:p>
        </w:tc>
        <w:tc>
          <w:tcPr>
            <w:tcW w:w="6095" w:type="dxa"/>
            <w:gridSpan w:val="3"/>
            <w:vAlign w:val="center"/>
          </w:tcPr>
          <w:p>
            <w:pPr>
              <w:pStyle w:val="12"/>
            </w:pPr>
            <w:r>
              <w:t>园林绿化市政用水水费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647.30</w:t>
            </w:r>
          </w:p>
        </w:tc>
        <w:tc>
          <w:tcPr>
            <w:tcW w:w="2835" w:type="dxa"/>
            <w:vAlign w:val="center"/>
          </w:tcPr>
          <w:p>
            <w:pPr>
              <w:pStyle w:val="10"/>
            </w:pPr>
            <w:r>
              <w:t>其中：财政    资金</w:t>
            </w:r>
          </w:p>
        </w:tc>
        <w:tc>
          <w:tcPr>
            <w:tcW w:w="2551" w:type="dxa"/>
            <w:vAlign w:val="center"/>
          </w:tcPr>
          <w:p>
            <w:pPr>
              <w:pStyle w:val="12"/>
            </w:pPr>
            <w:r>
              <w:t>647.30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用于园林绿化市政用水水费支出。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1.保障园林绿化市政用水。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水表数量</w:t>
            </w:r>
          </w:p>
        </w:tc>
        <w:tc>
          <w:tcPr>
            <w:tcW w:w="5386" w:type="dxa"/>
            <w:vAlign w:val="center"/>
          </w:tcPr>
          <w:p>
            <w:pPr>
              <w:pStyle w:val="12"/>
            </w:pPr>
            <w:r>
              <w:t>涉及到水费缴纳的水表数量</w:t>
            </w:r>
          </w:p>
        </w:tc>
        <w:tc>
          <w:tcPr>
            <w:tcW w:w="2268" w:type="dxa"/>
            <w:vAlign w:val="center"/>
          </w:tcPr>
          <w:p>
            <w:pPr>
              <w:pStyle w:val="12"/>
            </w:pPr>
            <w:r>
              <w:t>33块</w:t>
            </w:r>
          </w:p>
        </w:tc>
        <w:tc>
          <w:tcPr>
            <w:tcW w:w="1276" w:type="dxa"/>
            <w:vAlign w:val="center"/>
          </w:tcPr>
          <w:p>
            <w:pPr>
              <w:pStyle w:val="12"/>
            </w:pPr>
            <w:r>
              <w:t>水费通知单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保证率</w:t>
            </w:r>
          </w:p>
        </w:tc>
        <w:tc>
          <w:tcPr>
            <w:tcW w:w="5386" w:type="dxa"/>
            <w:vAlign w:val="center"/>
          </w:tcPr>
          <w:p>
            <w:pPr>
              <w:pStyle w:val="12"/>
            </w:pPr>
            <w:r>
              <w:t>反映实际用水保障情况</w:t>
            </w:r>
          </w:p>
        </w:tc>
        <w:tc>
          <w:tcPr>
            <w:tcW w:w="2268" w:type="dxa"/>
            <w:vAlign w:val="center"/>
          </w:tcPr>
          <w:p>
            <w:pPr>
              <w:pStyle w:val="12"/>
            </w:pPr>
            <w:r>
              <w:t>100%</w:t>
            </w:r>
          </w:p>
        </w:tc>
        <w:tc>
          <w:tcPr>
            <w:tcW w:w="1276" w:type="dxa"/>
            <w:vAlign w:val="center"/>
          </w:tcPr>
          <w:p>
            <w:pPr>
              <w:pStyle w:val="12"/>
            </w:pPr>
            <w:r>
              <w:t>水费通知单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水费缴费完成时间</w:t>
            </w:r>
          </w:p>
        </w:tc>
        <w:tc>
          <w:tcPr>
            <w:tcW w:w="5386" w:type="dxa"/>
            <w:vAlign w:val="center"/>
          </w:tcPr>
          <w:p>
            <w:pPr>
              <w:pStyle w:val="12"/>
            </w:pPr>
            <w:r>
              <w:t>水费缴纳最晚完成时间</w:t>
            </w:r>
          </w:p>
        </w:tc>
        <w:tc>
          <w:tcPr>
            <w:tcW w:w="2268" w:type="dxa"/>
            <w:vAlign w:val="center"/>
          </w:tcPr>
          <w:p>
            <w:pPr>
              <w:pStyle w:val="12"/>
            </w:pPr>
            <w:r>
              <w:t>2025年度</w:t>
            </w:r>
          </w:p>
        </w:tc>
        <w:tc>
          <w:tcPr>
            <w:tcW w:w="1276" w:type="dxa"/>
            <w:vAlign w:val="center"/>
          </w:tcPr>
          <w:p>
            <w:pPr>
              <w:pStyle w:val="12"/>
            </w:pPr>
            <w:r>
              <w:t>请示建议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≤647.3万元</w:t>
            </w:r>
          </w:p>
        </w:tc>
        <w:tc>
          <w:tcPr>
            <w:tcW w:w="1276" w:type="dxa"/>
            <w:vAlign w:val="center"/>
          </w:tcPr>
          <w:p>
            <w:pPr>
              <w:pStyle w:val="12"/>
            </w:pPr>
            <w:r>
              <w:t>请示建议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保障园林绿化市政用水</w:t>
            </w:r>
          </w:p>
        </w:tc>
        <w:tc>
          <w:tcPr>
            <w:tcW w:w="5386" w:type="dxa"/>
            <w:vAlign w:val="center"/>
          </w:tcPr>
          <w:p>
            <w:pPr>
              <w:pStyle w:val="12"/>
            </w:pPr>
            <w:r>
              <w:t>保障园林绿化市政用水</w:t>
            </w:r>
          </w:p>
        </w:tc>
        <w:tc>
          <w:tcPr>
            <w:tcW w:w="2268" w:type="dxa"/>
            <w:vAlign w:val="center"/>
          </w:tcPr>
          <w:p>
            <w:pPr>
              <w:pStyle w:val="12"/>
            </w:pPr>
            <w:r>
              <w:t>保障园林绿化市政用水</w:t>
            </w:r>
          </w:p>
        </w:tc>
        <w:tc>
          <w:tcPr>
            <w:tcW w:w="1276" w:type="dxa"/>
            <w:vAlign w:val="center"/>
          </w:tcPr>
          <w:p>
            <w:pPr>
              <w:pStyle w:val="12"/>
            </w:pPr>
            <w:r>
              <w:t>缴费凭证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11、执法专项经费绩效目标表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13062825P00028410013K</w:t>
            </w:r>
          </w:p>
        </w:tc>
        <w:tc>
          <w:tcPr>
            <w:tcW w:w="2835" w:type="dxa"/>
            <w:vAlign w:val="center"/>
          </w:tcPr>
          <w:p>
            <w:pPr>
              <w:pStyle w:val="10"/>
            </w:pPr>
            <w:r>
              <w:t>项目名称</w:t>
            </w:r>
          </w:p>
        </w:tc>
        <w:tc>
          <w:tcPr>
            <w:tcW w:w="6095" w:type="dxa"/>
            <w:gridSpan w:val="3"/>
            <w:vAlign w:val="center"/>
          </w:tcPr>
          <w:p>
            <w:pPr>
              <w:pStyle w:val="12"/>
            </w:pPr>
            <w:r>
              <w:t>执法专项经费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用于执法专项经费支出。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1.保障执法车辆正常运行，城市管理执法工作正常开展。</w:t>
            </w:r>
          </w:p>
          <w:p>
            <w:pPr>
              <w:pStyle w:val="12"/>
            </w:pPr>
            <w:r>
              <w:t>2.提高城市市容市貌管理和执法、提升城市形象。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执法车辆正常运行数量</w:t>
            </w:r>
          </w:p>
        </w:tc>
        <w:tc>
          <w:tcPr>
            <w:tcW w:w="5386" w:type="dxa"/>
            <w:vAlign w:val="center"/>
          </w:tcPr>
          <w:p>
            <w:pPr>
              <w:pStyle w:val="12"/>
            </w:pPr>
            <w:r>
              <w:t>执法车辆正常运行数量</w:t>
            </w:r>
          </w:p>
        </w:tc>
        <w:tc>
          <w:tcPr>
            <w:tcW w:w="2268" w:type="dxa"/>
            <w:vAlign w:val="center"/>
          </w:tcPr>
          <w:p>
            <w:pPr>
              <w:pStyle w:val="12"/>
            </w:pPr>
            <w:r>
              <w:t>≥7辆</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质量合格车辆数量与总数量的比值</w:t>
            </w:r>
          </w:p>
        </w:tc>
        <w:tc>
          <w:tcPr>
            <w:tcW w:w="2268" w:type="dxa"/>
            <w:vAlign w:val="center"/>
          </w:tcPr>
          <w:p>
            <w:pPr>
              <w:pStyle w:val="12"/>
            </w:pPr>
            <w:r>
              <w:t>100%</w:t>
            </w:r>
          </w:p>
        </w:tc>
        <w:tc>
          <w:tcPr>
            <w:tcW w:w="1276" w:type="dxa"/>
            <w:vAlign w:val="center"/>
          </w:tcPr>
          <w:p>
            <w:pPr>
              <w:pStyle w:val="12"/>
            </w:pPr>
            <w:r>
              <w:t>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反映资金支付的及时性情况</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实际支出金额占预算金额的百分比</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违规建设与经营问题解决率</w:t>
            </w:r>
          </w:p>
        </w:tc>
        <w:tc>
          <w:tcPr>
            <w:tcW w:w="5386" w:type="dxa"/>
            <w:vAlign w:val="center"/>
          </w:tcPr>
          <w:p>
            <w:pPr>
              <w:pStyle w:val="12"/>
            </w:pPr>
            <w:r>
              <w:t>反映在发现的违建、店外经营等问题的整改情况</w:t>
            </w:r>
          </w:p>
        </w:tc>
        <w:tc>
          <w:tcPr>
            <w:tcW w:w="2268" w:type="dxa"/>
            <w:vAlign w:val="center"/>
          </w:tcPr>
          <w:p>
            <w:pPr>
              <w:pStyle w:val="12"/>
            </w:pPr>
            <w:r>
              <w:t>≥90%</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12、中央重点生态保护修复治理资金（山水项目）-冀财资环【2023】57号绩效目标表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13062825P00059910001B</w:t>
            </w:r>
          </w:p>
        </w:tc>
        <w:tc>
          <w:tcPr>
            <w:tcW w:w="2835" w:type="dxa"/>
            <w:vAlign w:val="center"/>
          </w:tcPr>
          <w:p>
            <w:pPr>
              <w:pStyle w:val="10"/>
            </w:pPr>
            <w:r>
              <w:t>项目名称</w:t>
            </w:r>
          </w:p>
        </w:tc>
        <w:tc>
          <w:tcPr>
            <w:tcW w:w="6095" w:type="dxa"/>
            <w:gridSpan w:val="3"/>
            <w:vAlign w:val="center"/>
          </w:tcPr>
          <w:p>
            <w:pPr>
              <w:pStyle w:val="12"/>
            </w:pPr>
            <w:r>
              <w:t>中央重点生态保护修复治理资金（山水项目）-冀财资环【2023】57号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1346.83</w:t>
            </w:r>
          </w:p>
        </w:tc>
        <w:tc>
          <w:tcPr>
            <w:tcW w:w="2835" w:type="dxa"/>
            <w:vAlign w:val="center"/>
          </w:tcPr>
          <w:p>
            <w:pPr>
              <w:pStyle w:val="10"/>
            </w:pPr>
            <w:r>
              <w:t>其中：财政    资金</w:t>
            </w:r>
          </w:p>
        </w:tc>
        <w:tc>
          <w:tcPr>
            <w:tcW w:w="2551" w:type="dxa"/>
            <w:vAlign w:val="center"/>
          </w:tcPr>
          <w:p>
            <w:pPr>
              <w:pStyle w:val="12"/>
            </w:pPr>
            <w:r>
              <w:t>1346.83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用于中央重点生态保护修复治理资金（山水项目）-冀财资环【2023】57号项目支出。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1.修复生态系统工程，使区域生态系统结构进一步优化，加强生态系统稳定性，提升生态质量，增强生物多样性保护。</w:t>
            </w:r>
          </w:p>
          <w:p>
            <w:pPr>
              <w:pStyle w:val="12"/>
            </w:pPr>
            <w:r>
              <w:t>2.项目实施后，解决实施区域内存在的生态斑块破碎化及生物多样性少、滨水缓冲带内植被结构单一且不成体系、水质不稳定且水资源未得到充分利用等生态问题。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生态修复总面积</w:t>
            </w:r>
          </w:p>
        </w:tc>
        <w:tc>
          <w:tcPr>
            <w:tcW w:w="5386" w:type="dxa"/>
            <w:vAlign w:val="center"/>
          </w:tcPr>
          <w:p>
            <w:pPr>
              <w:pStyle w:val="12"/>
            </w:pPr>
            <w:r>
              <w:t>反应生态修复总面积</w:t>
            </w:r>
          </w:p>
        </w:tc>
        <w:tc>
          <w:tcPr>
            <w:tcW w:w="2268" w:type="dxa"/>
            <w:vAlign w:val="center"/>
          </w:tcPr>
          <w:p>
            <w:pPr>
              <w:pStyle w:val="12"/>
            </w:pPr>
            <w:r>
              <w:t>≥75.62ha</w:t>
            </w:r>
          </w:p>
        </w:tc>
        <w:tc>
          <w:tcPr>
            <w:tcW w:w="1276" w:type="dxa"/>
            <w:vAlign w:val="center"/>
          </w:tcPr>
          <w:p>
            <w:pPr>
              <w:pStyle w:val="12"/>
            </w:pPr>
            <w:r>
              <w:t>图纸、工程量测算表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湿地修复面积</w:t>
            </w:r>
          </w:p>
        </w:tc>
        <w:tc>
          <w:tcPr>
            <w:tcW w:w="5386" w:type="dxa"/>
            <w:vAlign w:val="center"/>
          </w:tcPr>
          <w:p>
            <w:pPr>
              <w:pStyle w:val="12"/>
            </w:pPr>
            <w:r>
              <w:t>反应湿地修复面积</w:t>
            </w:r>
          </w:p>
        </w:tc>
        <w:tc>
          <w:tcPr>
            <w:tcW w:w="2268" w:type="dxa"/>
            <w:vAlign w:val="center"/>
          </w:tcPr>
          <w:p>
            <w:pPr>
              <w:pStyle w:val="12"/>
            </w:pPr>
            <w:r>
              <w:t>≥10.4ha</w:t>
            </w:r>
          </w:p>
        </w:tc>
        <w:tc>
          <w:tcPr>
            <w:tcW w:w="1276" w:type="dxa"/>
            <w:vAlign w:val="center"/>
          </w:tcPr>
          <w:p>
            <w:pPr>
              <w:pStyle w:val="12"/>
            </w:pPr>
            <w:r>
              <w:t>图纸、工程量测算表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水环境治理面积</w:t>
            </w:r>
          </w:p>
        </w:tc>
        <w:tc>
          <w:tcPr>
            <w:tcW w:w="5386" w:type="dxa"/>
            <w:vAlign w:val="center"/>
          </w:tcPr>
          <w:p>
            <w:pPr>
              <w:pStyle w:val="12"/>
            </w:pPr>
            <w:r>
              <w:t>反应水环境治理面积</w:t>
            </w:r>
          </w:p>
        </w:tc>
        <w:tc>
          <w:tcPr>
            <w:tcW w:w="2268" w:type="dxa"/>
            <w:vAlign w:val="center"/>
          </w:tcPr>
          <w:p>
            <w:pPr>
              <w:pStyle w:val="12"/>
            </w:pPr>
            <w:r>
              <w:t>≥24.36ha</w:t>
            </w:r>
          </w:p>
        </w:tc>
        <w:tc>
          <w:tcPr>
            <w:tcW w:w="1276" w:type="dxa"/>
            <w:vAlign w:val="center"/>
          </w:tcPr>
          <w:p>
            <w:pPr>
              <w:pStyle w:val="12"/>
            </w:pPr>
            <w:r>
              <w:t>图纸、工程量测算表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反应工程的完成质量情况</w:t>
            </w:r>
          </w:p>
        </w:tc>
        <w:tc>
          <w:tcPr>
            <w:tcW w:w="2268" w:type="dxa"/>
            <w:vAlign w:val="center"/>
          </w:tcPr>
          <w:p>
            <w:pPr>
              <w:pStyle w:val="12"/>
            </w:pPr>
            <w:r>
              <w:t>≥95%</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反应项目按时完成率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w:t>
            </w:r>
          </w:p>
        </w:tc>
        <w:tc>
          <w:tcPr>
            <w:tcW w:w="5386" w:type="dxa"/>
            <w:vAlign w:val="center"/>
          </w:tcPr>
          <w:p>
            <w:pPr>
              <w:pStyle w:val="12"/>
            </w:pPr>
            <w:r>
              <w:t>反应项目资金成本控制数</w:t>
            </w:r>
          </w:p>
        </w:tc>
        <w:tc>
          <w:tcPr>
            <w:tcW w:w="2268" w:type="dxa"/>
            <w:vAlign w:val="center"/>
          </w:tcPr>
          <w:p>
            <w:pPr>
              <w:pStyle w:val="12"/>
            </w:pPr>
            <w:r>
              <w:t>≤2837万元</w:t>
            </w:r>
          </w:p>
        </w:tc>
        <w:tc>
          <w:tcPr>
            <w:tcW w:w="1276" w:type="dxa"/>
            <w:vAlign w:val="center"/>
          </w:tcPr>
          <w:p>
            <w:pPr>
              <w:pStyle w:val="12"/>
            </w:pPr>
            <w:r>
              <w:t>冀财资环[2023]57号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水质改善情况</w:t>
            </w:r>
          </w:p>
        </w:tc>
        <w:tc>
          <w:tcPr>
            <w:tcW w:w="5386" w:type="dxa"/>
            <w:vAlign w:val="center"/>
          </w:tcPr>
          <w:p>
            <w:pPr>
              <w:pStyle w:val="12"/>
            </w:pPr>
            <w:r>
              <w:t>反应水质改善情况（x类→X类）</w:t>
            </w:r>
          </w:p>
        </w:tc>
        <w:tc>
          <w:tcPr>
            <w:tcW w:w="2268" w:type="dxa"/>
            <w:vAlign w:val="center"/>
          </w:tcPr>
          <w:p>
            <w:pPr>
              <w:pStyle w:val="12"/>
            </w:pPr>
            <w:r>
              <w:t>Ⅳ类→Ⅲ类</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对当地人民生活的影响</w:t>
            </w:r>
          </w:p>
        </w:tc>
        <w:tc>
          <w:tcPr>
            <w:tcW w:w="5386" w:type="dxa"/>
            <w:vAlign w:val="center"/>
          </w:tcPr>
          <w:p>
            <w:pPr>
              <w:pStyle w:val="12"/>
            </w:pPr>
            <w:r>
              <w:t>反应人居环境改善影响覆盖面</w:t>
            </w:r>
          </w:p>
        </w:tc>
        <w:tc>
          <w:tcPr>
            <w:tcW w:w="2268" w:type="dxa"/>
            <w:vAlign w:val="center"/>
          </w:tcPr>
          <w:p>
            <w:pPr>
              <w:pStyle w:val="12"/>
            </w:pPr>
            <w:r>
              <w:t>≥32万人</w:t>
            </w:r>
          </w:p>
        </w:tc>
        <w:tc>
          <w:tcPr>
            <w:tcW w:w="1276" w:type="dxa"/>
            <w:vAlign w:val="center"/>
          </w:tcPr>
          <w:p>
            <w:pPr>
              <w:pStyle w:val="12"/>
            </w:pPr>
            <w:r>
              <w:t>实际人口</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1588.33</w:t>
            </w:r>
          </w:p>
        </w:tc>
        <w:tc>
          <w:tcPr>
            <w:tcW w:w="964" w:type="dxa"/>
            <w:vAlign w:val="center"/>
          </w:tcPr>
          <w:p>
            <w:pPr>
              <w:pStyle w:val="15"/>
            </w:pPr>
            <w:r>
              <w:t>1588.33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1588.33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高阳县城市管理综合行政执法局小计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1588.33</w:t>
            </w:r>
          </w:p>
        </w:tc>
        <w:tc>
          <w:tcPr>
            <w:tcW w:w="964" w:type="dxa"/>
            <w:vAlign w:val="center"/>
          </w:tcPr>
          <w:p>
            <w:pPr>
              <w:pStyle w:val="15"/>
            </w:pPr>
            <w:r>
              <w:t>1588.33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1588.33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城区绿地和公园绿地社会化养护</w:t>
            </w:r>
          </w:p>
        </w:tc>
        <w:tc>
          <w:tcPr>
            <w:tcW w:w="964" w:type="dxa"/>
            <w:vAlign w:val="center"/>
          </w:tcPr>
          <w:p>
            <w:pPr>
              <w:pStyle w:val="11"/>
            </w:pPr>
            <w:r>
              <w:t>1600.00</w:t>
            </w:r>
          </w:p>
        </w:tc>
        <w:tc>
          <w:tcPr>
            <w:tcW w:w="1134" w:type="dxa"/>
            <w:vAlign w:val="center"/>
          </w:tcPr>
          <w:p>
            <w:pPr>
              <w:pStyle w:val="12"/>
            </w:pPr>
            <w:r>
              <w:t>园林绿化管理服务</w:t>
            </w:r>
          </w:p>
        </w:tc>
        <w:tc>
          <w:tcPr>
            <w:tcW w:w="1134" w:type="dxa"/>
            <w:vAlign w:val="center"/>
          </w:tcPr>
          <w:p>
            <w:pPr>
              <w:pStyle w:val="12"/>
            </w:pPr>
            <w:r>
              <w:t>C13030000</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1528.33</w:t>
            </w:r>
          </w:p>
        </w:tc>
        <w:tc>
          <w:tcPr>
            <w:tcW w:w="964" w:type="dxa"/>
            <w:vAlign w:val="center"/>
          </w:tcPr>
          <w:p>
            <w:pPr>
              <w:pStyle w:val="11"/>
            </w:pPr>
            <w:r>
              <w:t>1528.33</w:t>
            </w:r>
          </w:p>
        </w:tc>
        <w:tc>
          <w:tcPr>
            <w:tcW w:w="964" w:type="dxa"/>
            <w:vAlign w:val="center"/>
          </w:tcPr>
          <w:p>
            <w:pPr>
              <w:pStyle w:val="11"/>
            </w:pPr>
            <w:r>
              <w:t>1528.33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1528.33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高阳县市政交通护栏清洗维护项目</w:t>
            </w:r>
          </w:p>
        </w:tc>
        <w:tc>
          <w:tcPr>
            <w:tcW w:w="964" w:type="dxa"/>
            <w:vAlign w:val="center"/>
          </w:tcPr>
          <w:p>
            <w:pPr>
              <w:pStyle w:val="11"/>
            </w:pPr>
            <w:r>
              <w:t>60.00</w:t>
            </w:r>
          </w:p>
        </w:tc>
        <w:tc>
          <w:tcPr>
            <w:tcW w:w="1134" w:type="dxa"/>
            <w:vAlign w:val="center"/>
          </w:tcPr>
          <w:p>
            <w:pPr>
              <w:pStyle w:val="12"/>
            </w:pPr>
            <w:r>
              <w:t>市政公用设施管理服务</w:t>
            </w:r>
          </w:p>
        </w:tc>
        <w:tc>
          <w:tcPr>
            <w:tcW w:w="1134" w:type="dxa"/>
            <w:vAlign w:val="center"/>
          </w:tcPr>
          <w:p>
            <w:pPr>
              <w:pStyle w:val="12"/>
            </w:pPr>
            <w:r>
              <w:t>C13020000</w:t>
            </w:r>
          </w:p>
        </w:tc>
        <w:tc>
          <w:tcPr>
            <w:tcW w:w="709" w:type="dxa"/>
            <w:vAlign w:val="center"/>
          </w:tcPr>
          <w:p>
            <w:pPr>
              <w:pStyle w:val="13"/>
            </w:pPr>
            <w:r>
              <w:t>万元/年</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高阳县城市管理综合行政执法局上年末固定资产金额为746.01万元（详见下表）。本年度拟购置固定资产总额为14.60万元，</w:t>
      </w:r>
      <w:r>
        <w:rPr>
          <w:rFonts w:hint="eastAsia" w:eastAsia="方正仿宋_GBK" w:cs="Times New Roman"/>
          <w:b w:val="0"/>
          <w:color w:val="000000"/>
          <w:sz w:val="28"/>
          <w:lang w:eastAsia="zh-CN"/>
        </w:rPr>
        <w:t>购置项目未达到政府采购标准，不在政府采购预算体现</w:t>
      </w:r>
      <w:bookmarkStart w:id="1" w:name="_GoBack"/>
      <w:bookmarkEnd w:id="1"/>
      <w:r>
        <w:rPr>
          <w:rFonts w:ascii="Times New Roman" w:hAnsi="Times New Roman" w:eastAsia="方正仿宋_GBK" w:cs="Times New Roman"/>
          <w:b w:val="0"/>
          <w:color w:val="000000"/>
          <w:sz w:val="28"/>
        </w:rPr>
        <w:t>。</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746.01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15</w:t>
            </w:r>
          </w:p>
        </w:tc>
        <w:tc>
          <w:tcPr>
            <w:tcW w:w="2835" w:type="dxa"/>
            <w:vAlign w:val="center"/>
          </w:tcPr>
          <w:p>
            <w:pPr>
              <w:pStyle w:val="11"/>
            </w:pPr>
            <w:r>
              <w:t>431.19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972</w:t>
            </w:r>
          </w:p>
        </w:tc>
        <w:tc>
          <w:tcPr>
            <w:tcW w:w="2835" w:type="dxa"/>
            <w:vAlign w:val="center"/>
          </w:tcPr>
          <w:p>
            <w:pPr>
              <w:pStyle w:val="11"/>
            </w:pPr>
            <w:r>
              <w:t>314.82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3597C"/>
    <w:rsid w:val="144A38EC"/>
    <w:rsid w:val="16BA28E4"/>
    <w:rsid w:val="17E85AC5"/>
    <w:rsid w:val="1D144112"/>
    <w:rsid w:val="218474E7"/>
    <w:rsid w:val="29E43669"/>
    <w:rsid w:val="30D85BCB"/>
    <w:rsid w:val="32207F1E"/>
    <w:rsid w:val="33CE7FA6"/>
    <w:rsid w:val="35AE3AB8"/>
    <w:rsid w:val="36E61A23"/>
    <w:rsid w:val="396430B4"/>
    <w:rsid w:val="3B3D1A41"/>
    <w:rsid w:val="4C061708"/>
    <w:rsid w:val="4C550B9B"/>
    <w:rsid w:val="500F3630"/>
    <w:rsid w:val="55F247B4"/>
    <w:rsid w:val="5D9E05A7"/>
    <w:rsid w:val="5E996CDE"/>
    <w:rsid w:val="5FB76A2D"/>
    <w:rsid w:val="6BD03218"/>
    <w:rsid w:val="6F422098"/>
    <w:rsid w:val="6FF72E40"/>
    <w:rsid w:val="72DD468F"/>
    <w:rsid w:val="757764A6"/>
    <w:rsid w:val="7DF36EE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11204</Words>
  <Characters>14284</Characters>
  <TotalTime>5</TotalTime>
  <ScaleCrop>false</ScaleCrop>
  <LinksUpToDate>false</LinksUpToDate>
  <CharactersWithSpaces>14495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2025-02-06T10:48:00Z</dcterms:created>
  <dc:creator>Administrator</dc:creator>
  <cp:lastModifiedBy>Administrator</cp:lastModifiedBy>
  <dcterms:modified xsi:type="dcterms:W3CDTF">2025-02-10T02:53:46Z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9B038F36F53D469EA3E8BFD7E4B4168E</vt:lpwstr>
  </property>
</Properties>
</file>