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一、高阳县市场建设服务中心收支预算</w:t>
      </w:r>
      <w:r>
        <w:tab/>
      </w:r>
      <w:r>
        <w:rPr>
          <w:rFonts w:hint="eastAsia"/>
          <w:lang w:val="en-US" w:eastAsia="zh-CN"/>
        </w:rPr>
        <w:t>1</w:t>
      </w:r>
      <w:r>
        <w:fldChar w:fldCharType="end"/>
      </w:r>
    </w:p>
    <w:p>
      <w:r>
        <w:fldChar w:fldCharType="end"/>
      </w:r>
      <w:bookmarkStart w:id="0" w:name="_Toc_4_4_0000000001"/>
    </w:p>
    <w:p/>
    <w:p/>
    <w:p/>
    <w:p/>
    <w:p/>
    <w:p/>
    <w:p/>
    <w:p/>
    <w:p/>
    <w:p/>
    <w:p/>
    <w:p/>
    <w:p/>
    <w:p/>
    <w:p/>
    <w:p/>
    <w:p/>
    <w:p/>
    <w:p/>
    <w:p/>
    <w:p/>
    <w:p/>
    <w:p/>
    <w:p/>
    <w:p/>
    <w:p/>
    <w:p>
      <w:pPr>
        <w:jc w:val="center"/>
      </w:pPr>
      <w:r>
        <w:rPr>
          <w:rFonts w:ascii="方正小标宋_GBK" w:hAnsi="方正小标宋_GBK" w:eastAsia="方正小标宋_GBK" w:cs="方正小标宋_GBK"/>
          <w:b w:val="0"/>
          <w:color w:val="000000"/>
          <w:sz w:val="44"/>
        </w:rPr>
        <w:t>一、高阳县市场建设服务中心收支预算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414003高阳县市场建设服务中心</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405.11</w:t>
            </w:r>
          </w:p>
        </w:tc>
        <w:tc>
          <w:tcPr>
            <w:tcW w:w="4535" w:type="dxa"/>
            <w:vAlign w:val="center"/>
          </w:tcPr>
          <w:p>
            <w:pPr>
              <w:pStyle w:val="13"/>
            </w:pPr>
            <w:r>
              <w:t>一、一般公共服务支出</w:t>
            </w:r>
          </w:p>
        </w:tc>
        <w:tc>
          <w:tcPr>
            <w:tcW w:w="2126" w:type="dxa"/>
            <w:vAlign w:val="center"/>
          </w:tcPr>
          <w:p>
            <w:pPr>
              <w:pStyle w:val="12"/>
            </w:pPr>
            <w:r>
              <w:t>405.11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405.11</w:t>
            </w:r>
          </w:p>
        </w:tc>
        <w:tc>
          <w:tcPr>
            <w:tcW w:w="4535" w:type="dxa"/>
            <w:vAlign w:val="center"/>
          </w:tcPr>
          <w:p>
            <w:pPr>
              <w:pStyle w:val="15"/>
            </w:pPr>
            <w:r>
              <w:t>本年支出合计</w:t>
            </w:r>
          </w:p>
        </w:tc>
        <w:tc>
          <w:tcPr>
            <w:tcW w:w="2126" w:type="dxa"/>
            <w:vAlign w:val="center"/>
          </w:tcPr>
          <w:p>
            <w:pPr>
              <w:pStyle w:val="16"/>
            </w:pPr>
            <w:r>
              <w:t>405.11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405.11</w:t>
            </w:r>
          </w:p>
        </w:tc>
        <w:tc>
          <w:tcPr>
            <w:tcW w:w="4535" w:type="dxa"/>
            <w:vAlign w:val="center"/>
          </w:tcPr>
          <w:p>
            <w:pPr>
              <w:pStyle w:val="15"/>
            </w:pPr>
            <w:r>
              <w:t>支出总计</w:t>
            </w:r>
          </w:p>
        </w:tc>
        <w:tc>
          <w:tcPr>
            <w:tcW w:w="2126" w:type="dxa"/>
            <w:vAlign w:val="center"/>
          </w:tcPr>
          <w:p>
            <w:pPr>
              <w:pStyle w:val="16"/>
            </w:pPr>
            <w:r>
              <w:t>405.11</w:t>
            </w:r>
          </w:p>
        </w:tc>
      </w:tr>
    </w:tbl>
    <w:p>
      <w:pPr>
        <w:sectPr>
          <w:footerReference r:id="rId3" w:type="default"/>
          <w:footerReference r:id="rId4" w:type="even"/>
          <w:pgSz w:w="16840" w:h="11900" w:orient="landscape"/>
          <w:pgMar w:top="1361" w:right="1020" w:bottom="1134" w:left="1020" w:header="720" w:footer="720" w:gutter="0"/>
          <w:pgNumType w:start="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414003高阳县市场建设服务中心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405.11</w:t>
            </w:r>
          </w:p>
        </w:tc>
        <w:tc>
          <w:tcPr>
            <w:tcW w:w="1134" w:type="dxa"/>
            <w:vAlign w:val="center"/>
          </w:tcPr>
          <w:p>
            <w:pPr>
              <w:pStyle w:val="16"/>
            </w:pPr>
            <w:r>
              <w:t>405.11</w:t>
            </w:r>
          </w:p>
        </w:tc>
        <w:tc>
          <w:tcPr>
            <w:tcW w:w="1134" w:type="dxa"/>
            <w:vAlign w:val="center"/>
          </w:tcPr>
          <w:p>
            <w:pPr>
              <w:pStyle w:val="16"/>
            </w:pPr>
            <w:r>
              <w:t>405.11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405.11</w:t>
            </w:r>
          </w:p>
        </w:tc>
        <w:tc>
          <w:tcPr>
            <w:tcW w:w="1134" w:type="dxa"/>
            <w:vAlign w:val="center"/>
          </w:tcPr>
          <w:p>
            <w:pPr>
              <w:pStyle w:val="12"/>
            </w:pPr>
            <w:r>
              <w:t>405.11</w:t>
            </w:r>
          </w:p>
        </w:tc>
        <w:tc>
          <w:tcPr>
            <w:tcW w:w="1134" w:type="dxa"/>
            <w:vAlign w:val="center"/>
          </w:tcPr>
          <w:p>
            <w:pPr>
              <w:pStyle w:val="12"/>
            </w:pPr>
            <w:r>
              <w:t>405.11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20113</w:t>
            </w:r>
          </w:p>
        </w:tc>
        <w:tc>
          <w:tcPr>
            <w:tcW w:w="1559" w:type="dxa"/>
            <w:vAlign w:val="center"/>
          </w:tcPr>
          <w:p>
            <w:pPr>
              <w:pStyle w:val="13"/>
            </w:pPr>
            <w:r>
              <w:t>商贸事务</w:t>
            </w:r>
          </w:p>
        </w:tc>
        <w:tc>
          <w:tcPr>
            <w:tcW w:w="1134" w:type="dxa"/>
            <w:vAlign w:val="center"/>
          </w:tcPr>
          <w:p>
            <w:pPr>
              <w:pStyle w:val="12"/>
            </w:pPr>
            <w:r>
              <w:t>405.11</w:t>
            </w:r>
          </w:p>
        </w:tc>
        <w:tc>
          <w:tcPr>
            <w:tcW w:w="1134" w:type="dxa"/>
            <w:vAlign w:val="center"/>
          </w:tcPr>
          <w:p>
            <w:pPr>
              <w:pStyle w:val="12"/>
            </w:pPr>
            <w:r>
              <w:t>405.11</w:t>
            </w:r>
          </w:p>
        </w:tc>
        <w:tc>
          <w:tcPr>
            <w:tcW w:w="1134" w:type="dxa"/>
            <w:vAlign w:val="center"/>
          </w:tcPr>
          <w:p>
            <w:pPr>
              <w:pStyle w:val="12"/>
            </w:pPr>
            <w:r>
              <w:t>405.11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2011350</w:t>
            </w:r>
          </w:p>
        </w:tc>
        <w:tc>
          <w:tcPr>
            <w:tcW w:w="1559" w:type="dxa"/>
            <w:vAlign w:val="center"/>
          </w:tcPr>
          <w:p>
            <w:pPr>
              <w:pStyle w:val="13"/>
            </w:pPr>
            <w:r>
              <w:t>事业运行</w:t>
            </w:r>
          </w:p>
        </w:tc>
        <w:tc>
          <w:tcPr>
            <w:tcW w:w="1134" w:type="dxa"/>
            <w:vAlign w:val="center"/>
          </w:tcPr>
          <w:p>
            <w:pPr>
              <w:pStyle w:val="12"/>
            </w:pPr>
            <w:r>
              <w:t>345.11</w:t>
            </w:r>
          </w:p>
        </w:tc>
        <w:tc>
          <w:tcPr>
            <w:tcW w:w="1134" w:type="dxa"/>
            <w:vAlign w:val="center"/>
          </w:tcPr>
          <w:p>
            <w:pPr>
              <w:pStyle w:val="12"/>
            </w:pPr>
            <w:r>
              <w:t>345.11</w:t>
            </w:r>
          </w:p>
        </w:tc>
        <w:tc>
          <w:tcPr>
            <w:tcW w:w="1134" w:type="dxa"/>
            <w:vAlign w:val="center"/>
          </w:tcPr>
          <w:p>
            <w:pPr>
              <w:pStyle w:val="12"/>
            </w:pPr>
            <w:r>
              <w:t>345.11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2011399</w:t>
            </w:r>
          </w:p>
        </w:tc>
        <w:tc>
          <w:tcPr>
            <w:tcW w:w="1559" w:type="dxa"/>
            <w:vAlign w:val="center"/>
          </w:tcPr>
          <w:p>
            <w:pPr>
              <w:pStyle w:val="13"/>
            </w:pPr>
            <w:r>
              <w:t>其他商贸事务支出</w:t>
            </w:r>
          </w:p>
        </w:tc>
        <w:tc>
          <w:tcPr>
            <w:tcW w:w="1134" w:type="dxa"/>
            <w:vAlign w:val="center"/>
          </w:tcPr>
          <w:p>
            <w:pPr>
              <w:pStyle w:val="12"/>
            </w:pPr>
            <w:r>
              <w:t>60.00</w:t>
            </w:r>
          </w:p>
        </w:tc>
        <w:tc>
          <w:tcPr>
            <w:tcW w:w="1134" w:type="dxa"/>
            <w:vAlign w:val="center"/>
          </w:tcPr>
          <w:p>
            <w:pPr>
              <w:pStyle w:val="12"/>
            </w:pPr>
            <w:r>
              <w:t>60.00</w:t>
            </w:r>
          </w:p>
        </w:tc>
        <w:tc>
          <w:tcPr>
            <w:tcW w:w="1134" w:type="dxa"/>
            <w:vAlign w:val="center"/>
          </w:tcPr>
          <w:p>
            <w:pPr>
              <w:pStyle w:val="12"/>
            </w:pPr>
            <w:r>
              <w:t>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414003高阳县市场建设服务中心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405.11</w:t>
            </w:r>
          </w:p>
        </w:tc>
        <w:tc>
          <w:tcPr>
            <w:tcW w:w="1361" w:type="dxa"/>
            <w:vAlign w:val="center"/>
          </w:tcPr>
          <w:p>
            <w:pPr>
              <w:pStyle w:val="16"/>
            </w:pPr>
            <w:r>
              <w:t>345.11</w:t>
            </w:r>
          </w:p>
        </w:tc>
        <w:tc>
          <w:tcPr>
            <w:tcW w:w="1361" w:type="dxa"/>
            <w:vAlign w:val="center"/>
          </w:tcPr>
          <w:p>
            <w:pPr>
              <w:pStyle w:val="16"/>
            </w:pPr>
            <w:r>
              <w:t>60.00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405.11</w:t>
            </w:r>
          </w:p>
        </w:tc>
        <w:tc>
          <w:tcPr>
            <w:tcW w:w="1361" w:type="dxa"/>
            <w:vAlign w:val="center"/>
          </w:tcPr>
          <w:p>
            <w:pPr>
              <w:pStyle w:val="12"/>
            </w:pPr>
            <w:r>
              <w:t>345.11</w:t>
            </w:r>
          </w:p>
        </w:tc>
        <w:tc>
          <w:tcPr>
            <w:tcW w:w="1361" w:type="dxa"/>
            <w:vAlign w:val="center"/>
          </w:tcPr>
          <w:p>
            <w:pPr>
              <w:pStyle w:val="12"/>
            </w:pPr>
            <w:r>
              <w:t>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20113</w:t>
            </w:r>
          </w:p>
        </w:tc>
        <w:tc>
          <w:tcPr>
            <w:tcW w:w="4535" w:type="dxa"/>
            <w:vAlign w:val="center"/>
          </w:tcPr>
          <w:p>
            <w:pPr>
              <w:pStyle w:val="13"/>
            </w:pPr>
            <w:r>
              <w:t>商贸事务</w:t>
            </w:r>
          </w:p>
        </w:tc>
        <w:tc>
          <w:tcPr>
            <w:tcW w:w="1361" w:type="dxa"/>
            <w:vAlign w:val="center"/>
          </w:tcPr>
          <w:p>
            <w:pPr>
              <w:pStyle w:val="12"/>
            </w:pPr>
            <w:r>
              <w:t>405.11</w:t>
            </w:r>
          </w:p>
        </w:tc>
        <w:tc>
          <w:tcPr>
            <w:tcW w:w="1361" w:type="dxa"/>
            <w:vAlign w:val="center"/>
          </w:tcPr>
          <w:p>
            <w:pPr>
              <w:pStyle w:val="12"/>
            </w:pPr>
            <w:r>
              <w:t>345.11</w:t>
            </w:r>
          </w:p>
        </w:tc>
        <w:tc>
          <w:tcPr>
            <w:tcW w:w="1361" w:type="dxa"/>
            <w:vAlign w:val="center"/>
          </w:tcPr>
          <w:p>
            <w:pPr>
              <w:pStyle w:val="12"/>
            </w:pPr>
            <w:r>
              <w:t>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2011350</w:t>
            </w:r>
          </w:p>
        </w:tc>
        <w:tc>
          <w:tcPr>
            <w:tcW w:w="4535" w:type="dxa"/>
            <w:vAlign w:val="center"/>
          </w:tcPr>
          <w:p>
            <w:pPr>
              <w:pStyle w:val="13"/>
            </w:pPr>
            <w:r>
              <w:t>事业运行</w:t>
            </w:r>
          </w:p>
        </w:tc>
        <w:tc>
          <w:tcPr>
            <w:tcW w:w="1361" w:type="dxa"/>
            <w:vAlign w:val="center"/>
          </w:tcPr>
          <w:p>
            <w:pPr>
              <w:pStyle w:val="12"/>
            </w:pPr>
            <w:r>
              <w:t>345.11</w:t>
            </w:r>
          </w:p>
        </w:tc>
        <w:tc>
          <w:tcPr>
            <w:tcW w:w="1361" w:type="dxa"/>
            <w:vAlign w:val="center"/>
          </w:tcPr>
          <w:p>
            <w:pPr>
              <w:pStyle w:val="12"/>
            </w:pPr>
            <w:r>
              <w:t>345.11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2011399</w:t>
            </w:r>
          </w:p>
        </w:tc>
        <w:tc>
          <w:tcPr>
            <w:tcW w:w="4535" w:type="dxa"/>
            <w:vAlign w:val="center"/>
          </w:tcPr>
          <w:p>
            <w:pPr>
              <w:pStyle w:val="13"/>
            </w:pPr>
            <w:r>
              <w:t>其他商贸事务支出</w:t>
            </w:r>
          </w:p>
        </w:tc>
        <w:tc>
          <w:tcPr>
            <w:tcW w:w="1361" w:type="dxa"/>
            <w:vAlign w:val="center"/>
          </w:tcPr>
          <w:p>
            <w:pPr>
              <w:pStyle w:val="12"/>
            </w:pPr>
            <w:r>
              <w:t>60.00</w:t>
            </w:r>
          </w:p>
        </w:tc>
        <w:tc>
          <w:tcPr>
            <w:tcW w:w="1361" w:type="dxa"/>
            <w:vAlign w:val="center"/>
          </w:tcPr>
          <w:p>
            <w:pPr>
              <w:pStyle w:val="12"/>
            </w:pPr>
          </w:p>
        </w:tc>
        <w:tc>
          <w:tcPr>
            <w:tcW w:w="1361" w:type="dxa"/>
            <w:vAlign w:val="center"/>
          </w:tcPr>
          <w:p>
            <w:pPr>
              <w:pStyle w:val="12"/>
            </w:pPr>
            <w:r>
              <w:t>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414003高阳县市场建设服务中心</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405.11</w:t>
            </w:r>
          </w:p>
        </w:tc>
        <w:tc>
          <w:tcPr>
            <w:tcW w:w="3402" w:type="dxa"/>
            <w:vAlign w:val="center"/>
          </w:tcPr>
          <w:p>
            <w:pPr>
              <w:pStyle w:val="13"/>
            </w:pPr>
            <w:r>
              <w:t>一、一般公共服务支出</w:t>
            </w:r>
          </w:p>
        </w:tc>
        <w:tc>
          <w:tcPr>
            <w:tcW w:w="1474" w:type="dxa"/>
            <w:vAlign w:val="center"/>
          </w:tcPr>
          <w:p>
            <w:pPr>
              <w:pStyle w:val="12"/>
            </w:pPr>
            <w:r>
              <w:t>405.11</w:t>
            </w:r>
          </w:p>
        </w:tc>
        <w:tc>
          <w:tcPr>
            <w:tcW w:w="1474" w:type="dxa"/>
            <w:vAlign w:val="center"/>
          </w:tcPr>
          <w:p>
            <w:pPr>
              <w:pStyle w:val="12"/>
            </w:pPr>
            <w:r>
              <w:t>405.11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405.11</w:t>
            </w:r>
          </w:p>
        </w:tc>
        <w:tc>
          <w:tcPr>
            <w:tcW w:w="3402" w:type="dxa"/>
            <w:vAlign w:val="center"/>
          </w:tcPr>
          <w:p>
            <w:pPr>
              <w:pStyle w:val="15"/>
            </w:pPr>
            <w:r>
              <w:t>本年支出合计</w:t>
            </w:r>
          </w:p>
        </w:tc>
        <w:tc>
          <w:tcPr>
            <w:tcW w:w="1474" w:type="dxa"/>
            <w:vAlign w:val="center"/>
          </w:tcPr>
          <w:p>
            <w:pPr>
              <w:pStyle w:val="16"/>
            </w:pPr>
            <w:r>
              <w:t>405.11</w:t>
            </w:r>
          </w:p>
        </w:tc>
        <w:tc>
          <w:tcPr>
            <w:tcW w:w="1474" w:type="dxa"/>
            <w:vAlign w:val="center"/>
          </w:tcPr>
          <w:p>
            <w:pPr>
              <w:pStyle w:val="16"/>
            </w:pPr>
            <w:r>
              <w:t>405.11</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405.11</w:t>
            </w:r>
          </w:p>
        </w:tc>
        <w:tc>
          <w:tcPr>
            <w:tcW w:w="3402" w:type="dxa"/>
            <w:vAlign w:val="center"/>
          </w:tcPr>
          <w:p>
            <w:pPr>
              <w:pStyle w:val="15"/>
            </w:pPr>
            <w:r>
              <w:t>支出总计</w:t>
            </w:r>
          </w:p>
        </w:tc>
        <w:tc>
          <w:tcPr>
            <w:tcW w:w="1474" w:type="dxa"/>
            <w:vAlign w:val="center"/>
          </w:tcPr>
          <w:p>
            <w:pPr>
              <w:pStyle w:val="16"/>
            </w:pPr>
            <w:r>
              <w:t>405.11</w:t>
            </w:r>
          </w:p>
        </w:tc>
        <w:tc>
          <w:tcPr>
            <w:tcW w:w="1474" w:type="dxa"/>
            <w:vAlign w:val="center"/>
          </w:tcPr>
          <w:p>
            <w:pPr>
              <w:pStyle w:val="16"/>
            </w:pPr>
            <w:r>
              <w:t>405.11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414003高阳县市场建设服务中心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405.11</w:t>
            </w:r>
          </w:p>
        </w:tc>
        <w:tc>
          <w:tcPr>
            <w:tcW w:w="2551" w:type="dxa"/>
            <w:vAlign w:val="center"/>
          </w:tcPr>
          <w:p>
            <w:pPr>
              <w:pStyle w:val="16"/>
            </w:pPr>
            <w:r>
              <w:t>345.11</w:t>
            </w:r>
          </w:p>
        </w:tc>
        <w:tc>
          <w:tcPr>
            <w:tcW w:w="2551" w:type="dxa"/>
            <w:vAlign w:val="center"/>
          </w:tcPr>
          <w:p>
            <w:pPr>
              <w:pStyle w:val="16"/>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405.11</w:t>
            </w:r>
          </w:p>
        </w:tc>
        <w:tc>
          <w:tcPr>
            <w:tcW w:w="2551" w:type="dxa"/>
            <w:vAlign w:val="center"/>
          </w:tcPr>
          <w:p>
            <w:pPr>
              <w:pStyle w:val="12"/>
            </w:pPr>
            <w:r>
              <w:t>345.11</w:t>
            </w:r>
          </w:p>
        </w:tc>
        <w:tc>
          <w:tcPr>
            <w:tcW w:w="2551" w:type="dxa"/>
            <w:vAlign w:val="center"/>
          </w:tcPr>
          <w:p>
            <w:pPr>
              <w:pStyle w:val="12"/>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20113</w:t>
            </w:r>
          </w:p>
        </w:tc>
        <w:tc>
          <w:tcPr>
            <w:tcW w:w="4535" w:type="dxa"/>
            <w:vAlign w:val="center"/>
          </w:tcPr>
          <w:p>
            <w:pPr>
              <w:pStyle w:val="13"/>
            </w:pPr>
            <w:r>
              <w:t>商贸事务</w:t>
            </w:r>
          </w:p>
        </w:tc>
        <w:tc>
          <w:tcPr>
            <w:tcW w:w="2551" w:type="dxa"/>
            <w:vAlign w:val="center"/>
          </w:tcPr>
          <w:p>
            <w:pPr>
              <w:pStyle w:val="12"/>
            </w:pPr>
            <w:r>
              <w:t>405.11</w:t>
            </w:r>
          </w:p>
        </w:tc>
        <w:tc>
          <w:tcPr>
            <w:tcW w:w="2551" w:type="dxa"/>
            <w:vAlign w:val="center"/>
          </w:tcPr>
          <w:p>
            <w:pPr>
              <w:pStyle w:val="12"/>
            </w:pPr>
            <w:r>
              <w:t>345.11</w:t>
            </w:r>
          </w:p>
        </w:tc>
        <w:tc>
          <w:tcPr>
            <w:tcW w:w="2551" w:type="dxa"/>
            <w:vAlign w:val="center"/>
          </w:tcPr>
          <w:p>
            <w:pPr>
              <w:pStyle w:val="12"/>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2011350</w:t>
            </w:r>
          </w:p>
        </w:tc>
        <w:tc>
          <w:tcPr>
            <w:tcW w:w="4535" w:type="dxa"/>
            <w:vAlign w:val="center"/>
          </w:tcPr>
          <w:p>
            <w:pPr>
              <w:pStyle w:val="13"/>
            </w:pPr>
            <w:r>
              <w:t>事业运行</w:t>
            </w:r>
          </w:p>
        </w:tc>
        <w:tc>
          <w:tcPr>
            <w:tcW w:w="2551" w:type="dxa"/>
            <w:vAlign w:val="center"/>
          </w:tcPr>
          <w:p>
            <w:pPr>
              <w:pStyle w:val="12"/>
            </w:pPr>
            <w:r>
              <w:t>345.11</w:t>
            </w:r>
          </w:p>
        </w:tc>
        <w:tc>
          <w:tcPr>
            <w:tcW w:w="2551" w:type="dxa"/>
            <w:vAlign w:val="center"/>
          </w:tcPr>
          <w:p>
            <w:pPr>
              <w:pStyle w:val="12"/>
            </w:pPr>
            <w:r>
              <w:t>345.11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2011399</w:t>
            </w:r>
          </w:p>
        </w:tc>
        <w:tc>
          <w:tcPr>
            <w:tcW w:w="4535" w:type="dxa"/>
            <w:vAlign w:val="center"/>
          </w:tcPr>
          <w:p>
            <w:pPr>
              <w:pStyle w:val="13"/>
            </w:pPr>
            <w:r>
              <w:t>其他商贸事务支出</w:t>
            </w:r>
          </w:p>
        </w:tc>
        <w:tc>
          <w:tcPr>
            <w:tcW w:w="2551" w:type="dxa"/>
            <w:vAlign w:val="center"/>
          </w:tcPr>
          <w:p>
            <w:pPr>
              <w:pStyle w:val="12"/>
            </w:pPr>
            <w:r>
              <w:t>60.00</w:t>
            </w:r>
          </w:p>
        </w:tc>
        <w:tc>
          <w:tcPr>
            <w:tcW w:w="2551" w:type="dxa"/>
            <w:vAlign w:val="center"/>
          </w:tcPr>
          <w:p>
            <w:pPr>
              <w:pStyle w:val="12"/>
            </w:pPr>
          </w:p>
        </w:tc>
        <w:tc>
          <w:tcPr>
            <w:tcW w:w="2551" w:type="dxa"/>
            <w:vAlign w:val="center"/>
          </w:tcPr>
          <w:p>
            <w:pPr>
              <w:pStyle w:val="12"/>
            </w:pPr>
            <w:r>
              <w:t>60.00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414003高阳县市场建设服务中心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345.11</w:t>
            </w:r>
          </w:p>
        </w:tc>
        <w:tc>
          <w:tcPr>
            <w:tcW w:w="2551" w:type="dxa"/>
            <w:vAlign w:val="center"/>
          </w:tcPr>
          <w:p>
            <w:pPr>
              <w:pStyle w:val="16"/>
            </w:pPr>
            <w:r>
              <w:t>324.06</w:t>
            </w:r>
          </w:p>
        </w:tc>
        <w:tc>
          <w:tcPr>
            <w:tcW w:w="2551" w:type="dxa"/>
            <w:vAlign w:val="center"/>
          </w:tcPr>
          <w:p>
            <w:pPr>
              <w:pStyle w:val="16"/>
            </w:pPr>
            <w:r>
              <w:t>21.05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324.06</w:t>
            </w:r>
          </w:p>
        </w:tc>
        <w:tc>
          <w:tcPr>
            <w:tcW w:w="2551" w:type="dxa"/>
            <w:vAlign w:val="center"/>
          </w:tcPr>
          <w:p>
            <w:pPr>
              <w:pStyle w:val="12"/>
            </w:pPr>
            <w:r>
              <w:t>324.06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324.06</w:t>
            </w:r>
          </w:p>
        </w:tc>
        <w:tc>
          <w:tcPr>
            <w:tcW w:w="2551" w:type="dxa"/>
            <w:vAlign w:val="center"/>
          </w:tcPr>
          <w:p>
            <w:pPr>
              <w:pStyle w:val="12"/>
            </w:pPr>
            <w:r>
              <w:t>324.06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20.46</w:t>
            </w:r>
          </w:p>
        </w:tc>
        <w:tc>
          <w:tcPr>
            <w:tcW w:w="2551" w:type="dxa"/>
            <w:vAlign w:val="center"/>
          </w:tcPr>
          <w:p>
            <w:pPr>
              <w:pStyle w:val="12"/>
            </w:pPr>
          </w:p>
        </w:tc>
        <w:tc>
          <w:tcPr>
            <w:tcW w:w="2551" w:type="dxa"/>
            <w:vAlign w:val="center"/>
          </w:tcPr>
          <w:p>
            <w:pPr>
              <w:pStyle w:val="12"/>
            </w:pPr>
            <w:r>
              <w:t>20.46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8.76</w:t>
            </w:r>
          </w:p>
        </w:tc>
        <w:tc>
          <w:tcPr>
            <w:tcW w:w="2551" w:type="dxa"/>
            <w:vAlign w:val="center"/>
          </w:tcPr>
          <w:p>
            <w:pPr>
              <w:pStyle w:val="12"/>
            </w:pPr>
          </w:p>
        </w:tc>
        <w:tc>
          <w:tcPr>
            <w:tcW w:w="2551" w:type="dxa"/>
            <w:vAlign w:val="center"/>
          </w:tcPr>
          <w:p>
            <w:pPr>
              <w:pStyle w:val="12"/>
            </w:pPr>
            <w:r>
              <w:t>8.76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4.80</w:t>
            </w:r>
          </w:p>
        </w:tc>
        <w:tc>
          <w:tcPr>
            <w:tcW w:w="2551" w:type="dxa"/>
            <w:vAlign w:val="center"/>
          </w:tcPr>
          <w:p>
            <w:pPr>
              <w:pStyle w:val="12"/>
            </w:pPr>
          </w:p>
        </w:tc>
        <w:tc>
          <w:tcPr>
            <w:tcW w:w="2551" w:type="dxa"/>
            <w:vAlign w:val="center"/>
          </w:tcPr>
          <w:p>
            <w:pPr>
              <w:pStyle w:val="12"/>
            </w:pPr>
            <w: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0.66</w:t>
            </w:r>
          </w:p>
        </w:tc>
        <w:tc>
          <w:tcPr>
            <w:tcW w:w="2551" w:type="dxa"/>
            <w:vAlign w:val="center"/>
          </w:tcPr>
          <w:p>
            <w:pPr>
              <w:pStyle w:val="12"/>
            </w:pPr>
          </w:p>
        </w:tc>
        <w:tc>
          <w:tcPr>
            <w:tcW w:w="2551" w:type="dxa"/>
            <w:vAlign w:val="center"/>
          </w:tcPr>
          <w:p>
            <w:pPr>
              <w:pStyle w:val="12"/>
            </w:pPr>
            <w:r>
              <w:t>0.66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1.43</w:t>
            </w:r>
          </w:p>
        </w:tc>
        <w:tc>
          <w:tcPr>
            <w:tcW w:w="2551" w:type="dxa"/>
            <w:vAlign w:val="center"/>
          </w:tcPr>
          <w:p>
            <w:pPr>
              <w:pStyle w:val="12"/>
            </w:pPr>
          </w:p>
        </w:tc>
        <w:tc>
          <w:tcPr>
            <w:tcW w:w="2551" w:type="dxa"/>
            <w:vAlign w:val="center"/>
          </w:tcPr>
          <w:p>
            <w:pPr>
              <w:pStyle w:val="12"/>
            </w:pPr>
            <w:r>
              <w:t>1.43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2.44</w:t>
            </w:r>
          </w:p>
        </w:tc>
        <w:tc>
          <w:tcPr>
            <w:tcW w:w="2551" w:type="dxa"/>
            <w:vAlign w:val="center"/>
          </w:tcPr>
          <w:p>
            <w:pPr>
              <w:pStyle w:val="12"/>
            </w:pPr>
          </w:p>
        </w:tc>
        <w:tc>
          <w:tcPr>
            <w:tcW w:w="2551" w:type="dxa"/>
            <w:vAlign w:val="center"/>
          </w:tcPr>
          <w:p>
            <w:pPr>
              <w:pStyle w:val="12"/>
            </w:pPr>
            <w:r>
              <w:t>2.44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1.85</w:t>
            </w:r>
          </w:p>
        </w:tc>
        <w:tc>
          <w:tcPr>
            <w:tcW w:w="2551" w:type="dxa"/>
            <w:vAlign w:val="center"/>
          </w:tcPr>
          <w:p>
            <w:pPr>
              <w:pStyle w:val="12"/>
            </w:pPr>
          </w:p>
        </w:tc>
        <w:tc>
          <w:tcPr>
            <w:tcW w:w="2551" w:type="dxa"/>
            <w:vAlign w:val="center"/>
          </w:tcPr>
          <w:p>
            <w:pPr>
              <w:pStyle w:val="12"/>
            </w:pPr>
            <w:r>
              <w:t>1.85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0.32</w:t>
            </w:r>
          </w:p>
        </w:tc>
        <w:tc>
          <w:tcPr>
            <w:tcW w:w="2551" w:type="dxa"/>
            <w:vAlign w:val="center"/>
          </w:tcPr>
          <w:p>
            <w:pPr>
              <w:pStyle w:val="12"/>
            </w:pPr>
          </w:p>
        </w:tc>
        <w:tc>
          <w:tcPr>
            <w:tcW w:w="2551" w:type="dxa"/>
            <w:vAlign w:val="center"/>
          </w:tcPr>
          <w:p>
            <w:pPr>
              <w:pStyle w:val="12"/>
            </w:pPr>
            <w:r>
              <w:t>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0.59</w:t>
            </w:r>
          </w:p>
        </w:tc>
        <w:tc>
          <w:tcPr>
            <w:tcW w:w="2551" w:type="dxa"/>
            <w:vAlign w:val="center"/>
          </w:tcPr>
          <w:p>
            <w:pPr>
              <w:pStyle w:val="12"/>
            </w:pPr>
          </w:p>
        </w:tc>
        <w:tc>
          <w:tcPr>
            <w:tcW w:w="2551" w:type="dxa"/>
            <w:vAlign w:val="center"/>
          </w:tcPr>
          <w:p>
            <w:pPr>
              <w:pStyle w:val="12"/>
            </w:pPr>
            <w:r>
              <w:t>0.59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0.59</w:t>
            </w:r>
          </w:p>
        </w:tc>
        <w:tc>
          <w:tcPr>
            <w:tcW w:w="2551" w:type="dxa"/>
            <w:vAlign w:val="center"/>
          </w:tcPr>
          <w:p>
            <w:pPr>
              <w:pStyle w:val="12"/>
            </w:pPr>
          </w:p>
        </w:tc>
        <w:tc>
          <w:tcPr>
            <w:tcW w:w="2551" w:type="dxa"/>
            <w:vAlign w:val="center"/>
          </w:tcPr>
          <w:p>
            <w:pPr>
              <w:pStyle w:val="12"/>
            </w:pPr>
            <w:r>
              <w:t>0.59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414003高阳县市场建设服务中心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414003高阳县市场建设服务中心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414003高阳县市场建设服务中心</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1.43</w:t>
            </w:r>
          </w:p>
        </w:tc>
        <w:tc>
          <w:tcPr>
            <w:tcW w:w="2381" w:type="dxa"/>
            <w:vAlign w:val="center"/>
          </w:tcPr>
          <w:p>
            <w:pPr>
              <w:pStyle w:val="16"/>
            </w:pPr>
            <w:r>
              <w:t>1.43</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1.43</w:t>
            </w:r>
          </w:p>
        </w:tc>
        <w:tc>
          <w:tcPr>
            <w:tcW w:w="2381" w:type="dxa"/>
            <w:vAlign w:val="center"/>
          </w:tcPr>
          <w:p>
            <w:pPr>
              <w:pStyle w:val="12"/>
            </w:pPr>
            <w:r>
              <w:t>1.43</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1.43</w:t>
            </w:r>
          </w:p>
        </w:tc>
        <w:tc>
          <w:tcPr>
            <w:tcW w:w="2381" w:type="dxa"/>
            <w:vAlign w:val="center"/>
          </w:tcPr>
          <w:p>
            <w:pPr>
              <w:pStyle w:val="12"/>
            </w:pPr>
            <w:r>
              <w:t>1.43</w:t>
            </w:r>
          </w:p>
        </w:tc>
        <w:tc>
          <w:tcPr>
            <w:tcW w:w="2381" w:type="dxa"/>
            <w:vAlign w:val="center"/>
          </w:tcPr>
          <w:p>
            <w:pPr>
              <w:pStyle w:val="12"/>
            </w:pPr>
          </w:p>
        </w:tc>
        <w:tc>
          <w:tcPr>
            <w:tcW w:w="2381"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高阳县市场建设服务中心2025年单位预算信息公开情况说明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按照《中华人民共和国预算法》、《地方预决算公开操作规程》和《关于进一步推进预算公开工作的实施意见》规定，现将高阳县市场建设服务中心2025年单位预算公开如下：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8"/>
      </w:pPr>
      <w:r>
        <w:t>(一）、市场的规划与建设，组织市场论证，适时提出市场建设的意见，搞好市场的规划与建设，培育和发展好市场；</w:t>
      </w:r>
    </w:p>
    <w:p>
      <w:pPr>
        <w:pStyle w:val="18"/>
      </w:pPr>
      <w:r>
        <w:t>（二）、负责全县市场的登记，统计与分析，掌握市场动态，收集信息，搞好市场预测；</w:t>
      </w:r>
    </w:p>
    <w:p>
      <w:pPr>
        <w:pStyle w:val="18"/>
      </w:pPr>
      <w:r>
        <w:t>（三）、负责市场的资产经营，管理市场物业，提供有偿服务，收取市场设施租赁费；</w:t>
      </w:r>
    </w:p>
    <w:p>
      <w:pPr>
        <w:pStyle w:val="18"/>
      </w:pPr>
      <w:r>
        <w:t>（四）、负责市场的管理；组织好市场检查，评比和验收工作；</w:t>
      </w:r>
    </w:p>
    <w:p>
      <w:pPr>
        <w:pStyle w:val="18"/>
      </w:pPr>
      <w:r>
        <w:t>（五）、组织各种类型的庙会，商品交易会；</w:t>
      </w:r>
    </w:p>
    <w:p>
      <w:pPr>
        <w:pStyle w:val="18"/>
      </w:pPr>
      <w:r>
        <w:t>（六）、协助有关部门查处经营户违法行为，做好文明市场的建设工作；</w:t>
      </w:r>
    </w:p>
    <w:p>
      <w:pPr>
        <w:pStyle w:val="18"/>
      </w:pPr>
      <w:r>
        <w:t>（七）、承担县政府交办的其他事项。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高阳县市场建设服务中心</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9"/>
      </w:pPr>
      <w:r>
        <w:t>按照预算管理有关规定，目前单位预算的编制实行综合预算管理，即全部收入和支出都反映在预算中。</w:t>
      </w:r>
    </w:p>
    <w:p>
      <w:pPr>
        <w:pStyle w:val="19"/>
      </w:pPr>
      <w:r>
        <w:t>1、收入说明</w:t>
      </w:r>
    </w:p>
    <w:p>
      <w:pPr>
        <w:pStyle w:val="19"/>
      </w:pPr>
      <w:r>
        <w:t>反映本单位当年全部收入。2025年预算收入405.11万元，其中：一般公共预算收入405.11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高阳县市场建设服务中心年度单位预算中支出预算的总体情况。2025年支出预算405.11万元，其中基本支出345.11万元，包括人员经费324.06万元和日常公用经费21.05万元；项目支出60.00万元，主要为市场建设整治专项经费40</w:t>
      </w:r>
      <w:r>
        <w:rPr>
          <w:rFonts w:hint="eastAsia"/>
          <w:lang w:val="en-US" w:eastAsia="zh-CN"/>
        </w:rPr>
        <w:t>.00</w:t>
      </w:r>
      <w:r>
        <w:t>万元；市场建设服务中心经费-租赁费20</w:t>
      </w:r>
      <w:r>
        <w:rPr>
          <w:rFonts w:hint="eastAsia"/>
          <w:lang w:val="en-US" w:eastAsia="zh-CN"/>
        </w:rPr>
        <w:t>.00</w:t>
      </w:r>
      <w:r>
        <w:t>万元。</w:t>
      </w:r>
    </w:p>
    <w:p>
      <w:pPr>
        <w:pStyle w:val="19"/>
      </w:pPr>
      <w:r>
        <w:t>3、比上年增减情况</w:t>
      </w:r>
    </w:p>
    <w:p>
      <w:pPr>
        <w:pStyle w:val="19"/>
      </w:pPr>
      <w:r>
        <w:t>2025年预算收支安排405.11万元，较2024年预算增加11.51万元，其中：基本支出减少3.49万元，主要为人员经费减少1.6</w:t>
      </w:r>
      <w:r>
        <w:rPr>
          <w:rFonts w:hint="eastAsia"/>
          <w:lang w:val="en-US" w:eastAsia="zh-CN"/>
        </w:rPr>
        <w:t>0</w:t>
      </w:r>
      <w:r>
        <w:t>万元，日常公用经费减少1.89万元。项目支出增加15</w:t>
      </w:r>
      <w:r>
        <w:rPr>
          <w:rFonts w:hint="eastAsia"/>
          <w:lang w:val="en-US" w:eastAsia="zh-CN"/>
        </w:rPr>
        <w:t>.00</w:t>
      </w:r>
      <w:r>
        <w:t>万元，主要为市场建设整治专项经费比去年减少5</w:t>
      </w:r>
      <w:r>
        <w:rPr>
          <w:rFonts w:hint="eastAsia"/>
          <w:lang w:val="en-US" w:eastAsia="zh-CN"/>
        </w:rPr>
        <w:t>.00</w:t>
      </w:r>
      <w:r>
        <w:t>万元，增加市场租赁费项目金额20</w:t>
      </w:r>
      <w:r>
        <w:rPr>
          <w:rFonts w:hint="eastAsia"/>
          <w:lang w:val="en-US" w:eastAsia="zh-CN"/>
        </w:rPr>
        <w:t>.00</w:t>
      </w:r>
      <w:r>
        <w:t>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3"/>
        <w:rPr>
          <w:rFonts w:hint="default" w:eastAsia="方正仿宋_GBK"/>
          <w:lang w:val="en-US" w:eastAsia="zh-CN"/>
        </w:rPr>
      </w:pPr>
      <w:r>
        <w:rPr>
          <w:rFonts w:hint="eastAsia"/>
          <w:lang w:val="en-US" w:eastAsia="zh-CN"/>
        </w:rPr>
        <w:t>2025年高阳县市场建设服务中心机关运行经费21.05万元；其中：办公费8.76万元、水费0.20万元、邮电费4.80万元、办公取暖费0.66万元、公务接待费1.43万元、福利费1.85万元、党组织活动经费0.32万元、办公设备购置费0.59万元、工会经费2.44万元。</w:t>
      </w:r>
    </w:p>
    <w:p>
      <w:pPr>
        <w:pStyle w:val="20"/>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1"/>
      </w:pPr>
      <w:r>
        <w:rPr>
          <w:rFonts w:hint="eastAsia" w:ascii="方正仿宋_GBK" w:hAnsi="方正仿宋_GBK" w:eastAsia="方正仿宋_GBK" w:cs="方正仿宋_GBK"/>
        </w:rPr>
        <w:t>202</w:t>
      </w:r>
      <w:r>
        <w:rPr>
          <w:rFonts w:hint="eastAsia" w:ascii="方正仿宋_GBK" w:hAnsi="方正仿宋_GBK" w:cs="方正仿宋_GBK"/>
          <w:lang w:val="en-US" w:eastAsia="zh-CN"/>
        </w:rPr>
        <w:t>5</w:t>
      </w:r>
      <w:r>
        <w:rPr>
          <w:rFonts w:hint="eastAsia" w:ascii="方正仿宋_GBK" w:hAnsi="方正仿宋_GBK" w:eastAsia="方正仿宋_GBK" w:cs="方正仿宋_GBK"/>
        </w:rPr>
        <w:t>年“三公经费”预算安排1.</w:t>
      </w:r>
      <w:r>
        <w:rPr>
          <w:rFonts w:hint="eastAsia" w:ascii="方正仿宋_GBK" w:hAnsi="方正仿宋_GBK" w:cs="方正仿宋_GBK"/>
          <w:lang w:val="en-US" w:eastAsia="zh-CN"/>
        </w:rPr>
        <w:t>43</w:t>
      </w:r>
      <w:r>
        <w:rPr>
          <w:rFonts w:hint="eastAsia" w:ascii="方正仿宋_GBK" w:hAnsi="方正仿宋_GBK" w:eastAsia="方正仿宋_GBK" w:cs="方正仿宋_GBK"/>
        </w:rPr>
        <w:t>万元，其中因公出国经费0</w:t>
      </w:r>
      <w:r>
        <w:rPr>
          <w:rFonts w:hint="eastAsia" w:ascii="方正仿宋_GBK" w:hAnsi="方正仿宋_GBK" w:cs="方正仿宋_GBK"/>
          <w:lang w:val="en-US" w:eastAsia="zh-CN"/>
        </w:rPr>
        <w:t>.00</w:t>
      </w:r>
      <w:r>
        <w:rPr>
          <w:rFonts w:hint="eastAsia" w:ascii="方正仿宋_GBK" w:hAnsi="方正仿宋_GBK" w:eastAsia="方正仿宋_GBK" w:cs="方正仿宋_GBK"/>
        </w:rPr>
        <w:t>万元，与上年持平；公务用车购置经费0</w:t>
      </w:r>
      <w:r>
        <w:rPr>
          <w:rFonts w:hint="eastAsia" w:ascii="方正仿宋_GBK" w:hAnsi="方正仿宋_GBK" w:cs="方正仿宋_GBK"/>
          <w:lang w:val="en-US" w:eastAsia="zh-CN"/>
        </w:rPr>
        <w:t>.00</w:t>
      </w:r>
      <w:r>
        <w:rPr>
          <w:rFonts w:hint="eastAsia" w:ascii="方正仿宋_GBK" w:hAnsi="方正仿宋_GBK" w:eastAsia="方正仿宋_GBK" w:cs="方正仿宋_GBK"/>
        </w:rPr>
        <w:t>万元，与上年持平；公务用车运行经费0</w:t>
      </w:r>
      <w:r>
        <w:rPr>
          <w:rFonts w:hint="eastAsia" w:ascii="方正仿宋_GBK" w:hAnsi="方正仿宋_GBK" w:cs="方正仿宋_GBK"/>
          <w:lang w:val="en-US" w:eastAsia="zh-CN"/>
        </w:rPr>
        <w:t>.00</w:t>
      </w:r>
      <w:r>
        <w:rPr>
          <w:rFonts w:hint="eastAsia" w:ascii="方正仿宋_GBK" w:hAnsi="方正仿宋_GBK" w:eastAsia="方正仿宋_GBK" w:cs="方正仿宋_GBK"/>
        </w:rPr>
        <w:t>万元，与上年持平；公务接待费支出1.</w:t>
      </w:r>
      <w:r>
        <w:rPr>
          <w:rFonts w:hint="eastAsia" w:ascii="方正仿宋_GBK" w:hAnsi="方正仿宋_GBK" w:cs="方正仿宋_GBK"/>
          <w:lang w:val="en-US" w:eastAsia="zh-CN"/>
        </w:rPr>
        <w:t>43</w:t>
      </w:r>
      <w:r>
        <w:rPr>
          <w:rFonts w:hint="eastAsia" w:ascii="方正仿宋_GBK" w:hAnsi="方正仿宋_GBK" w:eastAsia="方正仿宋_GBK" w:cs="方正仿宋_GBK"/>
        </w:rPr>
        <w:t>万元，比上年减少0.</w:t>
      </w:r>
      <w:r>
        <w:rPr>
          <w:rFonts w:hint="eastAsia" w:ascii="方正仿宋_GBK" w:hAnsi="方正仿宋_GBK" w:cs="方正仿宋_GBK"/>
          <w:lang w:val="en-US" w:eastAsia="zh-CN"/>
        </w:rPr>
        <w:t>0</w:t>
      </w:r>
      <w:r>
        <w:rPr>
          <w:rFonts w:hint="eastAsia" w:ascii="方正仿宋_GBK" w:hAnsi="方正仿宋_GBK" w:eastAsia="方正仿宋_GBK" w:cs="方正仿宋_GBK"/>
          <w:lang w:val="en-US" w:eastAsia="zh-CN"/>
        </w:rPr>
        <w:t>7</w:t>
      </w:r>
      <w:r>
        <w:rPr>
          <w:rFonts w:hint="eastAsia" w:ascii="方正仿宋_GBK" w:hAnsi="方正仿宋_GBK" w:eastAsia="方正仿宋_GBK" w:cs="方正仿宋_GBK"/>
        </w:rPr>
        <w:t>万元，我</w:t>
      </w:r>
      <w:r>
        <w:rPr>
          <w:rFonts w:hint="eastAsia" w:ascii="方正仿宋_GBK" w:hAnsi="方正仿宋_GBK" w:eastAsia="方正仿宋_GBK" w:cs="方正仿宋_GBK"/>
          <w:lang w:eastAsia="zh-CN"/>
        </w:rPr>
        <w:t>部门</w:t>
      </w:r>
      <w:r>
        <w:rPr>
          <w:rFonts w:hint="eastAsia" w:ascii="方正仿宋_GBK" w:hAnsi="方正仿宋_GBK" w:eastAsia="方正仿宋_GBK" w:cs="方正仿宋_GBK"/>
        </w:rPr>
        <w:t>针对三公经费支出制定了严格的管理制度，认真执行中央八项规定,厉行节约，杜绝浪费，从总量来讲，我</w:t>
      </w:r>
      <w:r>
        <w:rPr>
          <w:rFonts w:hint="eastAsia" w:ascii="方正仿宋_GBK" w:hAnsi="方正仿宋_GBK" w:eastAsia="方正仿宋_GBK" w:cs="方正仿宋_GBK"/>
          <w:lang w:eastAsia="zh-CN"/>
        </w:rPr>
        <w:t>部门</w:t>
      </w:r>
      <w:r>
        <w:rPr>
          <w:rFonts w:hint="eastAsia" w:ascii="方正仿宋_GBK" w:hAnsi="方正仿宋_GBK" w:eastAsia="方正仿宋_GBK" w:cs="方正仿宋_GBK"/>
        </w:rPr>
        <w:t>的三公经费与202</w:t>
      </w:r>
      <w:r>
        <w:rPr>
          <w:rFonts w:hint="eastAsia" w:ascii="方正仿宋_GBK" w:hAnsi="方正仿宋_GBK" w:cs="方正仿宋_GBK"/>
          <w:lang w:val="en-US" w:eastAsia="zh-CN"/>
        </w:rPr>
        <w:t>4</w:t>
      </w:r>
      <w:r>
        <w:rPr>
          <w:rFonts w:hint="eastAsia" w:ascii="方正仿宋_GBK" w:hAnsi="方正仿宋_GBK" w:eastAsia="方正仿宋_GBK" w:cs="方正仿宋_GBK"/>
        </w:rPr>
        <w:t>年相比减少了0.</w:t>
      </w:r>
      <w:r>
        <w:rPr>
          <w:rFonts w:hint="eastAsia" w:ascii="方正仿宋_GBK" w:hAnsi="方正仿宋_GBK" w:cs="方正仿宋_GBK"/>
          <w:lang w:val="en-US" w:eastAsia="zh-CN"/>
        </w:rPr>
        <w:t>07</w:t>
      </w:r>
      <w:r>
        <w:rPr>
          <w:rFonts w:hint="eastAsia" w:ascii="方正仿宋_GBK" w:hAnsi="方正仿宋_GBK" w:eastAsia="方正仿宋_GBK" w:cs="方正仿宋_GBK"/>
        </w:rPr>
        <w:t>万元。</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1、市场建设服务中心经费-租赁费绩效目标表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13062825P00028410028H</w:t>
            </w:r>
          </w:p>
        </w:tc>
        <w:tc>
          <w:tcPr>
            <w:tcW w:w="2835" w:type="dxa"/>
            <w:vAlign w:val="center"/>
          </w:tcPr>
          <w:p>
            <w:pPr>
              <w:pStyle w:val="11"/>
            </w:pPr>
            <w:r>
              <w:t>项目名称</w:t>
            </w:r>
          </w:p>
        </w:tc>
        <w:tc>
          <w:tcPr>
            <w:tcW w:w="6095" w:type="dxa"/>
            <w:gridSpan w:val="3"/>
            <w:vAlign w:val="center"/>
          </w:tcPr>
          <w:p>
            <w:pPr>
              <w:pStyle w:val="13"/>
            </w:pPr>
            <w:r>
              <w:t>市场建设服务中心经费-租赁费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保障菜市场经营正常运转。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val="en-US"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1.保障菜市场经营正常运转。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租赁面积</w:t>
            </w:r>
          </w:p>
        </w:tc>
        <w:tc>
          <w:tcPr>
            <w:tcW w:w="5386" w:type="dxa"/>
            <w:vAlign w:val="center"/>
          </w:tcPr>
          <w:p>
            <w:pPr>
              <w:pStyle w:val="13"/>
            </w:pPr>
            <w:r>
              <w:t>60亩</w:t>
            </w:r>
          </w:p>
        </w:tc>
        <w:tc>
          <w:tcPr>
            <w:tcW w:w="2268" w:type="dxa"/>
            <w:vAlign w:val="center"/>
          </w:tcPr>
          <w:p>
            <w:pPr>
              <w:pStyle w:val="13"/>
            </w:pPr>
            <w:r>
              <w:t>亩</w:t>
            </w:r>
          </w:p>
        </w:tc>
        <w:tc>
          <w:tcPr>
            <w:tcW w:w="1276" w:type="dxa"/>
            <w:vAlign w:val="center"/>
          </w:tcPr>
          <w:p>
            <w:pPr>
              <w:pStyle w:val="13"/>
            </w:pPr>
            <w:r>
              <w:t>实际测量面积</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租赁服务质量合格率</w:t>
            </w:r>
          </w:p>
        </w:tc>
        <w:tc>
          <w:tcPr>
            <w:tcW w:w="5386" w:type="dxa"/>
            <w:vAlign w:val="center"/>
          </w:tcPr>
          <w:p>
            <w:pPr>
              <w:pStyle w:val="13"/>
            </w:pPr>
            <w:r>
              <w:t>租赁服务质量合格率</w:t>
            </w:r>
          </w:p>
        </w:tc>
        <w:tc>
          <w:tcPr>
            <w:tcW w:w="2268" w:type="dxa"/>
            <w:vAlign w:val="center"/>
          </w:tcPr>
          <w:p>
            <w:pPr>
              <w:pStyle w:val="13"/>
            </w:pPr>
            <w:r>
              <w:t>≥90%</w:t>
            </w:r>
          </w:p>
        </w:tc>
        <w:tc>
          <w:tcPr>
            <w:tcW w:w="1276" w:type="dxa"/>
            <w:vAlign w:val="center"/>
          </w:tcPr>
          <w:p>
            <w:pPr>
              <w:pStyle w:val="13"/>
            </w:pPr>
            <w:r>
              <w:t>租赁协议</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支付及时率</w:t>
            </w:r>
          </w:p>
        </w:tc>
        <w:tc>
          <w:tcPr>
            <w:tcW w:w="2268" w:type="dxa"/>
            <w:vAlign w:val="center"/>
          </w:tcPr>
          <w:p>
            <w:pPr>
              <w:pStyle w:val="13"/>
            </w:pPr>
            <w:r>
              <w:t>≥90%</w:t>
            </w:r>
          </w:p>
        </w:tc>
        <w:tc>
          <w:tcPr>
            <w:tcW w:w="1276" w:type="dxa"/>
            <w:vAlign w:val="center"/>
          </w:tcPr>
          <w:p>
            <w:pPr>
              <w:pStyle w:val="13"/>
            </w:pPr>
            <w:r>
              <w:t>租赁协议</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预算控制率</w:t>
            </w:r>
          </w:p>
        </w:tc>
        <w:tc>
          <w:tcPr>
            <w:tcW w:w="5386" w:type="dxa"/>
            <w:vAlign w:val="center"/>
          </w:tcPr>
          <w:p>
            <w:pPr>
              <w:pStyle w:val="13"/>
            </w:pPr>
            <w:r>
              <w:t>预算控制率</w:t>
            </w:r>
          </w:p>
        </w:tc>
        <w:tc>
          <w:tcPr>
            <w:tcW w:w="2268" w:type="dxa"/>
            <w:vAlign w:val="center"/>
          </w:tcPr>
          <w:p>
            <w:pPr>
              <w:pStyle w:val="13"/>
            </w:pPr>
            <w:r>
              <w:t>≤100%</w:t>
            </w:r>
          </w:p>
        </w:tc>
        <w:tc>
          <w:tcPr>
            <w:tcW w:w="1276" w:type="dxa"/>
            <w:vAlign w:val="center"/>
          </w:tcPr>
          <w:p>
            <w:pPr>
              <w:pStyle w:val="13"/>
            </w:pPr>
            <w:r>
              <w:t>根据实际支付金额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提供良好履职基础，服务社会发展能力</w:t>
            </w:r>
          </w:p>
        </w:tc>
        <w:tc>
          <w:tcPr>
            <w:tcW w:w="5386" w:type="dxa"/>
            <w:vAlign w:val="center"/>
          </w:tcPr>
          <w:p>
            <w:pPr>
              <w:pStyle w:val="13"/>
            </w:pPr>
            <w:r>
              <w:t>提供良好履职基础，服务社会发展能力</w:t>
            </w:r>
          </w:p>
        </w:tc>
        <w:tc>
          <w:tcPr>
            <w:tcW w:w="2268" w:type="dxa"/>
            <w:vAlign w:val="center"/>
          </w:tcPr>
          <w:p>
            <w:pPr>
              <w:pStyle w:val="13"/>
            </w:pPr>
            <w:r>
              <w:t>有所提升</w:t>
            </w:r>
          </w:p>
        </w:tc>
        <w:tc>
          <w:tcPr>
            <w:tcW w:w="1276" w:type="dxa"/>
            <w:vAlign w:val="center"/>
          </w:tcPr>
          <w:p>
            <w:pPr>
              <w:pStyle w:val="13"/>
            </w:pPr>
            <w:r>
              <w:t>根据市场实际情况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持续影响力</w:t>
            </w:r>
          </w:p>
        </w:tc>
        <w:tc>
          <w:tcPr>
            <w:tcW w:w="5386" w:type="dxa"/>
            <w:vAlign w:val="center"/>
          </w:tcPr>
          <w:p>
            <w:pPr>
              <w:pStyle w:val="13"/>
            </w:pPr>
            <w:r>
              <w:t>给商户提供一个良好的经营环境，为市场后续招商引资发展壮大提供硬件支持。</w:t>
            </w:r>
          </w:p>
        </w:tc>
        <w:tc>
          <w:tcPr>
            <w:tcW w:w="2268" w:type="dxa"/>
            <w:vAlign w:val="center"/>
          </w:tcPr>
          <w:p>
            <w:pPr>
              <w:pStyle w:val="13"/>
            </w:pPr>
            <w:r>
              <w:t>持续影响力提升</w:t>
            </w:r>
          </w:p>
          <w:p>
            <w:pPr>
              <w:pStyle w:val="13"/>
            </w:pPr>
          </w:p>
        </w:tc>
        <w:tc>
          <w:tcPr>
            <w:tcW w:w="1276" w:type="dxa"/>
            <w:vAlign w:val="center"/>
          </w:tcPr>
          <w:p>
            <w:pPr>
              <w:pStyle w:val="13"/>
            </w:pPr>
            <w:r>
              <w:t>根据市场实际情况</w:t>
            </w:r>
            <w:r>
              <w:tab/>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市场商户满意度</w:t>
            </w:r>
          </w:p>
        </w:tc>
        <w:tc>
          <w:tcPr>
            <w:tcW w:w="5386" w:type="dxa"/>
            <w:vAlign w:val="center"/>
          </w:tcPr>
          <w:p>
            <w:pPr>
              <w:pStyle w:val="13"/>
            </w:pPr>
            <w:r>
              <w:t>调查市场商户对该项目的满意度</w:t>
            </w:r>
          </w:p>
        </w:tc>
        <w:tc>
          <w:tcPr>
            <w:tcW w:w="2268" w:type="dxa"/>
            <w:vAlign w:val="center"/>
          </w:tcPr>
          <w:p>
            <w:pPr>
              <w:pStyle w:val="13"/>
            </w:pPr>
            <w:r>
              <w:t>≥80%</w:t>
            </w:r>
          </w:p>
        </w:tc>
        <w:tc>
          <w:tcPr>
            <w:tcW w:w="1276" w:type="dxa"/>
            <w:vAlign w:val="center"/>
          </w:tcPr>
          <w:p>
            <w:pPr>
              <w:pStyle w:val="13"/>
            </w:pPr>
            <w:r>
              <w:t>根据市场商户调查问卷</w:t>
            </w:r>
            <w:r>
              <w:tab/>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2、市场建设整治专项经费绩效目标表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13062825P00028410027X</w:t>
            </w:r>
          </w:p>
        </w:tc>
        <w:tc>
          <w:tcPr>
            <w:tcW w:w="2835" w:type="dxa"/>
            <w:vAlign w:val="center"/>
          </w:tcPr>
          <w:p>
            <w:pPr>
              <w:pStyle w:val="11"/>
            </w:pPr>
            <w:r>
              <w:t>项目名称</w:t>
            </w:r>
          </w:p>
        </w:tc>
        <w:tc>
          <w:tcPr>
            <w:tcW w:w="6095" w:type="dxa"/>
            <w:gridSpan w:val="3"/>
            <w:vAlign w:val="center"/>
          </w:tcPr>
          <w:p>
            <w:pPr>
              <w:pStyle w:val="13"/>
            </w:pPr>
            <w:r>
              <w:t>市场建设整治专项经费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用于市场日常管理。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val="en-US"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1.改善市场设施，消除安全隐患，做好市场日常保洁，提升市场整体形象。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预算控制率</w:t>
            </w:r>
          </w:p>
        </w:tc>
        <w:tc>
          <w:tcPr>
            <w:tcW w:w="5386" w:type="dxa"/>
            <w:vAlign w:val="center"/>
          </w:tcPr>
          <w:p>
            <w:pPr>
              <w:pStyle w:val="13"/>
            </w:pPr>
            <w:r>
              <w:t>实际支出金额占预算金额的比率</w:t>
            </w:r>
          </w:p>
        </w:tc>
        <w:tc>
          <w:tcPr>
            <w:tcW w:w="2268" w:type="dxa"/>
            <w:vAlign w:val="center"/>
          </w:tcPr>
          <w:p>
            <w:pPr>
              <w:pStyle w:val="13"/>
            </w:pPr>
            <w:r>
              <w:t>≤100%</w:t>
            </w:r>
          </w:p>
        </w:tc>
        <w:tc>
          <w:tcPr>
            <w:tcW w:w="1276" w:type="dxa"/>
            <w:vAlign w:val="center"/>
          </w:tcPr>
          <w:p>
            <w:pPr>
              <w:pStyle w:val="13"/>
            </w:pPr>
            <w:r>
              <w:t>根据实际支出测算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维修质量合格率</w:t>
            </w:r>
          </w:p>
        </w:tc>
        <w:tc>
          <w:tcPr>
            <w:tcW w:w="5386" w:type="dxa"/>
            <w:vAlign w:val="center"/>
          </w:tcPr>
          <w:p>
            <w:pPr>
              <w:pStyle w:val="13"/>
            </w:pPr>
            <w:r>
              <w:t>市场内设施维修质量合格率占需维修数</w:t>
            </w:r>
          </w:p>
        </w:tc>
        <w:tc>
          <w:tcPr>
            <w:tcW w:w="2268" w:type="dxa"/>
            <w:vAlign w:val="center"/>
          </w:tcPr>
          <w:p>
            <w:pPr>
              <w:pStyle w:val="13"/>
            </w:pPr>
            <w:r>
              <w:t>≥90%</w:t>
            </w:r>
          </w:p>
        </w:tc>
        <w:tc>
          <w:tcPr>
            <w:tcW w:w="1276" w:type="dxa"/>
            <w:vAlign w:val="center"/>
          </w:tcPr>
          <w:p>
            <w:pPr>
              <w:pStyle w:val="13"/>
            </w:pPr>
            <w:r>
              <w:t>根据项目实施验收情况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维修及时率</w:t>
            </w:r>
          </w:p>
        </w:tc>
        <w:tc>
          <w:tcPr>
            <w:tcW w:w="5386" w:type="dxa"/>
            <w:vAlign w:val="center"/>
          </w:tcPr>
          <w:p>
            <w:pPr>
              <w:pStyle w:val="13"/>
            </w:pPr>
            <w:r>
              <w:t>对损坏设施的修复及时率</w:t>
            </w:r>
          </w:p>
        </w:tc>
        <w:tc>
          <w:tcPr>
            <w:tcW w:w="2268" w:type="dxa"/>
            <w:vAlign w:val="center"/>
          </w:tcPr>
          <w:p>
            <w:pPr>
              <w:pStyle w:val="13"/>
            </w:pPr>
            <w:r>
              <w:t>≥90%</w:t>
            </w:r>
          </w:p>
        </w:tc>
        <w:tc>
          <w:tcPr>
            <w:tcW w:w="1276" w:type="dxa"/>
            <w:vAlign w:val="center"/>
          </w:tcPr>
          <w:p>
            <w:pPr>
              <w:pStyle w:val="13"/>
            </w:pPr>
            <w:r>
              <w:t>根据维修时效确定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维修率</w:t>
            </w:r>
          </w:p>
        </w:tc>
        <w:tc>
          <w:tcPr>
            <w:tcW w:w="5386" w:type="dxa"/>
            <w:vAlign w:val="center"/>
          </w:tcPr>
          <w:p>
            <w:pPr>
              <w:pStyle w:val="13"/>
            </w:pPr>
            <w:r>
              <w:t>市场内设施维修数量占需维修数量的百分比</w:t>
            </w:r>
          </w:p>
        </w:tc>
        <w:tc>
          <w:tcPr>
            <w:tcW w:w="2268" w:type="dxa"/>
            <w:vAlign w:val="center"/>
          </w:tcPr>
          <w:p>
            <w:pPr>
              <w:pStyle w:val="13"/>
            </w:pPr>
            <w:r>
              <w:t>≥90%</w:t>
            </w:r>
          </w:p>
        </w:tc>
        <w:tc>
          <w:tcPr>
            <w:tcW w:w="1276" w:type="dxa"/>
            <w:vAlign w:val="center"/>
          </w:tcPr>
          <w:p>
            <w:pPr>
              <w:pStyle w:val="13"/>
            </w:pPr>
            <w:r>
              <w:t>根据项目实施验收情况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市场实力</w:t>
            </w:r>
          </w:p>
        </w:tc>
        <w:tc>
          <w:tcPr>
            <w:tcW w:w="5386" w:type="dxa"/>
            <w:vAlign w:val="center"/>
          </w:tcPr>
          <w:p>
            <w:pPr>
              <w:pStyle w:val="13"/>
            </w:pPr>
            <w:r>
              <w:t>市容市貌整洁率</w:t>
            </w:r>
          </w:p>
        </w:tc>
        <w:tc>
          <w:tcPr>
            <w:tcW w:w="2268" w:type="dxa"/>
            <w:vAlign w:val="center"/>
          </w:tcPr>
          <w:p>
            <w:pPr>
              <w:pStyle w:val="13"/>
            </w:pPr>
            <w:r>
              <w:t>≥90%</w:t>
            </w:r>
          </w:p>
        </w:tc>
        <w:tc>
          <w:tcPr>
            <w:tcW w:w="1276" w:type="dxa"/>
            <w:vAlign w:val="center"/>
          </w:tcPr>
          <w:p>
            <w:pPr>
              <w:pStyle w:val="13"/>
            </w:pPr>
            <w:r>
              <w:t>根据市场实际情况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市场商户满意度</w:t>
            </w:r>
          </w:p>
        </w:tc>
        <w:tc>
          <w:tcPr>
            <w:tcW w:w="5386" w:type="dxa"/>
            <w:vAlign w:val="center"/>
          </w:tcPr>
          <w:p>
            <w:pPr>
              <w:pStyle w:val="13"/>
            </w:pPr>
            <w:r>
              <w:t>调查市场商户对该项目的满意度</w:t>
            </w:r>
          </w:p>
        </w:tc>
        <w:tc>
          <w:tcPr>
            <w:tcW w:w="2268" w:type="dxa"/>
            <w:vAlign w:val="center"/>
          </w:tcPr>
          <w:p>
            <w:pPr>
              <w:pStyle w:val="13"/>
            </w:pPr>
            <w:r>
              <w:t>≥90%</w:t>
            </w:r>
          </w:p>
        </w:tc>
        <w:tc>
          <w:tcPr>
            <w:tcW w:w="1276" w:type="dxa"/>
            <w:vAlign w:val="center"/>
          </w:tcPr>
          <w:p>
            <w:pPr>
              <w:pStyle w:val="13"/>
            </w:pPr>
            <w:r>
              <w:t>根据市场商户调查表</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414003高阳县市场建设服务中心</w:t>
            </w:r>
          </w:p>
        </w:tc>
        <w:tc>
          <w:tcPr>
            <w:tcW w:w="7712"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高阳县市场建设服务中心上年末固定资产金额为82.10万元（详见下表）。本年度拟购置固定资产总额为</w:t>
      </w:r>
      <w:r>
        <w:rPr>
          <w:rFonts w:hint="eastAsia" w:eastAsia="方正仿宋_GBK" w:cs="Times New Roman"/>
          <w:b w:val="0"/>
          <w:color w:val="000000"/>
          <w:sz w:val="28"/>
          <w:lang w:val="en-US" w:eastAsia="zh-CN"/>
        </w:rPr>
        <w:t>0.59</w:t>
      </w:r>
      <w:r>
        <w:rPr>
          <w:rFonts w:ascii="Times New Roman" w:hAnsi="Times New Roman" w:eastAsia="方正仿宋_GBK" w:cs="Times New Roman"/>
          <w:b w:val="0"/>
          <w:color w:val="000000"/>
          <w:sz w:val="28"/>
        </w:rPr>
        <w:t>万元</w:t>
      </w:r>
      <w:r>
        <w:rPr>
          <w:rFonts w:hint="eastAsia" w:eastAsia="方正仿宋_GBK" w:cs="Times New Roman"/>
          <w:b w:val="0"/>
          <w:color w:val="000000"/>
          <w:sz w:val="28"/>
          <w:lang w:eastAsia="zh-CN"/>
        </w:rPr>
        <w:t>，</w:t>
      </w:r>
      <w:bookmarkStart w:id="1" w:name="_GoBack"/>
      <w:bookmarkEnd w:id="1"/>
      <w:r>
        <w:rPr>
          <w:rFonts w:hint="eastAsia" w:eastAsia="方正仿宋_GBK" w:cs="Times New Roman"/>
          <w:b w:val="0"/>
          <w:color w:val="000000"/>
          <w:sz w:val="28"/>
          <w:lang w:val="en-US" w:eastAsia="zh-CN"/>
        </w:rPr>
        <w:t>购置项目未达到政府采购标准，不在政府采购预算体现。</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414003高阳县市场建设服务中心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82.10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r>
              <w:t>1</w:t>
            </w:r>
          </w:p>
        </w:tc>
        <w:tc>
          <w:tcPr>
            <w:tcW w:w="2835" w:type="dxa"/>
            <w:vAlign w:val="center"/>
          </w:tcPr>
          <w:p>
            <w:pPr>
              <w:pStyle w:val="12"/>
            </w:pPr>
            <w:r>
              <w:t>29.57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144</w:t>
            </w:r>
          </w:p>
        </w:tc>
        <w:tc>
          <w:tcPr>
            <w:tcW w:w="2835" w:type="dxa"/>
            <w:vAlign w:val="center"/>
          </w:tcPr>
          <w:p>
            <w:pPr>
              <w:pStyle w:val="12"/>
            </w:pPr>
            <w:r>
              <w:t>52.53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443FC"/>
    <w:rsid w:val="13E23DDF"/>
    <w:rsid w:val="14C8795A"/>
    <w:rsid w:val="210354D7"/>
    <w:rsid w:val="2186290E"/>
    <w:rsid w:val="2B1F3934"/>
    <w:rsid w:val="334B407A"/>
    <w:rsid w:val="3980244B"/>
    <w:rsid w:val="3C845D31"/>
    <w:rsid w:val="4070503F"/>
    <w:rsid w:val="449732B4"/>
    <w:rsid w:val="478F47E3"/>
    <w:rsid w:val="49837F59"/>
    <w:rsid w:val="585137B8"/>
    <w:rsid w:val="62F33D14"/>
    <w:rsid w:val="63EA4C6E"/>
    <w:rsid w:val="69652E32"/>
    <w:rsid w:val="758C1649"/>
    <w:rsid w:val="7BBA1A3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5280</Words>
  <Characters>6228</Characters>
  <TotalTime>0</TotalTime>
  <ScaleCrop>false</ScaleCrop>
  <LinksUpToDate>false</LinksUpToDate>
  <CharactersWithSpaces>6376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2025-02-05T11:28:00Z</dcterms:created>
  <dc:creator>Administrator</dc:creator>
  <cp:lastModifiedBy>周青18233386669</cp:lastModifiedBy>
  <cp:lastPrinted>2025-02-06T01:55:00Z</cp:lastPrinted>
  <dcterms:modified xsi:type="dcterms:W3CDTF">2025-02-12T01:10:57Z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FA38C0BAC95941B79B63FEFC2DC71868</vt:lpwstr>
  </property>
</Properties>
</file>