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kern w:val="0"/>
          <w:sz w:val="44"/>
          <w:szCs w:val="44"/>
          <w:lang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方正小标宋简体" w:hAnsi="方正小标宋简体" w:eastAsia="方正小标宋简体" w:cs="方正小标宋简体"/>
          <w:kern w:val="0"/>
          <w:sz w:val="44"/>
          <w:szCs w:val="44"/>
          <w:lang w:eastAsia="zh-CN"/>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方正小标宋简体" w:hAnsi="方正小标宋简体" w:eastAsia="方正小标宋简体" w:cs="方正小标宋简体"/>
          <w:kern w:val="0"/>
          <w:sz w:val="44"/>
          <w:szCs w:val="44"/>
          <w:lang w:val="en-US" w:eastAsia="zh-CN"/>
        </w:rPr>
      </w:pPr>
      <w:r>
        <w:rPr>
          <w:rFonts w:hint="eastAsia" w:ascii="方正小标宋简体" w:hAnsi="方正小标宋简体" w:eastAsia="方正小标宋简体" w:cs="方正小标宋简体"/>
          <w:kern w:val="0"/>
          <w:sz w:val="44"/>
          <w:szCs w:val="44"/>
          <w:lang w:eastAsia="zh-CN"/>
        </w:rPr>
        <w:t>高阳县城市管理综合行政执法局</w:t>
      </w:r>
      <w:r>
        <w:rPr>
          <w:rFonts w:hint="eastAsia" w:ascii="方正小标宋简体" w:hAnsi="方正小标宋简体" w:eastAsia="方正小标宋简体" w:cs="方正小标宋简体"/>
          <w:kern w:val="0"/>
          <w:sz w:val="44"/>
          <w:szCs w:val="44"/>
          <w:lang w:val="en-US" w:eastAsia="zh-CN"/>
        </w:rPr>
        <w:t>2021年</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kern w:val="0"/>
          <w:sz w:val="44"/>
          <w:szCs w:val="44"/>
        </w:rPr>
        <w:t>部门</w:t>
      </w:r>
      <w:r>
        <w:rPr>
          <w:rFonts w:hint="eastAsia" w:ascii="方正小标宋简体" w:hAnsi="方正小标宋简体" w:eastAsia="方正小标宋简体" w:cs="方正小标宋简体"/>
          <w:kern w:val="0"/>
          <w:sz w:val="44"/>
          <w:szCs w:val="44"/>
          <w:lang w:eastAsia="zh-CN"/>
        </w:rPr>
        <w:t>预算项目</w:t>
      </w:r>
      <w:r>
        <w:rPr>
          <w:rFonts w:hint="eastAsia" w:ascii="方正小标宋简体" w:hAnsi="方正小标宋简体" w:eastAsia="方正小标宋简体" w:cs="方正小标宋简体"/>
          <w:sz w:val="44"/>
          <w:szCs w:val="44"/>
        </w:rPr>
        <w:t>绩效自评工作报告</w:t>
      </w:r>
    </w:p>
    <w:p>
      <w:pPr>
        <w:snapToGrid w:val="0"/>
        <w:spacing w:line="300" w:lineRule="exact"/>
        <w:rPr>
          <w:rFonts w:ascii="黑体" w:hAnsi="宋体" w:eastAsia="黑体"/>
          <w:sz w:val="44"/>
          <w:szCs w:val="44"/>
        </w:rPr>
      </w:pPr>
    </w:p>
    <w:p>
      <w:pPr>
        <w:snapToGrid w:val="0"/>
        <w:spacing w:line="240" w:lineRule="auto"/>
        <w:jc w:val="center"/>
        <w:rPr>
          <w:rFonts w:hint="eastAsia" w:ascii="黑体" w:hAnsi="宋体" w:eastAsia="黑体"/>
          <w:sz w:val="44"/>
          <w:szCs w:val="44"/>
          <w:lang w:val="en-US" w:eastAsia="zh-CN"/>
        </w:rPr>
      </w:pPr>
    </w:p>
    <w:p>
      <w:pPr>
        <w:snapToGrid w:val="0"/>
        <w:spacing w:line="240" w:lineRule="auto"/>
        <w:jc w:val="center"/>
        <w:rPr>
          <w:rFonts w:hint="eastAsia" w:ascii="黑体" w:hAnsi="宋体" w:eastAsia="黑体"/>
          <w:sz w:val="44"/>
          <w:szCs w:val="44"/>
          <w:lang w:val="en-US" w:eastAsia="zh-CN"/>
        </w:rPr>
      </w:pPr>
    </w:p>
    <w:p>
      <w:pPr>
        <w:snapToGrid w:val="0"/>
        <w:spacing w:line="240" w:lineRule="auto"/>
        <w:jc w:val="center"/>
        <w:rPr>
          <w:rFonts w:hint="eastAsia" w:ascii="黑体" w:hAnsi="宋体" w:eastAsia="黑体"/>
          <w:sz w:val="44"/>
          <w:szCs w:val="44"/>
          <w:lang w:val="en-US" w:eastAsia="zh-CN"/>
        </w:rPr>
      </w:pPr>
    </w:p>
    <w:p>
      <w:pPr>
        <w:snapToGrid w:val="0"/>
        <w:spacing w:line="240" w:lineRule="auto"/>
        <w:jc w:val="center"/>
        <w:rPr>
          <w:rFonts w:hint="eastAsia" w:ascii="黑体" w:hAnsi="宋体" w:eastAsia="黑体"/>
          <w:sz w:val="44"/>
          <w:szCs w:val="44"/>
          <w:lang w:val="en-US" w:eastAsia="zh-CN"/>
        </w:rPr>
      </w:pPr>
    </w:p>
    <w:p>
      <w:pPr>
        <w:snapToGrid w:val="0"/>
        <w:spacing w:line="240" w:lineRule="auto"/>
        <w:jc w:val="center"/>
        <w:rPr>
          <w:rFonts w:hint="eastAsia" w:ascii="黑体" w:hAnsi="宋体" w:eastAsia="黑体"/>
          <w:sz w:val="44"/>
          <w:szCs w:val="44"/>
          <w:lang w:val="en-US" w:eastAsia="zh-CN"/>
        </w:rPr>
      </w:pPr>
    </w:p>
    <w:p>
      <w:pPr>
        <w:snapToGrid w:val="0"/>
        <w:spacing w:line="240" w:lineRule="auto"/>
        <w:jc w:val="center"/>
        <w:rPr>
          <w:rFonts w:hint="eastAsia" w:ascii="黑体" w:hAnsi="宋体" w:eastAsia="黑体"/>
          <w:sz w:val="44"/>
          <w:szCs w:val="44"/>
          <w:lang w:val="en-US" w:eastAsia="zh-CN"/>
        </w:rPr>
      </w:pPr>
    </w:p>
    <w:p>
      <w:pPr>
        <w:snapToGrid w:val="0"/>
        <w:spacing w:line="240" w:lineRule="auto"/>
        <w:jc w:val="center"/>
        <w:rPr>
          <w:rFonts w:hint="eastAsia" w:ascii="黑体" w:hAnsi="宋体" w:eastAsia="黑体"/>
          <w:sz w:val="44"/>
          <w:szCs w:val="44"/>
          <w:lang w:val="en-US" w:eastAsia="zh-CN"/>
        </w:rPr>
      </w:pPr>
    </w:p>
    <w:p>
      <w:pPr>
        <w:snapToGrid w:val="0"/>
        <w:spacing w:line="240" w:lineRule="auto"/>
        <w:jc w:val="center"/>
        <w:rPr>
          <w:rFonts w:hint="eastAsia" w:ascii="黑体" w:hAnsi="宋体" w:eastAsia="黑体"/>
          <w:sz w:val="44"/>
          <w:szCs w:val="44"/>
          <w:lang w:val="en-US" w:eastAsia="zh-CN"/>
        </w:rPr>
      </w:pPr>
    </w:p>
    <w:p>
      <w:pPr>
        <w:snapToGrid w:val="0"/>
        <w:spacing w:line="240" w:lineRule="auto"/>
        <w:jc w:val="center"/>
        <w:rPr>
          <w:rFonts w:hint="eastAsia" w:ascii="黑体" w:hAnsi="宋体" w:eastAsia="黑体"/>
          <w:sz w:val="44"/>
          <w:szCs w:val="44"/>
          <w:lang w:val="en-US" w:eastAsia="zh-CN"/>
        </w:rPr>
      </w:pPr>
    </w:p>
    <w:p>
      <w:pPr>
        <w:snapToGrid w:val="0"/>
        <w:spacing w:line="240" w:lineRule="auto"/>
        <w:jc w:val="center"/>
        <w:rPr>
          <w:rFonts w:hint="eastAsia" w:ascii="黑体" w:hAnsi="宋体" w:eastAsia="黑体"/>
          <w:sz w:val="44"/>
          <w:szCs w:val="44"/>
          <w:lang w:val="en-US" w:eastAsia="zh-CN"/>
        </w:rPr>
      </w:pPr>
    </w:p>
    <w:p>
      <w:pPr>
        <w:snapToGrid w:val="0"/>
        <w:spacing w:line="240" w:lineRule="auto"/>
        <w:jc w:val="center"/>
        <w:rPr>
          <w:rFonts w:hint="eastAsia" w:ascii="黑体" w:hAnsi="宋体" w:eastAsia="黑体"/>
          <w:sz w:val="44"/>
          <w:szCs w:val="44"/>
          <w:lang w:val="en-US" w:eastAsia="zh-CN"/>
        </w:rPr>
      </w:pPr>
    </w:p>
    <w:p>
      <w:pPr>
        <w:snapToGrid w:val="0"/>
        <w:spacing w:line="240" w:lineRule="auto"/>
        <w:jc w:val="center"/>
        <w:rPr>
          <w:rFonts w:hint="default" w:ascii="黑体" w:hAnsi="宋体" w:eastAsia="黑体"/>
          <w:sz w:val="44"/>
          <w:szCs w:val="44"/>
          <w:lang w:val="en-US" w:eastAsia="zh-CN"/>
        </w:rPr>
        <w:sectPr>
          <w:pgSz w:w="11906" w:h="16838"/>
          <w:pgMar w:top="2041" w:right="1304" w:bottom="1701" w:left="1531" w:header="851" w:footer="992" w:gutter="0"/>
          <w:cols w:space="425" w:num="1"/>
          <w:docGrid w:type="lines" w:linePitch="312" w:charSpace="0"/>
        </w:sectPr>
      </w:pPr>
      <w:r>
        <w:rPr>
          <w:rFonts w:hint="eastAsia" w:ascii="黑体" w:hAnsi="宋体" w:eastAsia="黑体"/>
          <w:sz w:val="44"/>
          <w:szCs w:val="44"/>
          <w:lang w:val="en-US" w:eastAsia="zh-CN"/>
        </w:rPr>
        <w:t>2022年3月</w:t>
      </w:r>
    </w:p>
    <w:p>
      <w:pPr>
        <w:snapToGrid w:val="0"/>
        <w:spacing w:line="300" w:lineRule="exact"/>
        <w:rPr>
          <w:rFonts w:ascii="黑体" w:hAnsi="宋体" w:eastAsia="黑体"/>
          <w:sz w:val="44"/>
          <w:szCs w:val="44"/>
        </w:rPr>
      </w:pP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kern w:val="0"/>
          <w:sz w:val="44"/>
          <w:szCs w:val="44"/>
          <w:lang w:eastAsia="zh-CN"/>
        </w:rPr>
      </w:pPr>
      <w:r>
        <w:rPr>
          <w:rFonts w:hint="eastAsia" w:ascii="方正小标宋简体" w:hAnsi="方正小标宋简体" w:eastAsia="方正小标宋简体" w:cs="方正小标宋简体"/>
          <w:kern w:val="0"/>
          <w:sz w:val="44"/>
          <w:szCs w:val="44"/>
          <w:lang w:eastAsia="zh-CN"/>
        </w:rPr>
        <w:t>高阳县城市管理综合行政执法局</w:t>
      </w: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kern w:val="0"/>
          <w:sz w:val="44"/>
          <w:szCs w:val="44"/>
          <w:lang w:val="en-US" w:eastAsia="zh-CN"/>
        </w:rPr>
        <w:t>2021年</w:t>
      </w:r>
      <w:r>
        <w:rPr>
          <w:rFonts w:hint="eastAsia" w:ascii="方正小标宋简体" w:hAnsi="方正小标宋简体" w:eastAsia="方正小标宋简体" w:cs="方正小标宋简体"/>
          <w:kern w:val="0"/>
          <w:sz w:val="44"/>
          <w:szCs w:val="44"/>
        </w:rPr>
        <w:t>部门</w:t>
      </w:r>
      <w:r>
        <w:rPr>
          <w:rFonts w:hint="eastAsia" w:ascii="方正小标宋简体" w:hAnsi="方正小标宋简体" w:eastAsia="方正小标宋简体" w:cs="方正小标宋简体"/>
          <w:kern w:val="0"/>
          <w:sz w:val="44"/>
          <w:szCs w:val="44"/>
          <w:lang w:eastAsia="zh-CN"/>
        </w:rPr>
        <w:t>预算项目</w:t>
      </w:r>
      <w:r>
        <w:rPr>
          <w:rFonts w:hint="eastAsia" w:ascii="方正小标宋简体" w:hAnsi="方正小标宋简体" w:eastAsia="方正小标宋简体" w:cs="方正小标宋简体"/>
          <w:sz w:val="44"/>
          <w:szCs w:val="44"/>
        </w:rPr>
        <w:t>绩效自评工作报告</w:t>
      </w:r>
    </w:p>
    <w:p>
      <w:pPr>
        <w:snapToGrid w:val="0"/>
        <w:spacing w:line="400" w:lineRule="exact"/>
        <w:rPr>
          <w:rFonts w:hint="eastAsia" w:ascii="仿宋" w:hAnsi="仿宋" w:eastAsia="仿宋" w:cs="仿宋"/>
          <w:b/>
          <w:sz w:val="32"/>
          <w:szCs w:val="32"/>
        </w:rPr>
      </w:pP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通过开展绩效评价，促进部门</w:t>
      </w:r>
      <w:r>
        <w:rPr>
          <w:rFonts w:hint="eastAsia" w:ascii="仿宋" w:hAnsi="仿宋" w:eastAsia="仿宋" w:cs="仿宋"/>
          <w:sz w:val="32"/>
          <w:szCs w:val="32"/>
          <w:lang w:eastAsia="zh-CN"/>
        </w:rPr>
        <w:t>、</w:t>
      </w:r>
      <w:r>
        <w:rPr>
          <w:rFonts w:hint="eastAsia" w:ascii="仿宋" w:hAnsi="仿宋" w:eastAsia="仿宋" w:cs="仿宋"/>
          <w:sz w:val="32"/>
          <w:szCs w:val="32"/>
        </w:rPr>
        <w:t>提升预算绩效管理工作水平，强化部门支出责任，规范资金管理行为，提高财政资金使用效益，保障部门更好地履行职责，使财政资金通过部门行使其职能，服务社会、群众变得更有效益和效率</w:t>
      </w:r>
      <w:r>
        <w:rPr>
          <w:rFonts w:hint="eastAsia" w:ascii="仿宋" w:hAnsi="仿宋" w:eastAsia="仿宋" w:cs="仿宋"/>
          <w:sz w:val="32"/>
          <w:szCs w:val="32"/>
          <w:lang w:eastAsia="zh-CN"/>
        </w:rPr>
        <w:t>。</w:t>
      </w:r>
      <w:r>
        <w:rPr>
          <w:rFonts w:hint="eastAsia" w:ascii="仿宋" w:hAnsi="仿宋" w:eastAsia="仿宋" w:cs="仿宋"/>
          <w:sz w:val="32"/>
          <w:szCs w:val="32"/>
        </w:rPr>
        <w:t>根据高阳县财政局《关于做好20</w:t>
      </w:r>
      <w:r>
        <w:rPr>
          <w:rFonts w:hint="eastAsia" w:ascii="仿宋" w:hAnsi="仿宋" w:eastAsia="仿宋" w:cs="仿宋"/>
          <w:sz w:val="32"/>
          <w:szCs w:val="32"/>
          <w:lang w:val="en-US" w:eastAsia="zh-CN"/>
        </w:rPr>
        <w:t>22</w:t>
      </w:r>
      <w:r>
        <w:rPr>
          <w:rFonts w:hint="eastAsia" w:ascii="仿宋" w:hAnsi="仿宋" w:eastAsia="仿宋" w:cs="仿宋"/>
          <w:sz w:val="32"/>
          <w:szCs w:val="32"/>
        </w:rPr>
        <w:t>年度县级预算项目绩效自评工作的通知》</w:t>
      </w:r>
      <w:r>
        <w:rPr>
          <w:rFonts w:hint="eastAsia" w:ascii="仿宋" w:hAnsi="仿宋" w:eastAsia="仿宋" w:cs="仿宋"/>
          <w:sz w:val="32"/>
          <w:szCs w:val="32"/>
          <w:lang w:eastAsia="zh-CN"/>
        </w:rPr>
        <w:t>有关</w:t>
      </w:r>
      <w:r>
        <w:rPr>
          <w:rFonts w:hint="eastAsia" w:ascii="仿宋" w:hAnsi="仿宋" w:eastAsia="仿宋" w:cs="仿宋"/>
          <w:sz w:val="32"/>
          <w:szCs w:val="32"/>
        </w:rPr>
        <w:t>要求，</w:t>
      </w:r>
      <w:r>
        <w:rPr>
          <w:rFonts w:hint="eastAsia" w:ascii="仿宋" w:hAnsi="仿宋" w:eastAsia="仿宋" w:cs="仿宋"/>
          <w:sz w:val="32"/>
          <w:szCs w:val="32"/>
          <w:lang w:eastAsia="zh-CN"/>
        </w:rPr>
        <w:t>高阳县城市管理综合行政执法局迅速组织开展了本部门预算项目的绩效自评工作，</w:t>
      </w:r>
      <w:r>
        <w:rPr>
          <w:rFonts w:hint="eastAsia" w:ascii="仿宋" w:hAnsi="仿宋" w:eastAsia="仿宋" w:cs="仿宋"/>
          <w:sz w:val="32"/>
          <w:szCs w:val="32"/>
        </w:rPr>
        <w:t>经自评工作组评价，部门预算项目综合得分</w:t>
      </w:r>
      <w:r>
        <w:rPr>
          <w:rFonts w:hint="eastAsia" w:ascii="仿宋" w:hAnsi="仿宋" w:eastAsia="仿宋" w:cs="仿宋"/>
          <w:sz w:val="32"/>
          <w:szCs w:val="32"/>
          <w:highlight w:val="none"/>
          <w:lang w:val="en-US" w:eastAsia="zh-CN"/>
        </w:rPr>
        <w:t>91.66分</w:t>
      </w:r>
      <w:r>
        <w:rPr>
          <w:rFonts w:hint="eastAsia" w:ascii="仿宋" w:hAnsi="仿宋" w:eastAsia="仿宋" w:cs="仿宋"/>
          <w:sz w:val="32"/>
          <w:szCs w:val="32"/>
        </w:rPr>
        <w:t>，项目绩效评价等级为</w:t>
      </w:r>
      <w:r>
        <w:rPr>
          <w:rFonts w:hint="eastAsia" w:ascii="仿宋" w:hAnsi="仿宋" w:eastAsia="仿宋" w:cs="仿宋"/>
          <w:sz w:val="32"/>
          <w:szCs w:val="32"/>
          <w:lang w:eastAsia="zh-CN"/>
        </w:rPr>
        <w:t>优秀。现将绩效自评结果报告如下：</w:t>
      </w:r>
    </w:p>
    <w:p>
      <w:pPr>
        <w:keepNext w:val="0"/>
        <w:keepLines w:val="0"/>
        <w:pageBreakBefore w:val="0"/>
        <w:widowControl w:val="0"/>
        <w:kinsoku/>
        <w:wordWrap/>
        <w:overflowPunct/>
        <w:topLinePunct w:val="0"/>
        <w:autoSpaceDE/>
        <w:autoSpaceDN/>
        <w:bidi w:val="0"/>
        <w:adjustRightInd/>
        <w:snapToGrid w:val="0"/>
        <w:spacing w:before="120" w:after="120"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一、绩效自评工作组织开展情况</w:t>
      </w:r>
    </w:p>
    <w:p>
      <w:pPr>
        <w:keepNext w:val="0"/>
        <w:keepLines w:val="0"/>
        <w:pageBreakBefore w:val="0"/>
        <w:widowControl w:val="0"/>
        <w:kinsoku/>
        <w:wordWrap/>
        <w:overflowPunct/>
        <w:topLinePunct w:val="0"/>
        <w:autoSpaceDE/>
        <w:autoSpaceDN/>
        <w:bidi w:val="0"/>
        <w:adjustRightInd/>
        <w:snapToGrid w:val="0"/>
        <w:spacing w:before="120" w:after="240"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（一）绩效自评组织情况</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根据高阳县财政局《关于做好20</w:t>
      </w:r>
      <w:r>
        <w:rPr>
          <w:rFonts w:hint="eastAsia" w:ascii="仿宋" w:hAnsi="仿宋" w:eastAsia="仿宋" w:cs="仿宋"/>
          <w:sz w:val="32"/>
          <w:szCs w:val="32"/>
          <w:lang w:val="en-US" w:eastAsia="zh-CN"/>
        </w:rPr>
        <w:t>22</w:t>
      </w:r>
      <w:r>
        <w:rPr>
          <w:rFonts w:hint="eastAsia" w:ascii="仿宋" w:hAnsi="仿宋" w:eastAsia="仿宋" w:cs="仿宋"/>
          <w:sz w:val="32"/>
          <w:szCs w:val="32"/>
        </w:rPr>
        <w:t>年度县级预算项目绩效自评工作的通知》</w:t>
      </w:r>
      <w:r>
        <w:rPr>
          <w:rFonts w:hint="eastAsia" w:ascii="仿宋" w:hAnsi="仿宋" w:eastAsia="仿宋" w:cs="仿宋"/>
          <w:sz w:val="32"/>
          <w:szCs w:val="32"/>
          <w:lang w:eastAsia="zh-CN"/>
        </w:rPr>
        <w:t>有关</w:t>
      </w:r>
      <w:r>
        <w:rPr>
          <w:rFonts w:hint="eastAsia" w:ascii="仿宋" w:hAnsi="仿宋" w:eastAsia="仿宋" w:cs="仿宋"/>
          <w:sz w:val="32"/>
          <w:szCs w:val="32"/>
        </w:rPr>
        <w:t>要求，</w:t>
      </w:r>
      <w:r>
        <w:rPr>
          <w:rFonts w:hint="eastAsia" w:ascii="仿宋" w:hAnsi="仿宋" w:eastAsia="仿宋" w:cs="仿宋"/>
          <w:sz w:val="32"/>
          <w:szCs w:val="32"/>
          <w:lang w:eastAsia="zh-CN"/>
        </w:rPr>
        <w:t>组织开展本部门预算项目绩效自评工作。高阳县城市管理综合行政执法局迅速</w:t>
      </w:r>
      <w:r>
        <w:rPr>
          <w:rFonts w:hint="eastAsia" w:ascii="仿宋" w:hAnsi="仿宋" w:eastAsia="仿宋" w:cs="仿宋"/>
          <w:sz w:val="32"/>
          <w:szCs w:val="32"/>
        </w:rPr>
        <w:t>成立绩效自评工作组，由</w:t>
      </w:r>
      <w:r>
        <w:rPr>
          <w:rFonts w:hint="eastAsia" w:ascii="仿宋" w:hAnsi="仿宋" w:eastAsia="仿宋" w:cs="仿宋"/>
          <w:sz w:val="32"/>
          <w:szCs w:val="32"/>
          <w:lang w:eastAsia="zh-CN"/>
        </w:rPr>
        <w:t>财务主</w:t>
      </w:r>
      <w:r>
        <w:rPr>
          <w:rFonts w:hint="eastAsia" w:ascii="仿宋" w:hAnsi="仿宋" w:eastAsia="仿宋" w:cs="仿宋"/>
          <w:sz w:val="32"/>
          <w:szCs w:val="32"/>
        </w:rPr>
        <w:t>管领导任组长，下设办公室，成员</w:t>
      </w:r>
      <w:r>
        <w:rPr>
          <w:rFonts w:hint="eastAsia" w:ascii="仿宋" w:hAnsi="仿宋" w:eastAsia="仿宋" w:cs="仿宋"/>
          <w:sz w:val="32"/>
          <w:szCs w:val="32"/>
          <w:lang w:eastAsia="zh-CN"/>
        </w:rPr>
        <w:t>主要包括</w:t>
      </w:r>
      <w:r>
        <w:rPr>
          <w:rFonts w:hint="eastAsia" w:ascii="仿宋" w:hAnsi="仿宋" w:eastAsia="仿宋" w:cs="仿宋"/>
          <w:sz w:val="32"/>
          <w:szCs w:val="32"/>
        </w:rPr>
        <w:t>各项目负责人及财务</w:t>
      </w:r>
      <w:r>
        <w:rPr>
          <w:rFonts w:hint="eastAsia" w:ascii="仿宋" w:hAnsi="仿宋" w:eastAsia="仿宋" w:cs="仿宋"/>
          <w:sz w:val="32"/>
          <w:szCs w:val="32"/>
          <w:lang w:eastAsia="zh-CN"/>
        </w:rPr>
        <w:t>室相关</w:t>
      </w:r>
      <w:r>
        <w:rPr>
          <w:rFonts w:hint="eastAsia" w:ascii="仿宋" w:hAnsi="仿宋" w:eastAsia="仿宋" w:cs="仿宋"/>
          <w:sz w:val="32"/>
          <w:szCs w:val="32"/>
        </w:rPr>
        <w:t>人员，办公室设在执法局三楼。工作组通过制定方案、实际调研等收集</w:t>
      </w:r>
      <w:r>
        <w:rPr>
          <w:rFonts w:hint="eastAsia" w:ascii="仿宋" w:hAnsi="仿宋" w:eastAsia="仿宋" w:cs="仿宋"/>
          <w:sz w:val="32"/>
          <w:szCs w:val="32"/>
          <w:lang w:eastAsia="zh-CN"/>
        </w:rPr>
        <w:t>项目</w:t>
      </w:r>
      <w:r>
        <w:rPr>
          <w:rFonts w:hint="eastAsia" w:ascii="仿宋" w:hAnsi="仿宋" w:eastAsia="仿宋" w:cs="仿宋"/>
          <w:sz w:val="32"/>
          <w:szCs w:val="32"/>
        </w:rPr>
        <w:t>绩效信息对20</w:t>
      </w:r>
      <w:r>
        <w:rPr>
          <w:rFonts w:hint="eastAsia" w:ascii="仿宋" w:hAnsi="仿宋" w:eastAsia="仿宋" w:cs="仿宋"/>
          <w:sz w:val="32"/>
          <w:szCs w:val="32"/>
          <w:lang w:val="en-US" w:eastAsia="zh-CN"/>
        </w:rPr>
        <w:t>21</w:t>
      </w:r>
      <w:r>
        <w:rPr>
          <w:rFonts w:hint="eastAsia" w:ascii="仿宋" w:hAnsi="仿宋" w:eastAsia="仿宋" w:cs="仿宋"/>
          <w:sz w:val="32"/>
          <w:szCs w:val="32"/>
        </w:rPr>
        <w:t>年度预算项目</w:t>
      </w:r>
      <w:r>
        <w:rPr>
          <w:rFonts w:hint="eastAsia" w:ascii="仿宋" w:hAnsi="仿宋" w:eastAsia="仿宋" w:cs="仿宋"/>
          <w:sz w:val="32"/>
          <w:szCs w:val="32"/>
          <w:lang w:eastAsia="zh-CN"/>
        </w:rPr>
        <w:t>完成情况及预算</w:t>
      </w:r>
      <w:r>
        <w:rPr>
          <w:rFonts w:hint="eastAsia" w:ascii="仿宋" w:hAnsi="仿宋" w:eastAsia="仿宋" w:cs="仿宋"/>
          <w:sz w:val="32"/>
          <w:szCs w:val="32"/>
        </w:rPr>
        <w:t>执行情况进行绩效评价。经自评工作组评价，部门预算项目</w:t>
      </w:r>
      <w:r>
        <w:rPr>
          <w:rFonts w:hint="eastAsia" w:ascii="仿宋" w:hAnsi="仿宋" w:eastAsia="仿宋" w:cs="仿宋"/>
          <w:sz w:val="32"/>
          <w:szCs w:val="32"/>
          <w:lang w:eastAsia="zh-CN"/>
        </w:rPr>
        <w:t>绩效自评</w:t>
      </w:r>
      <w:r>
        <w:rPr>
          <w:rFonts w:hint="eastAsia" w:ascii="仿宋" w:hAnsi="仿宋" w:eastAsia="仿宋" w:cs="仿宋"/>
          <w:sz w:val="32"/>
          <w:szCs w:val="32"/>
        </w:rPr>
        <w:t>综合得分</w:t>
      </w:r>
      <w:r>
        <w:rPr>
          <w:rFonts w:hint="eastAsia" w:ascii="仿宋" w:hAnsi="仿宋" w:eastAsia="仿宋" w:cs="仿宋"/>
          <w:sz w:val="32"/>
          <w:szCs w:val="32"/>
          <w:lang w:val="en-US" w:eastAsia="zh-CN"/>
        </w:rPr>
        <w:t>91.66</w:t>
      </w:r>
      <w:r>
        <w:rPr>
          <w:rFonts w:hint="eastAsia" w:ascii="仿宋" w:hAnsi="仿宋" w:eastAsia="仿宋" w:cs="仿宋"/>
          <w:sz w:val="32"/>
          <w:szCs w:val="32"/>
          <w:highlight w:val="none"/>
          <w:lang w:val="en-US" w:eastAsia="zh-CN"/>
        </w:rPr>
        <w:t>分</w:t>
      </w:r>
      <w:r>
        <w:rPr>
          <w:rFonts w:hint="eastAsia" w:ascii="仿宋" w:hAnsi="仿宋" w:eastAsia="仿宋" w:cs="仿宋"/>
          <w:sz w:val="32"/>
          <w:szCs w:val="32"/>
        </w:rPr>
        <w:t>，绩效评价等级为</w:t>
      </w:r>
      <w:r>
        <w:rPr>
          <w:rFonts w:hint="eastAsia" w:ascii="仿宋" w:hAnsi="仿宋" w:eastAsia="仿宋" w:cs="仿宋"/>
          <w:sz w:val="32"/>
          <w:szCs w:val="32"/>
          <w:lang w:eastAsia="zh-CN"/>
        </w:rPr>
        <w:t>优秀</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val="0"/>
        <w:spacing w:before="120" w:after="120"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（二）预算安排与执行</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eastAsia="仿宋_GB2312"/>
          <w:sz w:val="32"/>
          <w:szCs w:val="32"/>
          <w:lang w:val="en-US" w:eastAsia="zh-CN"/>
        </w:rPr>
      </w:pPr>
      <w:r>
        <w:rPr>
          <w:rFonts w:hint="eastAsia" w:ascii="仿宋" w:hAnsi="仿宋" w:eastAsia="仿宋" w:cs="仿宋"/>
          <w:sz w:val="32"/>
          <w:szCs w:val="32"/>
          <w:lang w:val="en-US" w:eastAsia="zh-CN"/>
        </w:rPr>
        <w:t>2021年执法局年初预算项目（调整后）安排</w:t>
      </w:r>
      <w:r>
        <w:rPr>
          <w:rFonts w:hint="eastAsia" w:ascii="仿宋" w:hAnsi="仿宋" w:eastAsia="仿宋" w:cs="仿宋"/>
          <w:sz w:val="32"/>
          <w:szCs w:val="32"/>
        </w:rPr>
        <w:t>8149.264028</w:t>
      </w:r>
      <w:r>
        <w:rPr>
          <w:rFonts w:hint="eastAsia" w:ascii="仿宋" w:hAnsi="仿宋" w:eastAsia="仿宋" w:cs="仿宋"/>
          <w:sz w:val="32"/>
          <w:szCs w:val="32"/>
          <w:lang w:val="en-US" w:eastAsia="zh-CN"/>
        </w:rPr>
        <w:t>万元，主要包括</w:t>
      </w:r>
      <w:r>
        <w:rPr>
          <w:rFonts w:hint="eastAsia" w:ascii="仿宋_GB2312" w:eastAsia="仿宋_GB2312"/>
          <w:sz w:val="32"/>
          <w:szCs w:val="32"/>
        </w:rPr>
        <w:t>执法局城市容貌综合整治</w:t>
      </w:r>
      <w:r>
        <w:rPr>
          <w:rFonts w:hint="eastAsia" w:ascii="仿宋_GB2312" w:eastAsia="仿宋_GB2312"/>
          <w:sz w:val="32"/>
          <w:szCs w:val="32"/>
          <w:lang w:eastAsia="zh-CN"/>
        </w:rPr>
        <w:t>费</w:t>
      </w:r>
      <w:r>
        <w:rPr>
          <w:rFonts w:hint="eastAsia" w:ascii="仿宋_GB2312" w:eastAsia="仿宋_GB2312"/>
          <w:sz w:val="32"/>
          <w:szCs w:val="32"/>
        </w:rPr>
        <w:t>、执法局数字化城管运行经费、</w:t>
      </w:r>
      <w:r>
        <w:rPr>
          <w:rFonts w:hint="eastAsia" w:ascii="仿宋_GB2312" w:eastAsia="仿宋_GB2312"/>
          <w:sz w:val="32"/>
          <w:szCs w:val="32"/>
          <w:lang w:eastAsia="zh-CN"/>
        </w:rPr>
        <w:t>高阳县垃圾处理费、高阳县</w:t>
      </w:r>
      <w:r>
        <w:rPr>
          <w:rFonts w:hint="eastAsia" w:ascii="仿宋_GB2312" w:eastAsia="仿宋_GB2312"/>
          <w:sz w:val="32"/>
          <w:szCs w:val="32"/>
        </w:rPr>
        <w:t>垃圾运输费</w:t>
      </w:r>
      <w:r>
        <w:rPr>
          <w:rFonts w:hint="eastAsia" w:ascii="仿宋_GB2312" w:eastAsia="仿宋_GB2312"/>
          <w:sz w:val="32"/>
          <w:szCs w:val="32"/>
          <w:lang w:eastAsia="zh-CN"/>
        </w:rPr>
        <w:t>、执法局城区公厕运行维护费、执法局垃圾中转站运行维护费、执法局农村环卫作业市场化经费、执法局城区环卫作业市场化经费、执法局执法专项经费</w:t>
      </w:r>
      <w:r>
        <w:rPr>
          <w:rFonts w:hint="eastAsia" w:ascii="仿宋_GB2312" w:eastAsia="仿宋_GB2312"/>
          <w:sz w:val="32"/>
          <w:szCs w:val="32"/>
        </w:rPr>
        <w:t>、</w:t>
      </w:r>
      <w:r>
        <w:rPr>
          <w:rFonts w:hint="eastAsia" w:ascii="仿宋_GB2312" w:eastAsia="仿宋_GB2312"/>
          <w:sz w:val="32"/>
          <w:szCs w:val="32"/>
          <w:lang w:eastAsia="zh-CN"/>
        </w:rPr>
        <w:t>执法局</w:t>
      </w:r>
      <w:r>
        <w:rPr>
          <w:rFonts w:hint="eastAsia" w:ascii="仿宋_GB2312" w:eastAsia="仿宋_GB2312"/>
          <w:sz w:val="32"/>
          <w:szCs w:val="32"/>
          <w:lang w:val="en-US" w:eastAsia="zh-CN"/>
        </w:rPr>
        <w:t>2020年公厕新建和改建项目、执法局2019-2020年度新增绿地社会化养护工程等21个预算项目。</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2021年执法局年中追加调整预算项目安排1116.245222    万元，主要包括春季植树工程、油烟检测仪购置、省级园林复检技术报告片制造片、高阳县城区裸露土地绿化工程、高阳县中心城区停车设施专项规划、高阳县生活垃圾中转（莘桥中转场、尖窝中转站）、高阳县群芳路便道提升工程、高阳县西演垃圾转运站建设、高阳县锦华街林荫停车场、颛顼公园、孝义公园、人民公园养护费等15个预算项目。</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2021年度执法局全年预算项目安排合计</w:t>
      </w:r>
      <w:r>
        <w:rPr>
          <w:rFonts w:hint="eastAsia" w:ascii="仿宋_GB2312" w:eastAsia="仿宋_GB2312"/>
          <w:sz w:val="32"/>
          <w:szCs w:val="32"/>
          <w:highlight w:val="none"/>
          <w:lang w:val="en-US" w:eastAsia="zh-CN"/>
        </w:rPr>
        <w:t xml:space="preserve">9270.309250 </w:t>
      </w:r>
      <w:r>
        <w:rPr>
          <w:rFonts w:hint="eastAsia" w:ascii="仿宋_GB2312" w:eastAsia="仿宋_GB2312"/>
          <w:sz w:val="32"/>
          <w:szCs w:val="32"/>
          <w:lang w:val="en-US" w:eastAsia="zh-CN"/>
        </w:rPr>
        <w:t>万元，预算项目执行金额8415.402078万元，部门预算项目执行率达到</w:t>
      </w:r>
      <w:r>
        <w:rPr>
          <w:rFonts w:hint="eastAsia" w:ascii="仿宋_GB2312" w:eastAsia="仿宋_GB2312"/>
          <w:sz w:val="32"/>
          <w:szCs w:val="32"/>
          <w:highlight w:val="none"/>
          <w:lang w:val="en-US" w:eastAsia="zh-CN"/>
        </w:rPr>
        <w:t>90.78%</w:t>
      </w:r>
      <w:r>
        <w:rPr>
          <w:rFonts w:hint="eastAsia" w:ascii="仿宋_GB2312" w:eastAsia="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val="0"/>
        <w:spacing w:before="120" w:after="120"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（三）</w:t>
      </w:r>
      <w:r>
        <w:rPr>
          <w:rFonts w:hint="eastAsia" w:ascii="仿宋_GB2312" w:eastAsia="仿宋_GB2312"/>
          <w:sz w:val="32"/>
          <w:szCs w:val="32"/>
        </w:rPr>
        <w:t>项目资金管理及监督体制</w:t>
      </w:r>
    </w:p>
    <w:p>
      <w:pPr>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rPr>
          <w:rFonts w:hint="eastAsia" w:ascii="仿宋_GB2312" w:eastAsia="仿宋_GB2312"/>
          <w:sz w:val="32"/>
          <w:szCs w:val="32"/>
        </w:rPr>
      </w:pPr>
      <w:r>
        <w:rPr>
          <w:rFonts w:hint="eastAsia" w:ascii="仿宋_GB2312" w:eastAsia="仿宋_GB2312"/>
          <w:color w:val="000000"/>
          <w:sz w:val="32"/>
          <w:szCs w:val="32"/>
          <w:shd w:val="clear" w:color="auto" w:fill="FFFFFF"/>
        </w:rPr>
        <w:t>我单位严格执行资金支付管理制度，根据年度预算指标数，统筹安排资金使用计划，严格控制各项支出，规范支出科目。资金支付按专款专用的要求严格管理，不截留、挤占、挪用项目资金，单位还为此建立了相应的资金支付审批制度，对每笔支付项目都要附上相关的文件、施工合同、委托协议、验收报告、发票等，由项目负责人收集进行初审，分管领导审核、财务负责人复核，主管领导签名确认后上报财务室。财务人员对相关资料认真核查，核准无误后向县财政主管部门提交资金申请。对于大额资金及不经常性支出的事项经局党组会议研究后方能进行资金支付。在支付过程中，严格执行财务管理制度，</w:t>
      </w:r>
      <w:r>
        <w:rPr>
          <w:rFonts w:hint="eastAsia" w:ascii="仿宋_GB2312" w:hAnsi="宋体" w:eastAsia="仿宋_GB2312"/>
          <w:color w:val="000000"/>
          <w:kern w:val="0"/>
          <w:sz w:val="32"/>
          <w:szCs w:val="32"/>
        </w:rPr>
        <w:t>严格按照合同约定，依据规定程序和权限，及时有效的进行资金支付，</w:t>
      </w:r>
      <w:r>
        <w:rPr>
          <w:rFonts w:hint="eastAsia" w:ascii="仿宋_GB2312" w:eastAsia="仿宋_GB2312"/>
          <w:color w:val="000000"/>
          <w:sz w:val="32"/>
          <w:szCs w:val="32"/>
          <w:shd w:val="clear" w:color="auto" w:fill="FFFFFF"/>
        </w:rPr>
        <w:t>不存在虚列项目支出的及超标准开支的情况</w:t>
      </w:r>
      <w:r>
        <w:rPr>
          <w:rFonts w:hint="eastAsia" w:ascii="仿宋_GB2312" w:hAnsi="宋体" w:eastAsia="仿宋_GB2312"/>
          <w:color w:val="000000"/>
          <w:kern w:val="0"/>
          <w:sz w:val="32"/>
          <w:szCs w:val="32"/>
        </w:rPr>
        <w:t>。</w:t>
      </w:r>
    </w:p>
    <w:p>
      <w:pPr>
        <w:keepNext w:val="0"/>
        <w:keepLines w:val="0"/>
        <w:pageBreakBefore w:val="0"/>
        <w:widowControl w:val="0"/>
        <w:kinsoku/>
        <w:wordWrap/>
        <w:overflowPunct/>
        <w:topLinePunct w:val="0"/>
        <w:autoSpaceDE/>
        <w:autoSpaceDN/>
        <w:bidi w:val="0"/>
        <w:adjustRightInd/>
        <w:snapToGrid w:val="0"/>
        <w:spacing w:before="120" w:after="120"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二、绩效目标实现情况</w:t>
      </w:r>
    </w:p>
    <w:p>
      <w:pPr>
        <w:keepNext w:val="0"/>
        <w:keepLines w:val="0"/>
        <w:pageBreakBefore w:val="0"/>
        <w:widowControl w:val="0"/>
        <w:kinsoku/>
        <w:wordWrap/>
        <w:overflowPunct/>
        <w:topLinePunct w:val="0"/>
        <w:autoSpaceDE/>
        <w:autoSpaceDN/>
        <w:bidi w:val="0"/>
        <w:adjustRightInd/>
        <w:snapToGrid w:val="0"/>
        <w:spacing w:before="120" w:after="240"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（一）部门总体工作开展情况</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_GB2312" w:cs="仿宋"/>
          <w:sz w:val="32"/>
          <w:szCs w:val="32"/>
          <w:lang w:eastAsia="zh-CN"/>
        </w:rPr>
      </w:pPr>
      <w:r>
        <w:rPr>
          <w:rFonts w:hint="eastAsia" w:ascii="仿宋_GB2312" w:eastAsia="仿宋_GB2312"/>
          <w:sz w:val="32"/>
          <w:szCs w:val="32"/>
        </w:rPr>
        <w:t>根据高阳县财政局《关于做好20</w:t>
      </w:r>
      <w:r>
        <w:rPr>
          <w:rFonts w:hint="eastAsia" w:ascii="仿宋_GB2312" w:eastAsia="仿宋_GB2312"/>
          <w:sz w:val="32"/>
          <w:szCs w:val="32"/>
          <w:lang w:val="en-US" w:eastAsia="zh-CN"/>
        </w:rPr>
        <w:t>22</w:t>
      </w:r>
      <w:r>
        <w:rPr>
          <w:rFonts w:hint="eastAsia" w:ascii="仿宋_GB2312" w:eastAsia="仿宋_GB2312"/>
          <w:sz w:val="32"/>
          <w:szCs w:val="32"/>
        </w:rPr>
        <w:t>年度县级预算项目绩效自评工作的通知》</w:t>
      </w:r>
      <w:r>
        <w:rPr>
          <w:rFonts w:hint="eastAsia" w:ascii="仿宋_GB2312" w:eastAsia="仿宋_GB2312"/>
          <w:sz w:val="32"/>
          <w:szCs w:val="32"/>
          <w:lang w:eastAsia="zh-CN"/>
        </w:rPr>
        <w:t>相关</w:t>
      </w:r>
      <w:r>
        <w:rPr>
          <w:rFonts w:hint="eastAsia" w:ascii="仿宋_GB2312" w:eastAsia="仿宋_GB2312"/>
          <w:sz w:val="32"/>
          <w:szCs w:val="32"/>
        </w:rPr>
        <w:t>要求，</w:t>
      </w:r>
      <w:r>
        <w:rPr>
          <w:rFonts w:hint="eastAsia" w:ascii="仿宋_GB2312" w:eastAsia="仿宋_GB2312"/>
          <w:sz w:val="32"/>
          <w:szCs w:val="32"/>
          <w:lang w:eastAsia="zh-CN"/>
        </w:rPr>
        <w:t>执法局迅速</w:t>
      </w:r>
      <w:r>
        <w:rPr>
          <w:rFonts w:hint="eastAsia" w:ascii="仿宋_GB2312" w:eastAsia="仿宋_GB2312"/>
          <w:sz w:val="32"/>
          <w:szCs w:val="32"/>
        </w:rPr>
        <w:t>成立绩效自评工作组</w:t>
      </w:r>
      <w:r>
        <w:rPr>
          <w:rFonts w:hint="eastAsia" w:ascii="仿宋_GB2312" w:eastAsia="仿宋_GB2312"/>
          <w:sz w:val="32"/>
          <w:szCs w:val="32"/>
          <w:lang w:eastAsia="zh-CN"/>
        </w:rPr>
        <w:t>展开安排部署。全面收集、系统整理各预算项目绩效完成信息，确认各项绩效指标实际完成值和实现程度。按照绩效自评表的格式和要求，将每个预算项目各绩效指标实际完成值与当年设定的预期值相比较，逐项评定每项指标得分，汇总形成预算项目自评最终得分。绩效自评工作完成后，及时总结，汇总形成绩效评价工作报告，总结优秀经验，发现问题及时整改，并将绩效自评结果作为安排预算、完善政策和改进管理的重要依据，为以后年度加强项目支出绩效管理，提高财政资金使用效益和公共服务质量起到借鉴意义。</w:t>
      </w:r>
    </w:p>
    <w:p>
      <w:pPr>
        <w:keepNext w:val="0"/>
        <w:keepLines w:val="0"/>
        <w:pageBreakBefore w:val="0"/>
        <w:widowControl w:val="0"/>
        <w:kinsoku/>
        <w:wordWrap/>
        <w:overflowPunct/>
        <w:topLinePunct w:val="0"/>
        <w:autoSpaceDE/>
        <w:autoSpaceDN/>
        <w:bidi w:val="0"/>
        <w:adjustRightInd/>
        <w:snapToGrid w:val="0"/>
        <w:spacing w:before="120" w:after="120"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（二）绩效目标完成情况</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eastAsia="仿宋_GB2312"/>
          <w:color w:val="auto"/>
          <w:sz w:val="32"/>
          <w:szCs w:val="32"/>
        </w:rPr>
      </w:pPr>
      <w:r>
        <w:rPr>
          <w:rFonts w:hint="eastAsia" w:ascii="仿宋_GB2312" w:eastAsia="仿宋_GB2312"/>
          <w:sz w:val="32"/>
          <w:szCs w:val="32"/>
          <w:lang w:val="en-US" w:eastAsia="zh-CN"/>
        </w:rPr>
        <w:t>2021年度执法局共设置36个预算项目，其中2019年度公共厕所新建和改建三位一体项目、园林县城复检及创城经费、国防光缆迁改项目、垃圾暂存点封场（魏家佐）、城区绿化水费、城区绿地和公园绿地社会化养护、岳家佐垃圾暂存点覆土封场经费、执法局18个村庄环卫作业市场化经费、执法局2019-2020年度新增绿地社会化养护工程、执法局2020年公厕新建和改建项目、执法局交通安全岛和公园北门景观建设、执法局农村环卫作业市场化经费、高阳县城区裸露土地绿化工程、高阳县生活垃圾中转（莘桥中转场、尖窝中转站）、高阳县绿道绿廊建设、高阳县群芳路便道提升工程、高阳县西演垃圾转运站建设、高阳县锦华街林荫停车场等预算项目总体实施情况良好，</w:t>
      </w:r>
      <w:r>
        <w:rPr>
          <w:rFonts w:hint="eastAsia" w:ascii="仿宋_GB2312" w:hAnsi="宋体" w:eastAsia="仿宋_GB2312"/>
          <w:color w:val="auto"/>
          <w:sz w:val="32"/>
          <w:szCs w:val="32"/>
        </w:rPr>
        <w:t>项目组织严谨，达到产出指标、效果指标相关要求，</w:t>
      </w:r>
      <w:r>
        <w:rPr>
          <w:rFonts w:hint="eastAsia" w:ascii="仿宋_GB2312" w:eastAsia="仿宋_GB2312"/>
          <w:color w:val="auto"/>
          <w:sz w:val="32"/>
          <w:szCs w:val="32"/>
        </w:rPr>
        <w:t>顺利完成了预算项目编制初期的绩效目标。</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eastAsia="仿宋_GB2312"/>
          <w:color w:val="000000"/>
          <w:sz w:val="32"/>
          <w:szCs w:val="32"/>
          <w:lang w:val="en-US" w:eastAsia="zh-CN"/>
        </w:rPr>
      </w:pPr>
      <w:r>
        <w:rPr>
          <w:rFonts w:hint="eastAsia" w:ascii="仿宋_GB2312" w:eastAsia="仿宋_GB2312"/>
          <w:color w:val="auto"/>
          <w:sz w:val="32"/>
          <w:szCs w:val="32"/>
          <w:lang w:eastAsia="zh-CN"/>
        </w:rPr>
        <w:t xml:space="preserve"> 执法局执法专项经费加大执法力度，实现了规范城市管理，提升城市品质的社会效益指标，但因单位资金紧张，优先保障人员经费及公用经费支出，缩减项目经费支出，执法设备暂缓购置，导致预算执行率偏低。执法局服装购置费和执法局高阳县城区夜景亮化设计导则项目</w:t>
      </w:r>
      <w:r>
        <w:rPr>
          <w:rFonts w:hint="eastAsia" w:ascii="仿宋_GB2312" w:eastAsia="仿宋_GB2312"/>
          <w:color w:val="000000"/>
          <w:sz w:val="32"/>
          <w:szCs w:val="32"/>
          <w:lang w:eastAsia="zh-CN"/>
        </w:rPr>
        <w:t>因资金紧张，为节约资金</w:t>
      </w:r>
      <w:r>
        <w:rPr>
          <w:rFonts w:hint="eastAsia" w:ascii="仿宋_GB2312" w:eastAsia="仿宋_GB2312"/>
          <w:color w:val="000000"/>
          <w:sz w:val="32"/>
          <w:szCs w:val="32"/>
        </w:rPr>
        <w:t>，</w:t>
      </w:r>
      <w:r>
        <w:rPr>
          <w:rFonts w:hint="eastAsia" w:ascii="仿宋_GB2312" w:eastAsia="仿宋_GB2312"/>
          <w:color w:val="000000"/>
          <w:sz w:val="32"/>
          <w:szCs w:val="32"/>
          <w:lang w:eastAsia="zh-CN"/>
        </w:rPr>
        <w:t>压减非紧迫性支出，故项目未开展导致预算执行率为</w:t>
      </w:r>
      <w:r>
        <w:rPr>
          <w:rFonts w:hint="eastAsia" w:ascii="仿宋_GB2312" w:eastAsia="仿宋_GB2312"/>
          <w:color w:val="000000"/>
          <w:sz w:val="32"/>
          <w:szCs w:val="32"/>
          <w:lang w:val="en-US" w:eastAsia="zh-CN"/>
        </w:rPr>
        <w:t>0。</w:t>
      </w:r>
    </w:p>
    <w:p>
      <w:pPr>
        <w:keepNext w:val="0"/>
        <w:keepLines w:val="0"/>
        <w:pageBreakBefore w:val="0"/>
        <w:widowControl w:val="0"/>
        <w:kinsoku/>
        <w:wordWrap/>
        <w:overflowPunct/>
        <w:topLinePunct w:val="0"/>
        <w:autoSpaceDE/>
        <w:autoSpaceDN/>
        <w:bidi w:val="0"/>
        <w:adjustRightInd/>
        <w:snapToGrid w:val="0"/>
        <w:spacing w:after="120"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三、绩效目标设定质量情况</w:t>
      </w:r>
    </w:p>
    <w:p>
      <w:pPr>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绩效目标设置</w:t>
      </w:r>
      <w:r>
        <w:rPr>
          <w:rFonts w:hint="eastAsia" w:ascii="仿宋_GB2312" w:eastAsia="仿宋_GB2312"/>
          <w:sz w:val="32"/>
          <w:szCs w:val="32"/>
          <w:lang w:eastAsia="zh-CN"/>
        </w:rPr>
        <w:t>要求</w:t>
      </w:r>
      <w:r>
        <w:rPr>
          <w:rFonts w:hint="eastAsia" w:ascii="仿宋_GB2312" w:eastAsia="仿宋_GB2312"/>
          <w:sz w:val="32"/>
          <w:szCs w:val="32"/>
        </w:rPr>
        <w:t>清晰准确，</w:t>
      </w:r>
      <w:r>
        <w:rPr>
          <w:rFonts w:hint="eastAsia" w:ascii="仿宋_GB2312" w:eastAsia="仿宋_GB2312"/>
          <w:sz w:val="32"/>
          <w:szCs w:val="32"/>
          <w:lang w:eastAsia="zh-CN"/>
        </w:rPr>
        <w:t>能够客观公正的反映项目实施所能达到的产出数量及预期效果，为后期重点考核提供相应依据。</w:t>
      </w:r>
      <w:r>
        <w:rPr>
          <w:rFonts w:hint="eastAsia" w:ascii="仿宋_GB2312" w:eastAsia="仿宋_GB2312"/>
          <w:sz w:val="32"/>
          <w:szCs w:val="32"/>
        </w:rPr>
        <w:t>绩效指标</w:t>
      </w:r>
      <w:r>
        <w:rPr>
          <w:rFonts w:hint="eastAsia" w:ascii="仿宋_GB2312" w:eastAsia="仿宋_GB2312"/>
          <w:sz w:val="32"/>
          <w:szCs w:val="32"/>
          <w:lang w:eastAsia="zh-CN"/>
        </w:rPr>
        <w:t>设置应全面、完整、科学的明确预期产出数量、成本及效益，数据要求真实准确无太大偏差。</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highlight w:val="none"/>
        </w:rPr>
        <w:t>通过绩效自评结果对比倒查的</w:t>
      </w:r>
      <w:r>
        <w:rPr>
          <w:rFonts w:hint="eastAsia" w:ascii="仿宋" w:hAnsi="仿宋" w:eastAsia="仿宋" w:cs="仿宋"/>
          <w:sz w:val="32"/>
          <w:szCs w:val="32"/>
          <w:highlight w:val="none"/>
          <w:lang w:eastAsia="zh-CN"/>
        </w:rPr>
        <w:t>项目</w:t>
      </w:r>
      <w:r>
        <w:rPr>
          <w:rFonts w:hint="eastAsia" w:ascii="仿宋" w:hAnsi="仿宋" w:eastAsia="仿宋" w:cs="仿宋"/>
          <w:sz w:val="32"/>
          <w:szCs w:val="32"/>
          <w:highlight w:val="none"/>
        </w:rPr>
        <w:t>绩效目标设定质量情况，</w:t>
      </w:r>
      <w:r>
        <w:rPr>
          <w:rFonts w:hint="eastAsia" w:ascii="仿宋" w:hAnsi="仿宋" w:eastAsia="仿宋" w:cs="仿宋"/>
          <w:sz w:val="32"/>
          <w:szCs w:val="32"/>
          <w:highlight w:val="none"/>
          <w:lang w:eastAsia="zh-CN"/>
        </w:rPr>
        <w:t>总结如下：除</w:t>
      </w:r>
      <w:r>
        <w:rPr>
          <w:rFonts w:hint="eastAsia" w:ascii="仿宋_GB2312" w:eastAsia="仿宋_GB2312"/>
          <w:color w:val="auto"/>
          <w:sz w:val="32"/>
          <w:szCs w:val="32"/>
          <w:lang w:eastAsia="zh-CN"/>
        </w:rPr>
        <w:t>执法局城市容貌综合整治费因绩效指标设置出现偏差未能实现外，剩余预算项目均如期实现了项目初期设置的绩效目标，各项目绩效目标指标设定合理，严格参照《高阳县县级部门预算绩效目标设定规范》并结合实际科学设定，绩效指标全面完整、科学合理，绩效标准恰当适宜、易于评价。</w:t>
      </w:r>
    </w:p>
    <w:p>
      <w:pPr>
        <w:keepNext w:val="0"/>
        <w:keepLines w:val="0"/>
        <w:pageBreakBefore w:val="0"/>
        <w:widowControl w:val="0"/>
        <w:kinsoku/>
        <w:wordWrap/>
        <w:overflowPunct/>
        <w:topLinePunct w:val="0"/>
        <w:autoSpaceDE/>
        <w:autoSpaceDN/>
        <w:bidi w:val="0"/>
        <w:adjustRightInd/>
        <w:snapToGrid w:val="0"/>
        <w:spacing w:after="240"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四、整改措施及结果应用</w:t>
      </w:r>
    </w:p>
    <w:p>
      <w:pPr>
        <w:keepNext w:val="0"/>
        <w:keepLines w:val="0"/>
        <w:pageBreakBefore w:val="0"/>
        <w:widowControl w:val="0"/>
        <w:kinsoku/>
        <w:wordWrap/>
        <w:overflowPunct/>
        <w:topLinePunct w:val="0"/>
        <w:autoSpaceDE/>
        <w:autoSpaceDN/>
        <w:bidi w:val="0"/>
        <w:adjustRightInd/>
        <w:snapToGrid w:val="0"/>
        <w:spacing w:before="120" w:after="120"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（一）存在问题及评价结论</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经自评工作组评价，部门整体预算项目综合得分</w:t>
      </w:r>
      <w:r>
        <w:rPr>
          <w:rFonts w:hint="eastAsia" w:ascii="仿宋" w:hAnsi="仿宋" w:eastAsia="仿宋" w:cs="仿宋"/>
          <w:sz w:val="32"/>
          <w:szCs w:val="32"/>
          <w:highlight w:val="none"/>
          <w:lang w:val="en-US" w:eastAsia="zh-CN"/>
        </w:rPr>
        <w:t>91.66分</w:t>
      </w:r>
      <w:r>
        <w:rPr>
          <w:rFonts w:hint="eastAsia" w:ascii="仿宋" w:hAnsi="仿宋" w:eastAsia="仿宋" w:cs="仿宋"/>
          <w:sz w:val="32"/>
          <w:szCs w:val="32"/>
        </w:rPr>
        <w:t>，项目绩效评价等级为</w:t>
      </w:r>
      <w:r>
        <w:rPr>
          <w:rFonts w:hint="eastAsia" w:ascii="仿宋" w:hAnsi="仿宋" w:eastAsia="仿宋" w:cs="仿宋"/>
          <w:sz w:val="32"/>
          <w:szCs w:val="32"/>
          <w:lang w:eastAsia="zh-CN"/>
        </w:rPr>
        <w:t>优秀</w:t>
      </w:r>
      <w:r>
        <w:rPr>
          <w:rFonts w:hint="eastAsia" w:ascii="仿宋" w:hAnsi="仿宋" w:eastAsia="仿宋" w:cs="仿宋"/>
          <w:sz w:val="32"/>
          <w:szCs w:val="32"/>
        </w:rPr>
        <w:t>。</w:t>
      </w:r>
      <w:r>
        <w:rPr>
          <w:rFonts w:hint="eastAsia" w:ascii="仿宋" w:hAnsi="仿宋" w:eastAsia="仿宋" w:cs="仿宋"/>
          <w:sz w:val="32"/>
          <w:szCs w:val="32"/>
          <w:lang w:eastAsia="zh-CN"/>
        </w:rPr>
        <w:t>预算项目整体执行率达到</w:t>
      </w:r>
      <w:r>
        <w:rPr>
          <w:rFonts w:hint="eastAsia" w:ascii="仿宋" w:hAnsi="仿宋" w:eastAsia="仿宋" w:cs="仿宋"/>
          <w:sz w:val="32"/>
          <w:szCs w:val="32"/>
          <w:lang w:val="en-US" w:eastAsia="zh-CN"/>
        </w:rPr>
        <w:t>90.83%，预算执行力表现良好。项目绩效目标整体设置科学合理，能够客观、公正、全面的综合体现项目实现情况及资金执行情况。个别项目存在资金紧张无法支出，以及为节约资金</w:t>
      </w:r>
      <w:r>
        <w:rPr>
          <w:rFonts w:hint="eastAsia" w:ascii="仿宋_GB2312" w:eastAsia="仿宋_GB2312"/>
          <w:color w:val="000000"/>
          <w:sz w:val="32"/>
          <w:szCs w:val="32"/>
          <w:lang w:eastAsia="zh-CN"/>
        </w:rPr>
        <w:t>，非紧迫性支出</w:t>
      </w:r>
      <w:r>
        <w:rPr>
          <w:rFonts w:hint="eastAsia" w:ascii="仿宋" w:hAnsi="仿宋" w:eastAsia="仿宋" w:cs="仿宋"/>
          <w:sz w:val="32"/>
          <w:szCs w:val="32"/>
          <w:lang w:val="en-US" w:eastAsia="zh-CN"/>
        </w:rPr>
        <w:t>项目暂缓开展等问题，预算编制工作仍需进一步细化。</w:t>
      </w:r>
    </w:p>
    <w:p>
      <w:pPr>
        <w:keepNext w:val="0"/>
        <w:keepLines w:val="0"/>
        <w:pageBreakBefore w:val="0"/>
        <w:widowControl w:val="0"/>
        <w:kinsoku/>
        <w:wordWrap/>
        <w:overflowPunct/>
        <w:topLinePunct w:val="0"/>
        <w:autoSpaceDE/>
        <w:autoSpaceDN/>
        <w:bidi w:val="0"/>
        <w:adjustRightInd/>
        <w:snapToGrid w:val="0"/>
        <w:spacing w:before="120" w:after="120" w:line="58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（二）整改措施及结果应用</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细化预算编制工作，认真做好预算编制。进一步加强单位内部机构各股室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2、对相关人员加强培训，特别是针对《中华人民共和国预算法》、《高阳县预算绩效管理工作手册》、《内部控制手册》等学习培训，规范部门预算收支核算，切实提高部门预算收支管理水平。</w:t>
      </w:r>
    </w:p>
    <w:p>
      <w:pPr>
        <w:snapToGrid w:val="0"/>
        <w:spacing w:line="580" w:lineRule="exact"/>
        <w:ind w:firstLine="640" w:firstLineChars="200"/>
        <w:rPr>
          <w:rFonts w:hint="eastAsia" w:ascii="仿宋" w:hAnsi="仿宋" w:eastAsia="仿宋" w:cs="仿宋"/>
          <w:sz w:val="32"/>
          <w:szCs w:val="32"/>
          <w:lang w:eastAsia="zh-CN"/>
        </w:rPr>
      </w:pPr>
    </w:p>
    <w:sectPr>
      <w:pgSz w:w="11906" w:h="16838"/>
      <w:pgMar w:top="2041" w:right="1304"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0NmM1MWZmNGE0NzkzZWJiMzVkYzNiNDQ4OWFmYzUifQ=="/>
  </w:docVars>
  <w:rsids>
    <w:rsidRoot w:val="00EF16A3"/>
    <w:rsid w:val="0003266D"/>
    <w:rsid w:val="000B5213"/>
    <w:rsid w:val="001627CF"/>
    <w:rsid w:val="00176210"/>
    <w:rsid w:val="001D2D4C"/>
    <w:rsid w:val="00383AC5"/>
    <w:rsid w:val="003B412A"/>
    <w:rsid w:val="003F23CE"/>
    <w:rsid w:val="00432709"/>
    <w:rsid w:val="0047487F"/>
    <w:rsid w:val="00491FCD"/>
    <w:rsid w:val="004E6C05"/>
    <w:rsid w:val="004F6F9F"/>
    <w:rsid w:val="00546BCB"/>
    <w:rsid w:val="005C236C"/>
    <w:rsid w:val="005C5417"/>
    <w:rsid w:val="005E6EC9"/>
    <w:rsid w:val="00665896"/>
    <w:rsid w:val="00693A60"/>
    <w:rsid w:val="006E7D57"/>
    <w:rsid w:val="0071336C"/>
    <w:rsid w:val="0071475B"/>
    <w:rsid w:val="00793214"/>
    <w:rsid w:val="007D43DA"/>
    <w:rsid w:val="007E50DB"/>
    <w:rsid w:val="007E661D"/>
    <w:rsid w:val="007F5EE6"/>
    <w:rsid w:val="0081530B"/>
    <w:rsid w:val="008C31C3"/>
    <w:rsid w:val="008E0E58"/>
    <w:rsid w:val="00941865"/>
    <w:rsid w:val="00986803"/>
    <w:rsid w:val="0099577A"/>
    <w:rsid w:val="009F1522"/>
    <w:rsid w:val="00A06D88"/>
    <w:rsid w:val="00A909F6"/>
    <w:rsid w:val="00AB70A8"/>
    <w:rsid w:val="00AF5C06"/>
    <w:rsid w:val="00B8177D"/>
    <w:rsid w:val="00B86365"/>
    <w:rsid w:val="00BA723B"/>
    <w:rsid w:val="00BE032C"/>
    <w:rsid w:val="00C242EC"/>
    <w:rsid w:val="00CE156F"/>
    <w:rsid w:val="00D43ED6"/>
    <w:rsid w:val="00DA1AC7"/>
    <w:rsid w:val="00DC2768"/>
    <w:rsid w:val="00DE50A2"/>
    <w:rsid w:val="00DF6FF4"/>
    <w:rsid w:val="00E841B7"/>
    <w:rsid w:val="00E963F0"/>
    <w:rsid w:val="00ED5E84"/>
    <w:rsid w:val="00EE0B52"/>
    <w:rsid w:val="00EF16A3"/>
    <w:rsid w:val="00F57E52"/>
    <w:rsid w:val="02EF347E"/>
    <w:rsid w:val="04342634"/>
    <w:rsid w:val="055511AF"/>
    <w:rsid w:val="06EB4687"/>
    <w:rsid w:val="09540C99"/>
    <w:rsid w:val="0B5F234A"/>
    <w:rsid w:val="0CBA5B95"/>
    <w:rsid w:val="0FAA29ED"/>
    <w:rsid w:val="116E041E"/>
    <w:rsid w:val="12CF417A"/>
    <w:rsid w:val="15CE4203"/>
    <w:rsid w:val="19D63004"/>
    <w:rsid w:val="1E5764C6"/>
    <w:rsid w:val="22CF718A"/>
    <w:rsid w:val="24EB3F86"/>
    <w:rsid w:val="26937061"/>
    <w:rsid w:val="26DF6CFB"/>
    <w:rsid w:val="27E81A2C"/>
    <w:rsid w:val="2BE4722D"/>
    <w:rsid w:val="30FA12E9"/>
    <w:rsid w:val="33A83F92"/>
    <w:rsid w:val="33C1230E"/>
    <w:rsid w:val="341605D4"/>
    <w:rsid w:val="35CD16E0"/>
    <w:rsid w:val="39233B81"/>
    <w:rsid w:val="3FF322B2"/>
    <w:rsid w:val="41832F8B"/>
    <w:rsid w:val="43D27ADA"/>
    <w:rsid w:val="44BE7D74"/>
    <w:rsid w:val="450B1449"/>
    <w:rsid w:val="470E26B6"/>
    <w:rsid w:val="48074587"/>
    <w:rsid w:val="4B7925B6"/>
    <w:rsid w:val="4BAE52DF"/>
    <w:rsid w:val="4C201B3A"/>
    <w:rsid w:val="4FDC2AFF"/>
    <w:rsid w:val="527E3CB3"/>
    <w:rsid w:val="52983861"/>
    <w:rsid w:val="53BD4D8C"/>
    <w:rsid w:val="53C30205"/>
    <w:rsid w:val="552B60FC"/>
    <w:rsid w:val="581F156B"/>
    <w:rsid w:val="58864E80"/>
    <w:rsid w:val="58896EB8"/>
    <w:rsid w:val="589A4B06"/>
    <w:rsid w:val="5A0233C6"/>
    <w:rsid w:val="5B092532"/>
    <w:rsid w:val="5E84535C"/>
    <w:rsid w:val="64A003B6"/>
    <w:rsid w:val="65F91B21"/>
    <w:rsid w:val="67AB79B1"/>
    <w:rsid w:val="6D110B9A"/>
    <w:rsid w:val="6FD96115"/>
    <w:rsid w:val="738F41CA"/>
    <w:rsid w:val="742504C2"/>
    <w:rsid w:val="74AA34CE"/>
    <w:rsid w:val="75111110"/>
    <w:rsid w:val="753E5998"/>
    <w:rsid w:val="75604F8A"/>
    <w:rsid w:val="794A0B73"/>
    <w:rsid w:val="798D054B"/>
    <w:rsid w:val="7BB47A98"/>
    <w:rsid w:val="7DC308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1</Pages>
  <Words>61</Words>
  <Characters>352</Characters>
  <Lines>2</Lines>
  <Paragraphs>1</Paragraphs>
  <TotalTime>3</TotalTime>
  <ScaleCrop>false</ScaleCrop>
  <LinksUpToDate>false</LinksUpToDate>
  <CharactersWithSpaces>412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2019-11-14T00:58:00Z</dcterms:created>
  <dc:creator>user</dc:creator>
  <cp:lastModifiedBy>Administrator</cp:lastModifiedBy>
  <cp:lastPrinted>2020-03-11T01:04:00Z</cp:lastPrinted>
  <dcterms:modified xsi:type="dcterms:W3CDTF">2024-01-11T06:16:19Z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4180DCC2625847D0908BF19083A57399</vt:lpwstr>
  </property>
</Properties>
</file>