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bidi w:val="0"/>
        <w:snapToGrid/>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冀财农[2023]132号-2023年中央农业防灾减灾和水利救灾资金[防灾救灾第九批]（化肥采购）项目绩效评价报告</w:t>
      </w:r>
    </w:p>
    <w:p>
      <w:pPr>
        <w:keepNext w:val="0"/>
        <w:keepLines w:val="0"/>
        <w:pageBreakBefore w:val="0"/>
        <w:numPr>
          <w:ilvl w:val="0"/>
          <w:numId w:val="0"/>
        </w:numPr>
        <w:kinsoku/>
        <w:wordWrap/>
        <w:overflowPunct/>
        <w:topLinePunct w:val="0"/>
        <w:bidi w:val="0"/>
        <w:snapToGrid/>
        <w:spacing w:line="560" w:lineRule="exact"/>
        <w:ind w:firstLine="640" w:firstLineChars="200"/>
        <w:jc w:val="left"/>
        <w:rPr>
          <w:rFonts w:hint="eastAsia" w:ascii="仿宋_GB2312" w:hAnsi="仿宋_GB2312" w:eastAsia="仿宋_GB2312" w:cs="仿宋_GB2312"/>
          <w:sz w:val="32"/>
          <w:szCs w:val="32"/>
          <w:lang w:val="en-US" w:eastAsia="zh-CN"/>
        </w:rPr>
      </w:pPr>
    </w:p>
    <w:p>
      <w:pPr>
        <w:keepNext w:val="0"/>
        <w:keepLines w:val="0"/>
        <w:pageBreakBefore w:val="0"/>
        <w:numPr>
          <w:ilvl w:val="0"/>
          <w:numId w:val="1"/>
        </w:numPr>
        <w:kinsoku/>
        <w:wordWrap/>
        <w:overflowPunct/>
        <w:topLinePunct w:val="0"/>
        <w:bidi w:val="0"/>
        <w:snapToGrid/>
        <w:spacing w:line="56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评价组织</w:t>
      </w:r>
    </w:p>
    <w:p>
      <w:pPr>
        <w:keepNext w:val="0"/>
        <w:keepLines w:val="0"/>
        <w:pageBreakBefore w:val="0"/>
        <w:numPr>
          <w:numId w:val="0"/>
        </w:numPr>
        <w:kinsoku/>
        <w:wordWrap/>
        <w:overflowPunct/>
        <w:topLinePunct w:val="0"/>
        <w:bidi w:val="0"/>
        <w:snapToGrid/>
        <w:spacing w:line="56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根据《县级预算绩效重点评价管理办法》(高财监[2020]7号)第十九条规定的内容，高阳县农业农村局对冀财农[2023]132号-2023年中央农业防灾减灾和水利救灾资金[防灾救灾第九批]（化肥采购）项目开展绩效自评。</w:t>
      </w:r>
    </w:p>
    <w:p>
      <w:pPr>
        <w:keepNext w:val="0"/>
        <w:keepLines w:val="0"/>
        <w:pageBreakBefore w:val="0"/>
        <w:numPr>
          <w:ilvl w:val="0"/>
          <w:numId w:val="0"/>
        </w:numPr>
        <w:kinsoku/>
        <w:wordWrap/>
        <w:overflowPunct/>
        <w:topLinePunct w:val="0"/>
        <w:bidi w:val="0"/>
        <w:snapToGrid/>
        <w:spacing w:line="56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二、资金安排</w:t>
      </w:r>
    </w:p>
    <w:p>
      <w:pPr>
        <w:keepNext w:val="0"/>
        <w:keepLines w:val="0"/>
        <w:pageBreakBefore w:val="0"/>
        <w:numPr>
          <w:ilvl w:val="0"/>
          <w:numId w:val="0"/>
        </w:numPr>
        <w:kinsoku/>
        <w:wordWrap/>
        <w:overflowPunct/>
        <w:topLinePunct w:val="0"/>
        <w:bidi w:val="0"/>
        <w:snapToGrid/>
        <w:spacing w:line="560" w:lineRule="exact"/>
        <w:ind w:firstLine="640" w:firstLineChars="200"/>
        <w:jc w:val="left"/>
        <w:rPr>
          <w:rFonts w:hint="eastAsia" w:ascii="仿宋_GB2312" w:hAnsi="仿宋_GB2312" w:eastAsia="仿宋_GB2312" w:cs="仿宋_GB2312"/>
          <w:spacing w:val="5"/>
          <w:sz w:val="32"/>
          <w:szCs w:val="32"/>
          <w:lang w:eastAsia="zh-CN"/>
        </w:rPr>
      </w:pPr>
      <w:r>
        <w:rPr>
          <w:rFonts w:hint="eastAsia" w:ascii="仿宋_GB2312" w:hAnsi="仿宋_GB2312" w:eastAsia="仿宋_GB2312" w:cs="仿宋_GB2312"/>
          <w:sz w:val="32"/>
          <w:szCs w:val="32"/>
          <w:lang w:val="en-US" w:eastAsia="zh-CN"/>
        </w:rPr>
        <w:t>2023年秋高阳县遭受特大洪涝灾害，</w:t>
      </w:r>
      <w:r>
        <w:rPr>
          <w:rFonts w:hint="eastAsia" w:ascii="仿宋_GB2312" w:hAnsi="仿宋_GB2312" w:eastAsia="仿宋_GB2312" w:cs="仿宋_GB2312"/>
          <w:b w:val="0"/>
          <w:bCs w:val="0"/>
          <w:spacing w:val="5"/>
          <w:sz w:val="32"/>
          <w:szCs w:val="32"/>
        </w:rPr>
        <w:t>省财政下达我县</w:t>
      </w:r>
      <w:r>
        <w:rPr>
          <w:rFonts w:hint="eastAsia" w:ascii="仿宋_GB2312" w:hAnsi="仿宋_GB2312" w:eastAsia="仿宋_GB2312" w:cs="仿宋_GB2312"/>
          <w:b w:val="0"/>
          <w:bCs w:val="0"/>
          <w:sz w:val="32"/>
          <w:szCs w:val="32"/>
        </w:rPr>
        <w:t>中央农业防灾减灾和水利救灾资金（防灾救灾第</w:t>
      </w:r>
      <w:r>
        <w:rPr>
          <w:rFonts w:hint="eastAsia" w:ascii="仿宋_GB2312" w:hAnsi="仿宋_GB2312" w:eastAsia="仿宋_GB2312" w:cs="仿宋_GB2312"/>
          <w:b w:val="0"/>
          <w:bCs w:val="0"/>
          <w:sz w:val="32"/>
          <w:szCs w:val="32"/>
          <w:lang w:eastAsia="zh-CN"/>
        </w:rPr>
        <w:t>九</w:t>
      </w:r>
      <w:r>
        <w:rPr>
          <w:rFonts w:hint="eastAsia" w:ascii="仿宋_GB2312" w:hAnsi="仿宋_GB2312" w:eastAsia="仿宋_GB2312" w:cs="仿宋_GB2312"/>
          <w:b w:val="0"/>
          <w:bCs w:val="0"/>
          <w:sz w:val="32"/>
          <w:szCs w:val="32"/>
        </w:rPr>
        <w:t>批）</w:t>
      </w:r>
      <w:r>
        <w:rPr>
          <w:rFonts w:hint="eastAsia" w:ascii="仿宋_GB2312" w:hAnsi="仿宋_GB2312" w:eastAsia="仿宋_GB2312" w:cs="仿宋_GB2312"/>
          <w:b w:val="0"/>
          <w:bCs w:val="0"/>
          <w:spacing w:val="5"/>
          <w:sz w:val="32"/>
          <w:szCs w:val="32"/>
          <w:lang w:val="en-US" w:eastAsia="zh-CN"/>
        </w:rPr>
        <w:t>167</w:t>
      </w:r>
      <w:r>
        <w:rPr>
          <w:rFonts w:hint="eastAsia" w:ascii="仿宋_GB2312" w:hAnsi="仿宋_GB2312" w:eastAsia="仿宋_GB2312" w:cs="仿宋_GB2312"/>
          <w:b w:val="0"/>
          <w:bCs w:val="0"/>
          <w:spacing w:val="5"/>
          <w:sz w:val="32"/>
          <w:szCs w:val="32"/>
        </w:rPr>
        <w:t>万元（冀财农〔2023〕</w:t>
      </w:r>
      <w:r>
        <w:rPr>
          <w:rFonts w:hint="eastAsia" w:ascii="仿宋_GB2312" w:hAnsi="仿宋_GB2312" w:eastAsia="仿宋_GB2312" w:cs="仿宋_GB2312"/>
          <w:b w:val="0"/>
          <w:bCs w:val="0"/>
          <w:spacing w:val="5"/>
          <w:sz w:val="32"/>
          <w:szCs w:val="32"/>
          <w:lang w:val="en-US" w:eastAsia="zh-CN"/>
        </w:rPr>
        <w:t>132</w:t>
      </w:r>
      <w:r>
        <w:rPr>
          <w:rFonts w:hint="eastAsia" w:ascii="仿宋_GB2312" w:hAnsi="仿宋_GB2312" w:eastAsia="仿宋_GB2312" w:cs="仿宋_GB2312"/>
          <w:b w:val="0"/>
          <w:bCs w:val="0"/>
          <w:spacing w:val="5"/>
          <w:sz w:val="32"/>
          <w:szCs w:val="32"/>
        </w:rPr>
        <w:t>号）</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lang w:val="en-US" w:eastAsia="zh-CN"/>
        </w:rPr>
        <w:t>根据</w:t>
      </w:r>
      <w:r>
        <w:rPr>
          <w:rFonts w:hint="eastAsia" w:ascii="仿宋_GB2312" w:hAnsi="仿宋_GB2312" w:eastAsia="仿宋_GB2312" w:cs="仿宋_GB2312"/>
          <w:b w:val="0"/>
          <w:bCs w:val="0"/>
          <w:color w:val="000000"/>
          <w:sz w:val="32"/>
          <w:szCs w:val="32"/>
          <w:shd w:val="clear" w:color="auto" w:fill="FFFFFF"/>
          <w:lang w:val="en-US" w:eastAsia="zh-CN"/>
        </w:rPr>
        <w:t>灾后</w:t>
      </w:r>
      <w:r>
        <w:rPr>
          <w:rFonts w:hint="eastAsia" w:ascii="仿宋_GB2312" w:hAnsi="仿宋_GB2312" w:eastAsia="仿宋_GB2312" w:cs="仿宋_GB2312"/>
          <w:b w:val="0"/>
          <w:bCs w:val="0"/>
          <w:spacing w:val="5"/>
          <w:sz w:val="32"/>
          <w:szCs w:val="32"/>
          <w:lang w:val="en-US" w:eastAsia="zh-CN"/>
        </w:rPr>
        <w:t>我县</w:t>
      </w:r>
      <w:r>
        <w:rPr>
          <w:rFonts w:hint="eastAsia" w:ascii="仿宋_GB2312" w:hAnsi="仿宋_GB2312" w:eastAsia="仿宋_GB2312" w:cs="仿宋_GB2312"/>
          <w:b w:val="0"/>
          <w:bCs w:val="0"/>
          <w:color w:val="000000"/>
          <w:sz w:val="32"/>
          <w:szCs w:val="32"/>
          <w:shd w:val="clear" w:color="auto" w:fill="FFFFFF"/>
        </w:rPr>
        <w:t>耕地土壤养分、水溶性盐总量整体降低</w:t>
      </w:r>
      <w:r>
        <w:rPr>
          <w:rFonts w:hint="eastAsia" w:ascii="仿宋_GB2312" w:hAnsi="仿宋_GB2312" w:eastAsia="仿宋_GB2312" w:cs="仿宋_GB2312"/>
          <w:b w:val="0"/>
          <w:bCs w:val="0"/>
          <w:spacing w:val="5"/>
          <w:sz w:val="32"/>
          <w:szCs w:val="32"/>
          <w:lang w:val="en-US" w:eastAsia="zh-CN"/>
        </w:rPr>
        <w:t>的实际情况，</w:t>
      </w:r>
      <w:r>
        <w:rPr>
          <w:rFonts w:hint="eastAsia" w:ascii="仿宋_GB2312" w:hAnsi="仿宋_GB2312" w:eastAsia="仿宋_GB2312" w:cs="仿宋_GB2312"/>
          <w:b w:val="0"/>
          <w:bCs w:val="0"/>
          <w:spacing w:val="5"/>
          <w:sz w:val="32"/>
          <w:szCs w:val="32"/>
          <w:lang w:eastAsia="zh-CN"/>
        </w:rPr>
        <w:t>经农业农村局党组讨论决定将此次下达的救灾资金</w:t>
      </w:r>
      <w:r>
        <w:rPr>
          <w:rFonts w:hint="eastAsia" w:ascii="仿宋_GB2312" w:hAnsi="仿宋_GB2312" w:eastAsia="仿宋_GB2312" w:cs="仿宋_GB2312"/>
          <w:b w:val="0"/>
          <w:bCs w:val="0"/>
          <w:spacing w:val="5"/>
          <w:sz w:val="32"/>
          <w:szCs w:val="32"/>
          <w:lang w:val="en-US" w:eastAsia="zh-CN"/>
        </w:rPr>
        <w:t>中的82万元</w:t>
      </w:r>
      <w:r>
        <w:rPr>
          <w:rFonts w:hint="eastAsia" w:ascii="仿宋_GB2312" w:hAnsi="仿宋_GB2312" w:eastAsia="仿宋_GB2312" w:cs="仿宋_GB2312"/>
          <w:b w:val="0"/>
          <w:bCs w:val="0"/>
          <w:spacing w:val="5"/>
          <w:sz w:val="32"/>
          <w:szCs w:val="32"/>
          <w:lang w:eastAsia="zh-CN"/>
        </w:rPr>
        <w:t>用于购买</w:t>
      </w:r>
      <w:r>
        <w:rPr>
          <w:rFonts w:hint="eastAsia" w:ascii="仿宋_GB2312" w:hAnsi="仿宋_GB2312" w:eastAsia="仿宋_GB2312" w:cs="仿宋_GB2312"/>
          <w:b w:val="0"/>
          <w:bCs w:val="0"/>
          <w:spacing w:val="5"/>
          <w:sz w:val="32"/>
          <w:szCs w:val="32"/>
          <w:lang w:val="en-US" w:eastAsia="zh-CN"/>
        </w:rPr>
        <w:t>尿素260吨，</w:t>
      </w:r>
      <w:r>
        <w:rPr>
          <w:rFonts w:hint="eastAsia" w:ascii="仿宋_GB2312" w:hAnsi="仿宋_GB2312" w:eastAsia="仿宋_GB2312" w:cs="仿宋_GB2312"/>
          <w:spacing w:val="5"/>
          <w:sz w:val="32"/>
          <w:szCs w:val="32"/>
          <w:lang w:eastAsia="zh-CN"/>
        </w:rPr>
        <w:t>弥补受灾农田的土壤养分流失。</w:t>
      </w:r>
    </w:p>
    <w:p>
      <w:pPr>
        <w:keepNext w:val="0"/>
        <w:keepLines w:val="0"/>
        <w:pageBreakBefore w:val="0"/>
        <w:numPr>
          <w:ilvl w:val="0"/>
          <w:numId w:val="0"/>
        </w:numPr>
        <w:kinsoku/>
        <w:wordWrap/>
        <w:overflowPunct/>
        <w:topLinePunct w:val="0"/>
        <w:bidi w:val="0"/>
        <w:snapToGrid/>
        <w:spacing w:line="560" w:lineRule="exact"/>
        <w:ind w:firstLine="960" w:firstLineChars="3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三、评价情况</w:t>
      </w:r>
    </w:p>
    <w:p>
      <w:pPr>
        <w:pStyle w:val="3"/>
        <w:spacing w:before="0" w:after="0" w:line="580" w:lineRule="exact"/>
        <w:ind w:firstLine="643" w:firstLineChars="200"/>
        <w:rPr>
          <w:rFonts w:hint="eastAsia" w:ascii="Times New Roman" w:hAnsi="Times New Roman" w:eastAsia="楷体_GB2312" w:cs="Times New Roman"/>
          <w:b/>
          <w:bCs/>
          <w:lang w:val="en-US" w:eastAsia="zh-CN"/>
        </w:rPr>
      </w:pPr>
      <w:r>
        <w:rPr>
          <w:rFonts w:hint="eastAsia" w:ascii="Times New Roman" w:hAnsi="Times New Roman" w:eastAsia="楷体_GB2312" w:cs="Times New Roman"/>
          <w:b/>
          <w:bCs/>
          <w:lang w:val="en-US" w:eastAsia="zh-CN"/>
        </w:rPr>
        <w:t>（一）绩效评价对象</w:t>
      </w:r>
    </w:p>
    <w:p>
      <w:pPr>
        <w:pStyle w:val="2"/>
        <w:keepNext w:val="0"/>
        <w:keepLines w:val="0"/>
        <w:pageBreakBefore w:val="0"/>
        <w:kinsoku/>
        <w:wordWrap/>
        <w:overflowPunct/>
        <w:topLinePunct w:val="0"/>
        <w:bidi w:val="0"/>
        <w:snapToGrid/>
        <w:spacing w:line="56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绩效评价对象为冀财农[2023]132号-2023年中央农业防灾减灾和水利救灾资金[防灾救灾第九批]（化肥采购）项目。</w:t>
      </w:r>
    </w:p>
    <w:p>
      <w:pPr>
        <w:pStyle w:val="3"/>
        <w:spacing w:before="0" w:after="0" w:line="580" w:lineRule="exact"/>
        <w:ind w:firstLine="640" w:firstLineChars="200"/>
        <w:rPr>
          <w:rFonts w:hint="eastAsia" w:ascii="Times New Roman" w:hAnsi="Times New Roman" w:eastAsia="楷体_GB2312" w:cs="Times New Roman"/>
          <w:b w:val="0"/>
          <w:bCs w:val="0"/>
          <w:lang w:val="en-US" w:eastAsia="zh-CN"/>
        </w:rPr>
      </w:pPr>
      <w:r>
        <w:rPr>
          <w:rFonts w:hint="eastAsia" w:ascii="Times New Roman" w:hAnsi="Times New Roman" w:eastAsia="楷体_GB2312" w:cs="Times New Roman"/>
          <w:b w:val="0"/>
          <w:bCs w:val="0"/>
          <w:lang w:val="en-US" w:eastAsia="zh-CN"/>
        </w:rPr>
        <w:t>（二）绩效目标</w:t>
      </w:r>
    </w:p>
    <w:p>
      <w:pPr>
        <w:pStyle w:val="2"/>
        <w:keepNext w:val="0"/>
        <w:keepLines w:val="0"/>
        <w:pageBreakBefore w:val="0"/>
        <w:kinsoku/>
        <w:wordWrap/>
        <w:overflowPunct/>
        <w:topLinePunct w:val="0"/>
        <w:bidi w:val="0"/>
        <w:snapToGrid/>
        <w:spacing w:line="560" w:lineRule="exact"/>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采购260吨尿素补贴给36547.67亩粮油作物绝收地块，每亩补贴尿素7.114公斤。</w:t>
      </w:r>
    </w:p>
    <w:p>
      <w:pPr>
        <w:pStyle w:val="3"/>
        <w:spacing w:before="0" w:after="0" w:line="580" w:lineRule="exact"/>
        <w:ind w:firstLine="643" w:firstLineChars="200"/>
        <w:rPr>
          <w:rFonts w:hint="eastAsia" w:ascii="Times New Roman" w:hAnsi="Times New Roman" w:eastAsia="楷体_GB2312" w:cs="Times New Roman"/>
          <w:b/>
          <w:bCs/>
          <w:lang w:val="en-US" w:eastAsia="zh-CN"/>
        </w:rPr>
      </w:pPr>
      <w:r>
        <w:rPr>
          <w:rFonts w:hint="eastAsia" w:ascii="Times New Roman" w:hAnsi="Times New Roman" w:eastAsia="楷体_GB2312" w:cs="Times New Roman"/>
          <w:b/>
          <w:bCs/>
          <w:lang w:val="en-US" w:eastAsia="zh-CN"/>
        </w:rPr>
        <w:t>（三）绩效评价</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Times New Roman"/>
          <w:b w:val="0"/>
          <w:color w:val="000000"/>
          <w:kern w:val="2"/>
          <w:sz w:val="32"/>
          <w:szCs w:val="32"/>
          <w:lang w:val="en-US" w:eastAsia="zh-CN" w:bidi="ar-SA"/>
        </w:rPr>
      </w:pPr>
      <w:r>
        <w:rPr>
          <w:rFonts w:hint="eastAsia" w:ascii="仿宋_GB2312" w:hAnsi="仿宋_GB2312" w:eastAsia="仿宋_GB2312" w:cs="仿宋_GB2312"/>
          <w:b/>
          <w:bCs/>
          <w:sz w:val="32"/>
          <w:szCs w:val="32"/>
          <w:lang w:val="en-US" w:eastAsia="zh-CN"/>
        </w:rPr>
        <w:t>项目完成情况。</w:t>
      </w:r>
      <w:r>
        <w:rPr>
          <w:rFonts w:hint="eastAsia" w:ascii="仿宋_GB2312" w:hAnsi="仿宋_GB2312" w:eastAsia="仿宋_GB2312" w:cs="仿宋_GB2312"/>
          <w:sz w:val="32"/>
          <w:szCs w:val="32"/>
          <w:lang w:val="en-US" w:eastAsia="zh-CN"/>
        </w:rPr>
        <w:t>冀财农[2023]132号-2023年中央农业防灾减灾和水利救灾资金[防灾救灾第九批]（化肥采购）项目采取竞争性谈判方式进行，共采购符合国家、行业现行相关标准（GB/T2440-2017)含氮量≥46%的尿素260吨，按照实施方案组织镇（街道）村将物资发放到位，成立技术</w:t>
      </w:r>
      <w:r>
        <w:rPr>
          <w:rFonts w:hint="eastAsia" w:ascii="仿宋_GB2312" w:hAnsi="仿宋_GB2312" w:eastAsia="仿宋_GB2312" w:cs="Times New Roman"/>
          <w:b w:val="0"/>
          <w:color w:val="000000"/>
          <w:kern w:val="2"/>
          <w:sz w:val="32"/>
          <w:szCs w:val="32"/>
          <w:lang w:val="en-US" w:eastAsia="zh-CN" w:bidi="ar-SA"/>
        </w:rPr>
        <w:t>包联组，落实配套技术服务，达到群众满意。</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left"/>
        <w:rPr>
          <w:rFonts w:hint="default"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bCs/>
          <w:sz w:val="32"/>
          <w:szCs w:val="32"/>
          <w:lang w:val="en-US" w:eastAsia="zh-CN"/>
        </w:rPr>
        <w:t>（1）物资采购。</w:t>
      </w:r>
      <w:r>
        <w:rPr>
          <w:rFonts w:hint="eastAsia" w:ascii="仿宋_GB2312" w:eastAsia="仿宋_GB2312"/>
          <w:color w:val="000000"/>
          <w:sz w:val="32"/>
          <w:szCs w:val="32"/>
        </w:rPr>
        <w:t>采取政府采购的方式进入高阳县公共资源交易中心。</w:t>
      </w:r>
      <w:r>
        <w:rPr>
          <w:rFonts w:hint="eastAsia" w:ascii="仿宋_GB2312" w:eastAsia="仿宋_GB2312"/>
          <w:color w:val="000000"/>
          <w:sz w:val="32"/>
          <w:szCs w:val="32"/>
          <w:lang w:val="en-US" w:eastAsia="zh-CN"/>
        </w:rPr>
        <w:t>11月20日发布竞争性谈判公告，11月27日</w:t>
      </w:r>
      <w:r>
        <w:rPr>
          <w:rFonts w:hint="eastAsia" w:ascii="仿宋_GB2312" w:hAnsi="仿宋_GB2312" w:eastAsia="仿宋_GB2312" w:cs="仿宋_GB2312"/>
          <w:b w:val="0"/>
          <w:bCs w:val="0"/>
          <w:spacing w:val="5"/>
          <w:sz w:val="32"/>
          <w:szCs w:val="32"/>
          <w:lang w:val="en-US" w:eastAsia="zh-CN"/>
        </w:rPr>
        <w:t>进行评标，河北豆会商贸有限公司以81.6920万元最低价中标；11月29日发布中标公告和成交通知书；12月14日高阳县农业农村局与中标单位签订采购合同。</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bCs/>
          <w:sz w:val="32"/>
          <w:szCs w:val="32"/>
          <w:lang w:val="en-US" w:eastAsia="zh-CN"/>
        </w:rPr>
        <w:t>（2）物资分配。</w:t>
      </w:r>
      <w:r>
        <w:rPr>
          <w:rFonts w:hint="eastAsia" w:ascii="仿宋_GB2312" w:hAnsi="仿宋_GB2312" w:eastAsia="仿宋_GB2312" w:cs="仿宋_GB2312"/>
          <w:b w:val="0"/>
          <w:bCs w:val="0"/>
          <w:spacing w:val="5"/>
          <w:sz w:val="32"/>
          <w:szCs w:val="32"/>
          <w:lang w:val="en-US" w:eastAsia="zh-CN"/>
        </w:rPr>
        <w:t>高阳县农业农村局根据各镇上报粮油作物绝收地块的面积，进行救灾物资的合理分配。</w:t>
      </w:r>
    </w:p>
    <w:tbl>
      <w:tblPr>
        <w:tblStyle w:val="5"/>
        <w:tblpPr w:leftFromText="180" w:rightFromText="180" w:vertAnchor="text" w:horzAnchor="page" w:tblpXSpec="center" w:tblpY="40"/>
        <w:tblOverlap w:val="never"/>
        <w:tblW w:w="77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53"/>
        <w:gridCol w:w="3122"/>
        <w:gridCol w:w="24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jc w:val="center"/>
        </w:trPr>
        <w:tc>
          <w:tcPr>
            <w:tcW w:w="21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镇（街道）</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粮油作物绝收面积（亩）</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sz w:val="24"/>
                <w:szCs w:val="24"/>
                <w:u w:val="none"/>
                <w:lang w:val="en-US" w:eastAsia="zh-CN"/>
              </w:rPr>
              <w:t>补贴尿素（公斤）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晋庄</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34</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锦华</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1500.5</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10674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邢家南</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198.3</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1411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庞口</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3277.31</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23315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蒲口</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14931.7</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106224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西演</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3522.2</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25057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小王果庄</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13083.66</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93077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合计</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36547.67</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bidi w:val="0"/>
              <w:snapToGrid/>
              <w:spacing w:line="560" w:lineRule="exact"/>
              <w:ind w:firstLine="480" w:firstLineChars="20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260000</w:t>
            </w:r>
          </w:p>
        </w:tc>
      </w:tr>
    </w:tbl>
    <w:p>
      <w:pPr>
        <w:pStyle w:val="2"/>
        <w:keepNext w:val="0"/>
        <w:keepLines w:val="0"/>
        <w:pageBreakBefore w:val="0"/>
        <w:kinsoku/>
        <w:wordWrap/>
        <w:overflowPunct/>
        <w:topLinePunct w:val="0"/>
        <w:bidi w:val="0"/>
        <w:snapToGrid/>
        <w:spacing w:line="560" w:lineRule="exact"/>
        <w:ind w:firstLine="660" w:firstLineChars="200"/>
        <w:jc w:val="left"/>
        <w:rPr>
          <w:rFonts w:hint="eastAsia" w:ascii="仿宋_GB2312" w:hAnsi="仿宋_GB2312" w:eastAsia="仿宋_GB2312" w:cs="仿宋_GB2312"/>
          <w:b w:val="0"/>
          <w:bCs w:val="0"/>
          <w:spacing w:val="5"/>
          <w:sz w:val="32"/>
          <w:szCs w:val="32"/>
          <w:lang w:val="en-US" w:eastAsia="zh-CN"/>
        </w:rPr>
      </w:pPr>
    </w:p>
    <w:p>
      <w:pPr>
        <w:pStyle w:val="2"/>
        <w:keepNext w:val="0"/>
        <w:keepLines w:val="0"/>
        <w:pageBreakBefore w:val="0"/>
        <w:kinsoku/>
        <w:wordWrap/>
        <w:overflowPunct/>
        <w:topLinePunct w:val="0"/>
        <w:bidi w:val="0"/>
        <w:snapToGrid/>
        <w:spacing w:line="560" w:lineRule="exact"/>
        <w:ind w:firstLine="660" w:firstLineChars="200"/>
        <w:jc w:val="left"/>
        <w:rPr>
          <w:rFonts w:hint="eastAsia" w:ascii="仿宋_GB2312" w:hAnsi="仿宋_GB2312" w:eastAsia="仿宋_GB2312" w:cs="仿宋_GB2312"/>
          <w:b w:val="0"/>
          <w:bCs w:val="0"/>
          <w:spacing w:val="5"/>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bCs/>
          <w:sz w:val="32"/>
          <w:szCs w:val="32"/>
          <w:lang w:val="en-US" w:eastAsia="zh-CN"/>
        </w:rPr>
        <w:t>（3）物资发放</w:t>
      </w:r>
      <w:r>
        <w:rPr>
          <w:rFonts w:hint="eastAsia" w:ascii="仿宋_GB2312" w:hAnsi="仿宋_GB2312" w:eastAsia="仿宋_GB2312" w:cs="仿宋_GB2312"/>
          <w:b/>
          <w:bCs/>
          <w:spacing w:val="5"/>
          <w:sz w:val="32"/>
          <w:szCs w:val="32"/>
          <w:lang w:val="en-US" w:eastAsia="zh-CN"/>
        </w:rPr>
        <w:t>。</w:t>
      </w:r>
      <w:r>
        <w:rPr>
          <w:rFonts w:hint="eastAsia" w:ascii="仿宋_GB2312" w:hAnsi="仿宋_GB2312" w:eastAsia="仿宋_GB2312" w:cs="仿宋_GB2312"/>
          <w:b w:val="0"/>
          <w:bCs w:val="0"/>
          <w:spacing w:val="5"/>
          <w:sz w:val="32"/>
          <w:szCs w:val="32"/>
          <w:lang w:val="en-US" w:eastAsia="zh-CN"/>
        </w:rPr>
        <w:t>各镇街对受灾对象和受灾面积进行核实并公示，收到救灾物资后按照核实的受灾对象和粮油作物受灾面积对救灾物资进行分发，填写《高阳县2023年</w:t>
      </w:r>
      <w:r>
        <w:rPr>
          <w:rFonts w:hint="eastAsia" w:ascii="仿宋_GB2312" w:hAnsi="仿宋_GB2312" w:eastAsia="仿宋_GB2312" w:cs="仿宋_GB2312"/>
          <w:b w:val="0"/>
          <w:bCs w:val="0"/>
          <w:spacing w:val="5"/>
          <w:sz w:val="32"/>
          <w:szCs w:val="32"/>
          <w:u w:val="single"/>
          <w:lang w:val="en-US" w:eastAsia="zh-CN"/>
        </w:rPr>
        <w:t xml:space="preserve">    </w:t>
      </w:r>
      <w:r>
        <w:rPr>
          <w:rFonts w:hint="eastAsia" w:ascii="仿宋_GB2312" w:hAnsi="仿宋_GB2312" w:eastAsia="仿宋_GB2312" w:cs="仿宋_GB2312"/>
          <w:b w:val="0"/>
          <w:bCs w:val="0"/>
          <w:spacing w:val="5"/>
          <w:sz w:val="32"/>
          <w:szCs w:val="32"/>
          <w:lang w:val="en-US" w:eastAsia="zh-CN"/>
        </w:rPr>
        <w:t>镇街农业防灾减灾和水利救灾物资领取表》和《高阳县2023年</w:t>
      </w:r>
      <w:r>
        <w:rPr>
          <w:rFonts w:hint="eastAsia" w:ascii="仿宋_GB2312" w:hAnsi="仿宋_GB2312" w:eastAsia="仿宋_GB2312" w:cs="仿宋_GB2312"/>
          <w:b w:val="0"/>
          <w:bCs w:val="0"/>
          <w:spacing w:val="5"/>
          <w:sz w:val="32"/>
          <w:szCs w:val="32"/>
          <w:u w:val="single"/>
          <w:lang w:val="en-US" w:eastAsia="zh-CN"/>
        </w:rPr>
        <w:t xml:space="preserve">    </w:t>
      </w:r>
      <w:r>
        <w:rPr>
          <w:rFonts w:hint="eastAsia" w:ascii="仿宋_GB2312" w:hAnsi="仿宋_GB2312" w:eastAsia="仿宋_GB2312" w:cs="仿宋_GB2312"/>
          <w:b w:val="0"/>
          <w:bCs w:val="0"/>
          <w:spacing w:val="5"/>
          <w:sz w:val="32"/>
          <w:szCs w:val="32"/>
          <w:lang w:val="en-US" w:eastAsia="zh-CN"/>
        </w:rPr>
        <w:t>镇街</w:t>
      </w:r>
      <w:r>
        <w:rPr>
          <w:rFonts w:hint="eastAsia" w:ascii="仿宋_GB2312" w:hAnsi="仿宋_GB2312" w:eastAsia="仿宋_GB2312" w:cs="仿宋_GB2312"/>
          <w:b w:val="0"/>
          <w:bCs w:val="0"/>
          <w:spacing w:val="5"/>
          <w:sz w:val="32"/>
          <w:szCs w:val="32"/>
          <w:u w:val="single"/>
          <w:lang w:val="en-US" w:eastAsia="zh-CN"/>
        </w:rPr>
        <w:t xml:space="preserve">    </w:t>
      </w:r>
      <w:r>
        <w:rPr>
          <w:rFonts w:hint="eastAsia" w:ascii="仿宋_GB2312" w:hAnsi="仿宋_GB2312" w:eastAsia="仿宋_GB2312" w:cs="仿宋_GB2312"/>
          <w:b w:val="0"/>
          <w:bCs w:val="0"/>
          <w:spacing w:val="5"/>
          <w:sz w:val="32"/>
          <w:szCs w:val="32"/>
          <w:lang w:val="en-US" w:eastAsia="zh-CN"/>
        </w:rPr>
        <w:t>村农业防灾减灾和水利救灾物资领取表》，发放清单由受灾户签字，然后</w:t>
      </w:r>
      <w:r>
        <w:rPr>
          <w:rFonts w:hint="eastAsia" w:ascii="仿宋_GB2312" w:hAnsi="仿宋_GB2312" w:eastAsia="仿宋_GB2312" w:cs="仿宋_GB2312"/>
          <w:b/>
          <w:bCs/>
          <w:spacing w:val="5"/>
          <w:sz w:val="32"/>
          <w:szCs w:val="32"/>
          <w:lang w:val="en-US" w:eastAsia="zh-CN"/>
        </w:rPr>
        <w:t>公示</w:t>
      </w:r>
      <w:r>
        <w:rPr>
          <w:rFonts w:hint="eastAsia" w:ascii="仿宋_GB2312" w:hAnsi="仿宋_GB2312" w:eastAsia="仿宋_GB2312" w:cs="仿宋_GB2312"/>
          <w:b w:val="0"/>
          <w:bCs w:val="0"/>
          <w:spacing w:val="5"/>
          <w:sz w:val="32"/>
          <w:szCs w:val="32"/>
          <w:lang w:val="en-US" w:eastAsia="zh-CN"/>
        </w:rPr>
        <w:t>，村委会加盖公章，由镇街审核盖章,报送至农业农村局备案。</w:t>
      </w:r>
    </w:p>
    <w:p>
      <w:pPr>
        <w:pStyle w:val="2"/>
        <w:keepNext w:val="0"/>
        <w:keepLines w:val="0"/>
        <w:pageBreakBefore w:val="0"/>
        <w:numPr>
          <w:ilvl w:val="0"/>
          <w:numId w:val="0"/>
        </w:numPr>
        <w:kinsoku/>
        <w:wordWrap/>
        <w:overflowPunct/>
        <w:topLinePunct w:val="0"/>
        <w:bidi w:val="0"/>
        <w:snapToGrid/>
        <w:spacing w:line="560" w:lineRule="exact"/>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2、预算执行情况。</w:t>
      </w:r>
      <w:r>
        <w:rPr>
          <w:rFonts w:hint="eastAsia" w:ascii="仿宋_GB2312" w:hAnsi="仿宋_GB2312" w:eastAsia="仿宋_GB2312" w:cs="Times New Roman"/>
          <w:b w:val="0"/>
          <w:color w:val="000000"/>
          <w:kern w:val="2"/>
          <w:sz w:val="32"/>
          <w:szCs w:val="32"/>
          <w:lang w:val="en-US" w:eastAsia="zh-CN" w:bidi="ar-SA"/>
        </w:rPr>
        <w:t>截至2023年12月25日，</w:t>
      </w:r>
      <w:r>
        <w:rPr>
          <w:rFonts w:hint="eastAsia" w:ascii="仿宋_GB2312" w:hAnsi="仿宋_GB2312" w:eastAsia="仿宋_GB2312" w:cs="仿宋_GB2312"/>
          <w:sz w:val="32"/>
          <w:szCs w:val="32"/>
          <w:lang w:val="en-US" w:eastAsia="zh-CN"/>
        </w:rPr>
        <w:t>冀财农[2023]132号-2023年中央农业防灾减灾和水利救灾资金[防灾救灾第九批]项目资金全部</w:t>
      </w:r>
      <w:r>
        <w:rPr>
          <w:rFonts w:hint="eastAsia" w:ascii="仿宋_GB2312" w:hAnsi="仿宋_GB2312" w:eastAsia="仿宋_GB2312" w:cs="Times New Roman"/>
          <w:b w:val="0"/>
          <w:color w:val="000000"/>
          <w:kern w:val="2"/>
          <w:sz w:val="32"/>
          <w:szCs w:val="32"/>
          <w:lang w:val="en-US" w:eastAsia="zh-CN" w:bidi="ar-SA"/>
        </w:rPr>
        <w:t>完成</w:t>
      </w:r>
      <w:r>
        <w:rPr>
          <w:rFonts w:hint="eastAsia" w:ascii="仿宋_GB2312" w:hAnsi="仿宋_GB2312" w:eastAsia="仿宋_GB2312" w:cs="仿宋_GB2312"/>
          <w:sz w:val="32"/>
          <w:szCs w:val="32"/>
          <w:lang w:val="en-US" w:eastAsia="zh-CN"/>
        </w:rPr>
        <w:t>拨付，预算执行率为100%。</w:t>
      </w:r>
    </w:p>
    <w:p>
      <w:pPr>
        <w:pStyle w:val="2"/>
        <w:keepNext w:val="0"/>
        <w:keepLines w:val="0"/>
        <w:pageBreakBefore w:val="0"/>
        <w:numPr>
          <w:ilvl w:val="0"/>
          <w:numId w:val="0"/>
        </w:numPr>
        <w:kinsoku/>
        <w:wordWrap/>
        <w:overflowPunct/>
        <w:topLinePunct w:val="0"/>
        <w:bidi w:val="0"/>
        <w:snapToGrid/>
        <w:spacing w:line="560" w:lineRule="exact"/>
        <w:ind w:firstLine="643" w:firstLineChars="200"/>
        <w:jc w:val="left"/>
        <w:textAlignment w:val="auto"/>
        <w:rPr>
          <w:rFonts w:hint="default" w:ascii="仿宋_GB2312" w:hAnsi="仿宋_GB2312" w:eastAsia="仿宋_GB2312" w:cs="仿宋_GB2312"/>
          <w:b w:val="0"/>
          <w:bCs w:val="0"/>
          <w:spacing w:val="5"/>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3、综合评价情况及评价结论。</w:t>
      </w:r>
      <w:r>
        <w:rPr>
          <w:rFonts w:hint="eastAsia" w:ascii="仿宋_GB2312" w:hAnsi="仿宋_GB2312" w:eastAsia="仿宋_GB2312" w:cs="仿宋_GB2312"/>
          <w:b w:val="0"/>
          <w:bCs w:val="0"/>
          <w:spacing w:val="5"/>
          <w:kern w:val="2"/>
          <w:sz w:val="32"/>
          <w:szCs w:val="32"/>
          <w:lang w:val="en-US" w:eastAsia="zh-CN" w:bidi="ar-SA"/>
        </w:rPr>
        <w:t>经综合评价，冀财农[2023]132号-2023年中央农业防灾减灾和水利救灾资金[防灾救灾第九批]化肥采购项目绩效评价得分95分，评价等级为“优”。各项得分具体情况如下。</w:t>
      </w:r>
    </w:p>
    <w:tbl>
      <w:tblPr>
        <w:tblStyle w:val="5"/>
        <w:tblW w:w="9281" w:type="dxa"/>
        <w:jc w:val="center"/>
        <w:tblLayout w:type="fixed"/>
        <w:tblCellMar>
          <w:top w:w="0" w:type="dxa"/>
          <w:left w:w="108" w:type="dxa"/>
          <w:bottom w:w="0" w:type="dxa"/>
          <w:right w:w="108" w:type="dxa"/>
        </w:tblCellMar>
      </w:tblPr>
      <w:tblGrid>
        <w:gridCol w:w="1295"/>
        <w:gridCol w:w="2261"/>
        <w:gridCol w:w="2527"/>
        <w:gridCol w:w="1573"/>
        <w:gridCol w:w="1625"/>
      </w:tblGrid>
      <w:tr>
        <w:tblPrEx>
          <w:tblCellMar>
            <w:top w:w="0" w:type="dxa"/>
            <w:left w:w="108" w:type="dxa"/>
            <w:bottom w:w="0" w:type="dxa"/>
            <w:right w:w="108" w:type="dxa"/>
          </w:tblCellMar>
        </w:tblPrEx>
        <w:trPr>
          <w:trHeight w:val="397" w:hRule="exact"/>
          <w:jc w:val="center"/>
        </w:trPr>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一级指标</w:t>
            </w: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二级指标</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三级指标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分数权重</w:t>
            </w:r>
          </w:p>
        </w:tc>
        <w:tc>
          <w:tcPr>
            <w:tcW w:w="1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得分</w:t>
            </w:r>
          </w:p>
        </w:tc>
      </w:tr>
      <w:tr>
        <w:tblPrEx>
          <w:tblCellMar>
            <w:top w:w="0" w:type="dxa"/>
            <w:left w:w="108" w:type="dxa"/>
            <w:bottom w:w="0" w:type="dxa"/>
            <w:right w:w="108" w:type="dxa"/>
          </w:tblCellMar>
        </w:tblPrEx>
        <w:trPr>
          <w:trHeight w:val="397" w:hRule="exact"/>
          <w:jc w:val="center"/>
        </w:trPr>
        <w:tc>
          <w:tcPr>
            <w:tcW w:w="12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决策　</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bidi="ar"/>
              </w:rPr>
              <w:t>（20分）</w:t>
            </w: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项目立项（6分）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立项依据</w:t>
            </w:r>
            <w:r>
              <w:rPr>
                <w:rFonts w:hint="eastAsia" w:ascii="宋体" w:hAnsi="宋体" w:eastAsia="宋体" w:cs="宋体"/>
                <w:color w:val="000000"/>
                <w:kern w:val="0"/>
                <w:sz w:val="21"/>
                <w:szCs w:val="21"/>
                <w:highlight w:val="none"/>
                <w:lang w:eastAsia="zh-CN" w:bidi="ar"/>
              </w:rPr>
              <w:t>科学</w:t>
            </w:r>
            <w:r>
              <w:rPr>
                <w:rFonts w:hint="eastAsia" w:ascii="宋体" w:hAnsi="宋体" w:eastAsia="宋体" w:cs="宋体"/>
                <w:color w:val="000000"/>
                <w:kern w:val="0"/>
                <w:sz w:val="21"/>
                <w:szCs w:val="21"/>
                <w:highlight w:val="none"/>
                <w:lang w:bidi="ar"/>
              </w:rPr>
              <w:t>充分性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绩效目标（8分）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绩效目标</w:t>
            </w:r>
            <w:r>
              <w:rPr>
                <w:rFonts w:hint="eastAsia" w:ascii="宋体" w:hAnsi="宋体" w:eastAsia="宋体" w:cs="宋体"/>
                <w:color w:val="000000"/>
                <w:kern w:val="0"/>
                <w:sz w:val="21"/>
                <w:szCs w:val="21"/>
                <w:highlight w:val="none"/>
                <w:lang w:eastAsia="zh-CN" w:bidi="ar"/>
              </w:rPr>
              <w:t>明确</w:t>
            </w:r>
            <w:r>
              <w:rPr>
                <w:rFonts w:hint="eastAsia" w:ascii="宋体" w:hAnsi="宋体" w:eastAsia="宋体" w:cs="宋体"/>
                <w:color w:val="000000"/>
                <w:kern w:val="0"/>
                <w:sz w:val="21"/>
                <w:szCs w:val="21"/>
                <w:highlight w:val="none"/>
                <w:lang w:bidi="ar"/>
              </w:rPr>
              <w:t>合理性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资金投入（6分）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资金分配合理性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6.00</w:t>
            </w:r>
          </w:p>
        </w:tc>
      </w:tr>
      <w:tr>
        <w:tblPrEx>
          <w:tblCellMar>
            <w:top w:w="0" w:type="dxa"/>
            <w:left w:w="108" w:type="dxa"/>
            <w:bottom w:w="0" w:type="dxa"/>
            <w:right w:w="108" w:type="dxa"/>
          </w:tblCellMar>
        </w:tblPrEx>
        <w:trPr>
          <w:trHeight w:val="397" w:hRule="exact"/>
          <w:jc w:val="center"/>
        </w:trPr>
        <w:tc>
          <w:tcPr>
            <w:tcW w:w="12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过程</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bidi="ar"/>
              </w:rPr>
              <w:t>（20分）</w:t>
            </w:r>
          </w:p>
        </w:tc>
        <w:tc>
          <w:tcPr>
            <w:tcW w:w="226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资金管理（10分）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资金到位率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eastAsia="zh-CN" w:bidi="ar"/>
              </w:rPr>
            </w:pPr>
            <w:r>
              <w:rPr>
                <w:rFonts w:hint="eastAsia" w:ascii="宋体" w:hAnsi="宋体" w:eastAsia="宋体" w:cs="宋体"/>
                <w:i w:val="0"/>
                <w:iCs w:val="0"/>
                <w:color w:val="000000"/>
                <w:kern w:val="0"/>
                <w:sz w:val="21"/>
                <w:szCs w:val="21"/>
                <w:u w:val="none"/>
                <w:lang w:val="en-US" w:eastAsia="zh-CN" w:bidi="ar"/>
              </w:rPr>
              <w:t>3</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3.00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预算执行率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eastAsia="zh-CN" w:bidi="ar"/>
              </w:rPr>
            </w:pPr>
            <w:r>
              <w:rPr>
                <w:rFonts w:hint="eastAsia" w:ascii="宋体" w:hAnsi="宋体" w:eastAsia="宋体" w:cs="宋体"/>
                <w:i w:val="0"/>
                <w:iCs w:val="0"/>
                <w:color w:val="000000"/>
                <w:kern w:val="0"/>
                <w:sz w:val="21"/>
                <w:szCs w:val="21"/>
                <w:u w:val="none"/>
                <w:lang w:val="en-US" w:eastAsia="zh-CN" w:bidi="ar"/>
              </w:rPr>
              <w:t>3</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3.00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资金使用合规性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eastAsia="zh-CN" w:bidi="ar"/>
              </w:rPr>
            </w:pPr>
            <w:r>
              <w:rPr>
                <w:rFonts w:hint="eastAsia" w:ascii="宋体" w:hAnsi="宋体" w:eastAsia="宋体" w:cs="宋体"/>
                <w:i w:val="0"/>
                <w:iCs w:val="0"/>
                <w:color w:val="000000"/>
                <w:kern w:val="0"/>
                <w:sz w:val="21"/>
                <w:szCs w:val="21"/>
                <w:u w:val="none"/>
                <w:lang w:val="en-US" w:eastAsia="zh-CN" w:bidi="ar"/>
              </w:rPr>
              <w:t>4</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4.00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组织实施（10分）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eastAsia="zh-CN" w:bidi="ar"/>
              </w:rPr>
              <w:t>实施方案科学</w:t>
            </w:r>
            <w:r>
              <w:rPr>
                <w:rFonts w:hint="eastAsia" w:ascii="宋体" w:hAnsi="宋体" w:eastAsia="宋体" w:cs="宋体"/>
                <w:color w:val="000000"/>
                <w:kern w:val="0"/>
                <w:sz w:val="21"/>
                <w:szCs w:val="21"/>
                <w:highlight w:val="none"/>
                <w:lang w:bidi="ar"/>
              </w:rPr>
              <w:t>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4</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4.00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eastAsia="zh-CN" w:bidi="ar"/>
              </w:rPr>
              <w:t>执行方案严格</w:t>
            </w:r>
            <w:r>
              <w:rPr>
                <w:rFonts w:hint="eastAsia" w:ascii="宋体" w:hAnsi="宋体" w:eastAsia="宋体" w:cs="宋体"/>
                <w:color w:val="000000"/>
                <w:kern w:val="0"/>
                <w:sz w:val="21"/>
                <w:szCs w:val="21"/>
                <w:highlight w:val="none"/>
                <w:lang w:bidi="ar"/>
              </w:rPr>
              <w:t>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4.00</w:t>
            </w:r>
          </w:p>
        </w:tc>
      </w:tr>
      <w:tr>
        <w:tblPrEx>
          <w:tblCellMar>
            <w:top w:w="0" w:type="dxa"/>
            <w:left w:w="108" w:type="dxa"/>
            <w:bottom w:w="0" w:type="dxa"/>
            <w:right w:w="108" w:type="dxa"/>
          </w:tblCellMar>
        </w:tblPrEx>
        <w:trPr>
          <w:trHeight w:val="397" w:hRule="exact"/>
          <w:jc w:val="center"/>
        </w:trPr>
        <w:tc>
          <w:tcPr>
            <w:tcW w:w="12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bidi="ar"/>
              </w:rPr>
              <w:t>（30分）</w:t>
            </w: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产出数量（8分）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实际完成率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产出质量（8分）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质量达标率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产出时效（8分）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完成及时性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产出成本（6分）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成本节约率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6.00</w:t>
            </w:r>
          </w:p>
        </w:tc>
      </w:tr>
      <w:tr>
        <w:tblPrEx>
          <w:tblCellMar>
            <w:top w:w="0" w:type="dxa"/>
            <w:left w:w="108" w:type="dxa"/>
            <w:bottom w:w="0" w:type="dxa"/>
            <w:right w:w="108" w:type="dxa"/>
          </w:tblCellMar>
        </w:tblPrEx>
        <w:trPr>
          <w:trHeight w:val="397" w:hRule="exact"/>
          <w:jc w:val="center"/>
        </w:trPr>
        <w:tc>
          <w:tcPr>
            <w:tcW w:w="12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效益</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bidi="ar"/>
              </w:rPr>
              <w:t>（30分）</w:t>
            </w: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项目效益（</w:t>
            </w:r>
            <w:r>
              <w:rPr>
                <w:rFonts w:hint="eastAsia" w:ascii="宋体" w:hAnsi="宋体" w:eastAsia="宋体" w:cs="宋体"/>
                <w:color w:val="000000"/>
                <w:kern w:val="0"/>
                <w:sz w:val="21"/>
                <w:szCs w:val="21"/>
                <w:highlight w:val="none"/>
                <w:lang w:val="en-US" w:eastAsia="zh-CN" w:bidi="ar"/>
              </w:rPr>
              <w:t>20</w:t>
            </w:r>
            <w:r>
              <w:rPr>
                <w:rFonts w:hint="eastAsia" w:ascii="宋体" w:hAnsi="宋体" w:eastAsia="宋体" w:cs="宋体"/>
                <w:color w:val="000000"/>
                <w:kern w:val="0"/>
                <w:sz w:val="21"/>
                <w:szCs w:val="21"/>
                <w:highlight w:val="none"/>
                <w:lang w:bidi="ar"/>
              </w:rPr>
              <w:t>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eastAsia="zh-CN" w:bidi="ar"/>
              </w:rPr>
              <w:t>生态</w:t>
            </w:r>
            <w:r>
              <w:rPr>
                <w:rFonts w:hint="eastAsia" w:ascii="宋体" w:hAnsi="宋体" w:eastAsia="宋体" w:cs="宋体"/>
                <w:color w:val="000000"/>
                <w:kern w:val="0"/>
                <w:sz w:val="21"/>
                <w:szCs w:val="21"/>
                <w:highlight w:val="none"/>
                <w:lang w:bidi="ar"/>
              </w:rPr>
              <w:t>效益</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20.00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满意度（1</w:t>
            </w:r>
            <w:r>
              <w:rPr>
                <w:rFonts w:hint="eastAsia" w:ascii="宋体" w:hAnsi="宋体" w:eastAsia="宋体" w:cs="宋体"/>
                <w:color w:val="000000"/>
                <w:kern w:val="0"/>
                <w:sz w:val="21"/>
                <w:szCs w:val="21"/>
                <w:highlight w:val="none"/>
                <w:lang w:val="en-US" w:eastAsia="zh-CN" w:bidi="ar"/>
              </w:rPr>
              <w:t>0</w:t>
            </w:r>
            <w:r>
              <w:rPr>
                <w:rFonts w:hint="eastAsia" w:ascii="宋体" w:hAnsi="宋体" w:eastAsia="宋体" w:cs="宋体"/>
                <w:color w:val="000000"/>
                <w:kern w:val="0"/>
                <w:sz w:val="21"/>
                <w:szCs w:val="21"/>
                <w:highlight w:val="none"/>
                <w:lang w:bidi="ar"/>
              </w:rPr>
              <w:t>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满意度</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9.00</w:t>
            </w:r>
          </w:p>
        </w:tc>
      </w:tr>
      <w:tr>
        <w:tblPrEx>
          <w:tblCellMar>
            <w:top w:w="0" w:type="dxa"/>
            <w:left w:w="108" w:type="dxa"/>
            <w:bottom w:w="0" w:type="dxa"/>
            <w:right w:w="108" w:type="dxa"/>
          </w:tblCellMar>
        </w:tblPrEx>
        <w:trPr>
          <w:trHeight w:val="397" w:hRule="exact"/>
          <w:jc w:val="center"/>
        </w:trPr>
        <w:tc>
          <w:tcPr>
            <w:tcW w:w="6083"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合计</w:t>
            </w:r>
          </w:p>
        </w:tc>
        <w:tc>
          <w:tcPr>
            <w:tcW w:w="157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100</w:t>
            </w:r>
          </w:p>
        </w:tc>
        <w:tc>
          <w:tcPr>
            <w:tcW w:w="1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95</w:t>
            </w:r>
          </w:p>
        </w:tc>
      </w:tr>
    </w:tbl>
    <w:p>
      <w:pPr>
        <w:keepNext w:val="0"/>
        <w:keepLines w:val="0"/>
        <w:pageBreakBefore w:val="0"/>
        <w:numPr>
          <w:ilvl w:val="0"/>
          <w:numId w:val="0"/>
        </w:numPr>
        <w:kinsoku/>
        <w:wordWrap/>
        <w:overflowPunct/>
        <w:topLinePunct w:val="0"/>
        <w:bidi w:val="0"/>
        <w:snapToGrid/>
        <w:spacing w:line="56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四、存在问题</w:t>
      </w:r>
    </w:p>
    <w:p>
      <w:pPr>
        <w:pStyle w:val="2"/>
        <w:keepNext w:val="0"/>
        <w:keepLines w:val="0"/>
        <w:pageBreakBefore w:val="0"/>
        <w:numPr>
          <w:ilvl w:val="0"/>
          <w:numId w:val="0"/>
        </w:numPr>
        <w:kinsoku/>
        <w:wordWrap/>
        <w:overflowPunct/>
        <w:topLinePunct w:val="0"/>
        <w:bidi w:val="0"/>
        <w:snapToGrid/>
        <w:spacing w:line="560" w:lineRule="exact"/>
        <w:ind w:firstLine="643" w:firstLineChars="200"/>
        <w:jc w:val="left"/>
        <w:rPr>
          <w:rFonts w:hint="eastAsia" w:ascii="仿宋_GB2312" w:hAnsi="仿宋_GB2312" w:eastAsia="仿宋_GB2312" w:cs="仿宋_GB2312"/>
          <w:sz w:val="32"/>
          <w:szCs w:val="32"/>
          <w:lang w:val="en-US" w:eastAsia="zh-CN"/>
        </w:rPr>
      </w:pPr>
      <w:r>
        <w:rPr>
          <w:rFonts w:hint="eastAsia" w:ascii="Times New Roman" w:hAnsi="Times New Roman" w:eastAsia="楷体_GB2312" w:cs="Times New Roman"/>
          <w:b/>
          <w:bCs/>
          <w:kern w:val="2"/>
          <w:sz w:val="32"/>
          <w:szCs w:val="32"/>
          <w:lang w:val="en-US" w:eastAsia="zh-CN" w:bidi="ar-SA"/>
        </w:rPr>
        <w:t>（一）采购程序欠规范。</w:t>
      </w:r>
      <w:r>
        <w:rPr>
          <w:rFonts w:hint="eastAsia" w:ascii="仿宋_GB2312" w:hAnsi="仿宋_GB2312" w:eastAsia="仿宋_GB2312" w:cs="仿宋_GB2312"/>
          <w:sz w:val="32"/>
          <w:szCs w:val="32"/>
          <w:lang w:val="en-US" w:eastAsia="zh-CN"/>
        </w:rPr>
        <w:t>由于时间紧任务重，为抢农时节省时间，尽快克服洪涝灾害不利影响，加快恢复农业生产，经农业农村局党组会研究决定，不再对供应商发函询价，以当时高阳县尿素市场价格和保定市其他县尿素招标价格，综合项目预算，决定采购尿素260吨，最高限价为82万元。</w:t>
      </w:r>
    </w:p>
    <w:p>
      <w:pPr>
        <w:pStyle w:val="2"/>
        <w:keepNext w:val="0"/>
        <w:keepLines w:val="0"/>
        <w:pageBreakBefore w:val="0"/>
        <w:numPr>
          <w:ilvl w:val="0"/>
          <w:numId w:val="0"/>
        </w:numPr>
        <w:kinsoku/>
        <w:wordWrap/>
        <w:overflowPunct/>
        <w:topLinePunct w:val="0"/>
        <w:bidi w:val="0"/>
        <w:snapToGrid/>
        <w:spacing w:line="560" w:lineRule="exact"/>
        <w:ind w:firstLine="643" w:firstLineChars="200"/>
        <w:jc w:val="left"/>
        <w:rPr>
          <w:rFonts w:hint="eastAsia" w:ascii="仿宋_GB2312" w:hAnsi="仿宋_GB2312" w:eastAsia="仿宋_GB2312" w:cs="仿宋_GB2312"/>
          <w:sz w:val="32"/>
          <w:szCs w:val="32"/>
          <w:lang w:val="en-US" w:eastAsia="zh-CN"/>
        </w:rPr>
      </w:pPr>
      <w:r>
        <w:rPr>
          <w:rFonts w:hint="eastAsia" w:ascii="Times New Roman" w:hAnsi="Times New Roman" w:eastAsia="楷体_GB2312" w:cs="Times New Roman"/>
          <w:b/>
          <w:bCs/>
          <w:kern w:val="2"/>
          <w:sz w:val="32"/>
          <w:szCs w:val="32"/>
          <w:lang w:val="en-US" w:eastAsia="zh-CN" w:bidi="ar-SA"/>
        </w:rPr>
        <w:t>（二）方案执行欠严格。</w:t>
      </w:r>
      <w:r>
        <w:rPr>
          <w:rFonts w:hint="eastAsia" w:ascii="仿宋_GB2312" w:hAnsi="仿宋_GB2312" w:eastAsia="仿宋_GB2312" w:cs="仿宋_GB2312"/>
          <w:sz w:val="32"/>
          <w:szCs w:val="32"/>
          <w:lang w:val="en-US" w:eastAsia="zh-CN"/>
        </w:rPr>
        <w:t>本次采购的尿素260吨（粮油绝收地块每亩补贴尿素7.114公斤）与莲池区捐赠我县的尿素160吨（</w:t>
      </w:r>
      <w:r>
        <w:rPr>
          <w:rFonts w:hint="eastAsia" w:ascii="仿宋_GB2312" w:hAnsi="仿宋_GB2312" w:eastAsia="仿宋_GB2312" w:cs="仿宋_GB2312"/>
          <w:i w:val="0"/>
          <w:iCs w:val="0"/>
          <w:color w:val="000000"/>
          <w:kern w:val="0"/>
          <w:sz w:val="32"/>
          <w:szCs w:val="32"/>
          <w:u w:val="none"/>
          <w:lang w:val="en-US" w:eastAsia="zh-CN" w:bidi="ar"/>
        </w:rPr>
        <w:t>其中102.266吨补贴给全县36547.67亩粮油作物绝收地块，每亩补贴尿素2.798公斤；57.734吨补贴给全县5824.685亩蔬菜、水果、中药材和其他特色作物绝收地块，每亩补贴尿素9.912公斤。</w:t>
      </w:r>
      <w:r>
        <w:rPr>
          <w:rFonts w:hint="eastAsia" w:ascii="仿宋_GB2312" w:hAnsi="仿宋_GB2312" w:eastAsia="仿宋_GB2312" w:cs="仿宋_GB2312"/>
          <w:sz w:val="32"/>
          <w:szCs w:val="32"/>
          <w:lang w:val="en-US" w:eastAsia="zh-CN"/>
        </w:rPr>
        <w:t>）是同时发放，有些村组织由于人员欠缺，发放时没有把两个项目的物资分别发放、造册，而是统一进行发放、造册和公示。</w:t>
      </w:r>
    </w:p>
    <w:p>
      <w:pPr>
        <w:keepNext w:val="0"/>
        <w:keepLines w:val="0"/>
        <w:pageBreakBefore w:val="0"/>
        <w:numPr>
          <w:ilvl w:val="0"/>
          <w:numId w:val="0"/>
        </w:numPr>
        <w:kinsoku/>
        <w:wordWrap/>
        <w:overflowPunct/>
        <w:topLinePunct w:val="0"/>
        <w:bidi w:val="0"/>
        <w:snapToGrid/>
        <w:spacing w:line="56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五、改进措施</w:t>
      </w:r>
    </w:p>
    <w:p>
      <w:pPr>
        <w:pStyle w:val="3"/>
        <w:spacing w:before="0" w:after="0" w:line="580" w:lineRule="exact"/>
        <w:ind w:firstLine="643" w:firstLineChars="200"/>
        <w:rPr>
          <w:rFonts w:hint="eastAsia" w:ascii="Times New Roman" w:hAnsi="Times New Roman" w:eastAsia="楷体_GB2312" w:cs="Times New Roman"/>
          <w:b/>
          <w:bCs/>
        </w:rPr>
      </w:pPr>
      <w:bookmarkStart w:id="0" w:name="_Toc23775"/>
      <w:bookmarkStart w:id="1" w:name="_Toc18484"/>
      <w:bookmarkStart w:id="2" w:name="_Toc113348639"/>
      <w:bookmarkStart w:id="3" w:name="_Toc2148"/>
      <w:bookmarkStart w:id="4" w:name="_Toc15660"/>
      <w:bookmarkStart w:id="5" w:name="_Toc20118"/>
      <w:r>
        <w:rPr>
          <w:rFonts w:hint="eastAsia" w:ascii="Times New Roman" w:hAnsi="Times New Roman" w:eastAsia="楷体_GB2312" w:cs="Times New Roman"/>
          <w:b/>
          <w:bCs/>
        </w:rPr>
        <w:t>（一）</w:t>
      </w:r>
      <w:r>
        <w:rPr>
          <w:rFonts w:hint="eastAsia" w:ascii="Times New Roman" w:hAnsi="Times New Roman" w:eastAsia="楷体_GB2312" w:cs="Times New Roman"/>
          <w:b/>
          <w:bCs/>
          <w:lang w:eastAsia="zh-CN"/>
        </w:rPr>
        <w:t>采购程序</w:t>
      </w:r>
      <w:r>
        <w:rPr>
          <w:rFonts w:hint="eastAsia" w:ascii="Times New Roman" w:hAnsi="Times New Roman" w:eastAsia="楷体_GB2312" w:cs="Times New Roman"/>
          <w:b/>
          <w:bCs/>
        </w:rPr>
        <w:t>方面</w:t>
      </w:r>
      <w:bookmarkEnd w:id="0"/>
      <w:bookmarkEnd w:id="1"/>
      <w:bookmarkEnd w:id="2"/>
      <w:bookmarkEnd w:id="3"/>
    </w:p>
    <w:p>
      <w:pPr>
        <w:spacing w:line="580" w:lineRule="exact"/>
        <w:ind w:firstLine="640" w:firstLineChars="20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多学习《中华人民共和国政府采购法》和相关法律法规，在今后的政府采购项目中，严格按照规定程序执行。</w:t>
      </w:r>
    </w:p>
    <w:bookmarkEnd w:id="4"/>
    <w:bookmarkEnd w:id="5"/>
    <w:p>
      <w:pPr>
        <w:pStyle w:val="3"/>
        <w:spacing w:before="0" w:after="0" w:line="580" w:lineRule="exact"/>
        <w:ind w:firstLine="643" w:firstLineChars="200"/>
        <w:rPr>
          <w:rFonts w:hint="default" w:ascii="Times New Roman" w:hAnsi="Times New Roman" w:eastAsia="楷体_GB2312" w:cs="Times New Roman"/>
          <w:b/>
          <w:bCs/>
          <w:lang w:val="en-US" w:eastAsia="zh-CN"/>
        </w:rPr>
      </w:pPr>
      <w:bookmarkStart w:id="6" w:name="_Toc25619"/>
      <w:bookmarkStart w:id="7" w:name="_Toc16041"/>
      <w:r>
        <w:rPr>
          <w:rFonts w:hint="eastAsia" w:ascii="Times New Roman" w:hAnsi="Times New Roman" w:eastAsia="楷体_GB2312" w:cs="Times New Roman"/>
          <w:b/>
          <w:bCs/>
          <w:lang w:val="en-US" w:eastAsia="zh-CN"/>
        </w:rPr>
        <w:t>（二）项目管理方面</w:t>
      </w:r>
      <w:bookmarkEnd w:id="6"/>
      <w:bookmarkEnd w:id="7"/>
    </w:p>
    <w:p>
      <w:pPr>
        <w:spacing w:line="580" w:lineRule="exact"/>
        <w:ind w:firstLine="640" w:firstLineChars="20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针对项目实施过程中规范性不够的问题，在今后实施过程中，要强化组织领导和责任落实，强化全过程动态管理，加强现场督导检查，及时妥善处理项目执行中的问题，确保项目实施质量和实施进度，确保发挥资金使用效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bookmarkStart w:id="8" w:name="_GoBack"/>
      <w:bookmarkEnd w:id="8"/>
    </w:p>
    <w:p>
      <w:pPr>
        <w:pStyle w:val="2"/>
        <w:keepNext w:val="0"/>
        <w:keepLines w:val="0"/>
        <w:pageBreakBefore w:val="0"/>
        <w:numPr>
          <w:ilvl w:val="0"/>
          <w:numId w:val="0"/>
        </w:numPr>
        <w:kinsoku/>
        <w:wordWrap/>
        <w:overflowPunct/>
        <w:topLinePunct w:val="0"/>
        <w:bidi w:val="0"/>
        <w:snapToGrid/>
        <w:spacing w:line="560" w:lineRule="exact"/>
        <w:ind w:firstLine="640" w:firstLineChars="200"/>
        <w:jc w:val="left"/>
        <w:rPr>
          <w:rFonts w:hint="default" w:ascii="仿宋_GB2312" w:hAnsi="仿宋_GB2312" w:eastAsia="仿宋_GB2312" w:cs="仿宋_GB2312"/>
          <w:sz w:val="32"/>
          <w:szCs w:val="32"/>
          <w:lang w:val="en-US" w:eastAsia="zh-CN"/>
        </w:rPr>
      </w:pPr>
    </w:p>
    <w:sectPr>
      <w:pgSz w:w="11906" w:h="16838"/>
      <w:pgMar w:top="2098" w:right="1531" w:bottom="1984" w:left="1531"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0F9C5E"/>
    <w:multiLevelType w:val="singleLevel"/>
    <w:tmpl w:val="4E0F9C5E"/>
    <w:lvl w:ilvl="0" w:tentative="0">
      <w:start w:val="1"/>
      <w:numFmt w:val="chineseCounting"/>
      <w:suff w:val="nothing"/>
      <w:lvlText w:val="%1、"/>
      <w:lvlJc w:val="left"/>
      <w:rPr>
        <w:rFonts w:hint="eastAsia"/>
      </w:rPr>
    </w:lvl>
  </w:abstractNum>
  <w:abstractNum w:abstractNumId="1">
    <w:nsid w:val="63D8454A"/>
    <w:multiLevelType w:val="singleLevel"/>
    <w:tmpl w:val="63D8454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33522B"/>
    <w:rsid w:val="0B4F1C49"/>
    <w:rsid w:val="307E1F92"/>
    <w:rsid w:val="30C626F2"/>
    <w:rsid w:val="31CA4CD6"/>
    <w:rsid w:val="38115E2A"/>
    <w:rsid w:val="5B855EBD"/>
    <w:rsid w:val="5F3C7F24"/>
    <w:rsid w:val="655C3555"/>
    <w:rsid w:val="65E5173B"/>
    <w:rsid w:val="6F3352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_GB2312" w:hAnsi="Times New Roman" w:eastAsia="Times New Roman" w:cs="Times New Roman"/>
      <w:sz w:val="24"/>
      <w:szCs w:val="22"/>
      <w:lang w:val="en-US" w:eastAsia="zh-CN" w:bidi="ar-SA"/>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NormalCharacter"/>
    <w:link w:val="10"/>
    <w:qFormat/>
    <w:uiPriority w:val="0"/>
    <w:rPr>
      <w:rFonts w:ascii="宋体" w:hAnsi="Calibri" w:eastAsia="宋体" w:cs="黑体"/>
      <w:kern w:val="2"/>
      <w:szCs w:val="22"/>
      <w:lang w:eastAsia="zh-CN"/>
    </w:rPr>
  </w:style>
  <w:style w:type="paragraph" w:customStyle="1" w:styleId="10">
    <w:name w:val="UserStyle_0"/>
    <w:basedOn w:val="1"/>
    <w:link w:val="9"/>
    <w:qFormat/>
    <w:uiPriority w:val="0"/>
    <w:pPr>
      <w:jc w:val="both"/>
    </w:pPr>
    <w:rPr>
      <w:rFonts w:ascii="宋体" w:hAnsi="Calibri" w:eastAsia="宋体" w:cs="黑体"/>
      <w:kern w:val="2"/>
      <w:szCs w:val="22"/>
      <w:lang w:eastAsia="zh-CN"/>
    </w:rPr>
  </w:style>
  <w:style w:type="paragraph" w:customStyle="1" w:styleId="11">
    <w:name w:val="Heading1"/>
    <w:basedOn w:val="1"/>
    <w:qFormat/>
    <w:uiPriority w:val="0"/>
    <w:rPr>
      <w:rFonts w:ascii="宋体" w:hAnsi="宋体" w:eastAsia="宋体"/>
      <w:b/>
      <w:kern w:val="44"/>
      <w:sz w:val="48"/>
      <w:szCs w:val="48"/>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1783</Words>
  <Characters>2105</Characters>
  <Lines>0</Lines>
  <Paragraphs>0</Paragraphs>
  <TotalTime>4</TotalTime>
  <ScaleCrop>false</ScaleCrop>
  <LinksUpToDate>false</LinksUpToDate>
  <CharactersWithSpaces>2118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2024-08-21T01:34:00Z</dcterms:created>
  <dc:creator>WPS_372350946</dc:creator>
  <cp:lastModifiedBy>WPS_372350946</cp:lastModifiedBy>
  <dcterms:modified xsi:type="dcterms:W3CDTF">2024-08-23T09:16:42Z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486ED0C30CD445CDB608DAEE0AA6DF6F</vt:lpwstr>
  </property>
</Properties>
</file>