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sz w:val="44"/>
          <w:szCs w:val="44"/>
          <w:lang w:val="en-US" w:eastAsia="zh-CN"/>
        </w:rPr>
      </w:pPr>
      <w:r>
        <w:rPr>
          <w:rFonts w:hint="eastAsia" w:asciiTheme="majorEastAsia" w:hAnsiTheme="majorEastAsia" w:eastAsiaTheme="majorEastAsia" w:cstheme="majorEastAsia"/>
          <w:sz w:val="44"/>
          <w:szCs w:val="44"/>
          <w:lang w:val="en-US" w:eastAsia="zh-CN"/>
        </w:rPr>
        <w:t>高阳县不动产服务器网络安全升级项目</w:t>
      </w:r>
    </w:p>
    <w:p>
      <w:pPr>
        <w:jc w:val="center"/>
        <w:rPr>
          <w:rFonts w:hint="eastAsia" w:asciiTheme="majorEastAsia" w:hAnsiTheme="majorEastAsia" w:eastAsiaTheme="majorEastAsia" w:cstheme="majorEastAsia"/>
          <w:sz w:val="44"/>
          <w:szCs w:val="44"/>
          <w:lang w:val="en-US" w:eastAsia="zh-CN"/>
        </w:rPr>
      </w:pPr>
      <w:r>
        <w:rPr>
          <w:rFonts w:hint="eastAsia" w:asciiTheme="majorEastAsia" w:hAnsiTheme="majorEastAsia" w:eastAsiaTheme="majorEastAsia" w:cstheme="majorEastAsia"/>
          <w:sz w:val="44"/>
          <w:szCs w:val="44"/>
          <w:lang w:val="en-US" w:eastAsia="zh-CN"/>
        </w:rPr>
        <w:t>绩效评价报告</w:t>
      </w:r>
    </w:p>
    <w:p>
      <w:pPr>
        <w:jc w:val="center"/>
        <w:rPr>
          <w:rFonts w:hint="eastAsia" w:asciiTheme="majorEastAsia" w:hAnsiTheme="majorEastAsia" w:eastAsiaTheme="majorEastAsia" w:cstheme="majorEastAsia"/>
          <w:sz w:val="44"/>
          <w:szCs w:val="44"/>
          <w:lang w:val="en-US" w:eastAsia="zh-CN"/>
        </w:rPr>
      </w:pPr>
    </w:p>
    <w:p>
      <w:pPr>
        <w:keepNext w:val="0"/>
        <w:keepLines w:val="0"/>
        <w:pageBreakBefore w:val="0"/>
        <w:numPr>
          <w:ilvl w:val="0"/>
          <w:numId w:val="0"/>
        </w:numPr>
        <w:kinsoku/>
        <w:wordWrap/>
        <w:overflowPunct/>
        <w:topLinePunct w:val="0"/>
        <w:bidi w:val="0"/>
        <w:snapToGrid/>
        <w:spacing w:line="56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一、评价组织</w:t>
      </w:r>
    </w:p>
    <w:p>
      <w:pPr>
        <w:ind w:firstLine="640" w:firstLineChars="200"/>
        <w:jc w:val="left"/>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根据《高阳县县级部门预算绩效自评管理办法》（高财监[2020]6号）和《高阳县县级预算绩效重点评价管理办法》（高财监[2020]7号）、《高阳县财政局关于印发2025年县级部门重点绩效评价计划的通知》（高财稽查[2025]29号）等文件要求，高阳县自然资源和规划局对高阳县不动产服务器网络安全升级项目开展绩效自评。</w:t>
      </w:r>
    </w:p>
    <w:p>
      <w:pPr>
        <w:keepNext w:val="0"/>
        <w:keepLines w:val="0"/>
        <w:pageBreakBefore w:val="0"/>
        <w:numPr>
          <w:ilvl w:val="0"/>
          <w:numId w:val="0"/>
        </w:numPr>
        <w:kinsoku/>
        <w:wordWrap/>
        <w:overflowPunct/>
        <w:topLinePunct w:val="0"/>
        <w:bidi w:val="0"/>
        <w:snapToGrid/>
        <w:spacing w:line="56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二、资金安排</w:t>
      </w:r>
    </w:p>
    <w:p>
      <w:pPr>
        <w:pStyle w:val="2"/>
        <w:jc w:val="left"/>
        <w:rPr>
          <w:rFonts w:hint="eastAsia" w:ascii="仿宋" w:hAnsi="仿宋" w:eastAsia="仿宋" w:cs="仿宋"/>
          <w:color w:val="auto"/>
          <w:kern w:val="0"/>
          <w:sz w:val="32"/>
          <w:szCs w:val="32"/>
          <w:highlight w:val="none"/>
          <w:lang w:val="en-US" w:eastAsia="zh-CN" w:bidi="ar-SA"/>
        </w:rPr>
      </w:pPr>
      <w:r>
        <w:rPr>
          <w:rFonts w:hint="eastAsia" w:ascii="仿宋" w:hAnsi="仿宋" w:eastAsia="仿宋" w:cs="仿宋"/>
          <w:color w:val="auto"/>
          <w:kern w:val="0"/>
          <w:sz w:val="32"/>
          <w:szCs w:val="32"/>
          <w:highlight w:val="none"/>
          <w:lang w:val="en-US" w:eastAsia="zh-CN" w:bidi="ar-SA"/>
        </w:rPr>
        <w:t xml:space="preserve">   高阳县不动产服务器网络安全升级项目，用于购置不动产</w:t>
      </w:r>
      <w:r>
        <w:rPr>
          <w:rFonts w:hint="eastAsia" w:ascii="仿宋_GB2312" w:eastAsia="仿宋_GB2312"/>
          <w:color w:val="auto"/>
          <w:sz w:val="32"/>
          <w:szCs w:val="32"/>
          <w:lang w:val="en-US" w:eastAsia="zh-CN"/>
        </w:rPr>
        <w:t>超融合一体机5台，虚拟化防火墙1套，组网交换机1台，操作系统2套</w:t>
      </w:r>
      <w:r>
        <w:rPr>
          <w:rFonts w:hint="eastAsia"/>
          <w:color w:val="auto"/>
          <w:sz w:val="32"/>
          <w:szCs w:val="32"/>
          <w:lang w:val="en-US" w:eastAsia="zh-CN"/>
        </w:rPr>
        <w:t>，原防火墙设备数据库延保升级4台。</w:t>
      </w:r>
    </w:p>
    <w:p>
      <w:pPr>
        <w:pStyle w:val="3"/>
        <w:spacing w:before="0" w:after="0" w:line="58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三、绩效评价</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3" w:firstLineChars="200"/>
        <w:jc w:val="left"/>
        <w:rPr>
          <w:rFonts w:hint="eastAsia" w:ascii="仿宋" w:hAnsi="仿宋" w:eastAsia="仿宋" w:cs="仿宋"/>
          <w:b w:val="0"/>
          <w:color w:val="000000"/>
          <w:kern w:val="2"/>
          <w:sz w:val="32"/>
          <w:szCs w:val="32"/>
          <w:lang w:val="en-US" w:eastAsia="zh-CN" w:bidi="ar-SA"/>
        </w:rPr>
      </w:pPr>
      <w:r>
        <w:rPr>
          <w:rFonts w:hint="eastAsia" w:ascii="仿宋" w:hAnsi="仿宋" w:eastAsia="仿宋" w:cs="仿宋"/>
          <w:b/>
          <w:bCs/>
          <w:sz w:val="32"/>
          <w:szCs w:val="32"/>
          <w:lang w:val="en-US" w:eastAsia="zh-CN"/>
        </w:rPr>
        <w:t>项目完成情况。</w:t>
      </w:r>
      <w:r>
        <w:rPr>
          <w:rFonts w:hint="eastAsia" w:ascii="仿宋" w:hAnsi="仿宋" w:eastAsia="仿宋" w:cs="仿宋"/>
          <w:sz w:val="32"/>
          <w:szCs w:val="32"/>
          <w:lang w:val="en-US" w:eastAsia="zh-CN"/>
        </w:rPr>
        <w:t>高阳县不动产服务器网络安全升级</w:t>
      </w:r>
      <w:r>
        <w:rPr>
          <w:rFonts w:hint="eastAsia" w:ascii="仿宋" w:hAnsi="仿宋" w:eastAsia="仿宋" w:cs="仿宋"/>
          <w:color w:val="auto"/>
          <w:kern w:val="0"/>
          <w:sz w:val="32"/>
          <w:szCs w:val="32"/>
          <w:highlight w:val="none"/>
          <w:lang w:val="en-US" w:eastAsia="zh-CN" w:bidi="ar-SA"/>
        </w:rPr>
        <w:t>项目</w:t>
      </w:r>
      <w:r>
        <w:rPr>
          <w:rFonts w:hint="eastAsia" w:ascii="仿宋" w:hAnsi="仿宋" w:eastAsia="仿宋" w:cs="仿宋"/>
          <w:sz w:val="32"/>
          <w:szCs w:val="32"/>
          <w:lang w:val="en-US" w:eastAsia="zh-CN"/>
        </w:rPr>
        <w:t>，购置产品符合国家、行业现行相关标准</w:t>
      </w:r>
      <w:r>
        <w:rPr>
          <w:rFonts w:hint="eastAsia" w:ascii="仿宋" w:hAnsi="仿宋" w:eastAsia="仿宋" w:cs="仿宋"/>
          <w:b w:val="0"/>
          <w:color w:val="000000"/>
          <w:kern w:val="2"/>
          <w:sz w:val="32"/>
          <w:szCs w:val="32"/>
          <w:lang w:val="en-US" w:eastAsia="zh-CN" w:bidi="ar-SA"/>
        </w:rPr>
        <w:t>，保障了不动产业务安全稳定运行。</w:t>
      </w:r>
    </w:p>
    <w:p>
      <w:pPr>
        <w:numPr>
          <w:ilvl w:val="0"/>
          <w:numId w:val="1"/>
        </w:numPr>
        <w:ind w:left="0" w:leftChars="0" w:firstLine="643" w:firstLineChars="200"/>
        <w:rPr>
          <w:rFonts w:hint="eastAsia" w:ascii="仿宋" w:hAnsi="仿宋" w:eastAsia="仿宋" w:cs="仿宋"/>
          <w:color w:val="auto"/>
          <w:sz w:val="32"/>
          <w:szCs w:val="32"/>
          <w:lang w:val="en-US" w:eastAsia="zh-CN"/>
        </w:rPr>
      </w:pPr>
      <w:r>
        <w:rPr>
          <w:rFonts w:hint="eastAsia" w:ascii="仿宋" w:hAnsi="仿宋" w:eastAsia="仿宋" w:cs="仿宋"/>
          <w:b/>
          <w:bCs/>
          <w:kern w:val="2"/>
          <w:sz w:val="32"/>
          <w:szCs w:val="32"/>
          <w:lang w:val="en-US" w:eastAsia="zh-CN" w:bidi="ar-SA"/>
        </w:rPr>
        <w:t>预算执行情况。</w:t>
      </w:r>
      <w:r>
        <w:rPr>
          <w:rFonts w:hint="eastAsia" w:ascii="仿宋" w:hAnsi="仿宋" w:eastAsia="仿宋" w:cs="仿宋"/>
          <w:color w:val="auto"/>
          <w:sz w:val="32"/>
          <w:szCs w:val="32"/>
          <w:lang w:val="en-US" w:eastAsia="zh-CN"/>
        </w:rPr>
        <w:t>2024年高阳县不动产服务器网络安全升级项目预算安排资金68.38万元，预算执行金额68.38万元，预算执行率100%。</w:t>
      </w:r>
    </w:p>
    <w:p>
      <w:pPr>
        <w:keepNext w:val="0"/>
        <w:keepLines w:val="0"/>
        <w:pageBreakBefore w:val="0"/>
        <w:kinsoku/>
        <w:wordWrap/>
        <w:overflowPunct/>
        <w:topLinePunct w:val="0"/>
        <w:autoSpaceDE/>
        <w:autoSpaceDN/>
        <w:bidi w:val="0"/>
        <w:spacing w:line="50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3、</w:t>
      </w:r>
      <w:r>
        <w:rPr>
          <w:rFonts w:hint="eastAsia" w:ascii="仿宋" w:hAnsi="仿宋" w:eastAsia="仿宋" w:cs="仿宋"/>
          <w:b/>
          <w:bCs w:val="0"/>
          <w:sz w:val="28"/>
          <w:szCs w:val="28"/>
        </w:rPr>
        <w:t>绩效评价的范围和目的</w:t>
      </w:r>
    </w:p>
    <w:p>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本次评价主要是对</w:t>
      </w:r>
      <w:r>
        <w:rPr>
          <w:rFonts w:hint="eastAsia" w:ascii="仿宋" w:hAnsi="仿宋" w:eastAsia="仿宋" w:cs="仿宋"/>
          <w:sz w:val="32"/>
          <w:szCs w:val="32"/>
          <w:lang w:val="en-US" w:eastAsia="zh-CN"/>
        </w:rPr>
        <w:t>高阳县不动产服务器网络安全升级</w:t>
      </w:r>
      <w:r>
        <w:rPr>
          <w:rFonts w:hint="eastAsia" w:ascii="仿宋" w:hAnsi="仿宋" w:eastAsia="仿宋" w:cs="仿宋"/>
          <w:color w:val="auto"/>
          <w:sz w:val="32"/>
          <w:szCs w:val="32"/>
          <w:lang w:val="en-US" w:eastAsia="zh-CN"/>
        </w:rPr>
        <w:t>项目的资金到位、使用、管理以及取得的绩效进行全方位、综合性的评价，客观反映专项资金的使用效益，指出资金使用和项目管理上存在的不足，并提高财政资金使用的有效性和导向性，作为以后年度立项和安排专项资金的重要依据。</w:t>
      </w:r>
    </w:p>
    <w:p>
      <w:pPr>
        <w:spacing w:line="560" w:lineRule="exact"/>
        <w:ind w:firstLine="562" w:firstLineChars="200"/>
        <w:jc w:val="left"/>
        <w:rPr>
          <w:rFonts w:hint="eastAsia" w:ascii="仿宋" w:hAnsi="仿宋" w:eastAsia="仿宋" w:cs="仿宋"/>
          <w:color w:val="auto"/>
          <w:sz w:val="28"/>
          <w:szCs w:val="28"/>
          <w:lang w:val="en-US" w:eastAsia="zh-CN"/>
        </w:rPr>
      </w:pPr>
      <w:r>
        <w:rPr>
          <w:rFonts w:hint="eastAsia" w:ascii="仿宋" w:hAnsi="仿宋" w:eastAsia="仿宋" w:cs="仿宋"/>
          <w:b/>
          <w:bCs w:val="0"/>
          <w:sz w:val="28"/>
          <w:szCs w:val="28"/>
          <w:lang w:val="en-US" w:eastAsia="zh-CN"/>
        </w:rPr>
        <w:t>4、评价的主要内容和目的</w:t>
      </w:r>
    </w:p>
    <w:p>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资金安排、拨付情况。包括资金安排是否紧扣资金绩效目标、突出重点、科学合理、程序到位；涉及的相关部门是否及时足额拨付项目资金，地方是否在项目资金申请前、下拨后开展核查、追踪问效等有关工作。</w:t>
      </w:r>
    </w:p>
    <w:p>
      <w:pPr>
        <w:spacing w:line="56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资金使用管理情况。是否严格按资金管理办法执行，资金使用单位是否专款专用，是否按现有财政、财务管理制度要求使用资金；单位项目管理和财务管理是否健全、规范；资金支出范围和进度与申报预算（计划、预期目标）是否相符，是否按时、按质、按量完成项目任务。</w:t>
      </w:r>
    </w:p>
    <w:p>
      <w:pPr>
        <w:spacing w:line="560" w:lineRule="exact"/>
        <w:ind w:firstLine="640" w:firstLineChars="200"/>
        <w:jc w:val="left"/>
        <w:rPr>
          <w:rFonts w:hint="eastAsia"/>
          <w:sz w:val="32"/>
          <w:szCs w:val="32"/>
          <w:lang w:val="en-US" w:eastAsia="zh-CN"/>
        </w:rPr>
      </w:pPr>
      <w:r>
        <w:rPr>
          <w:rFonts w:hint="eastAsia" w:ascii="仿宋" w:hAnsi="仿宋" w:eastAsia="仿宋" w:cs="仿宋"/>
          <w:color w:val="auto"/>
          <w:sz w:val="32"/>
          <w:szCs w:val="32"/>
          <w:lang w:val="en-US" w:eastAsia="zh-CN"/>
        </w:rPr>
        <w:t>（3）资金绩效情况。通过评价取得数量、质量等指标资料，围绕绩效目标，通过横向比较、纵向分析、调查问卷等方式，对资金实施效果，在促进地方经济、维护社会稳定等方面进行绩效评价，总结成绩、分析问题、提出工作建议。</w:t>
      </w:r>
    </w:p>
    <w:p>
      <w:pPr>
        <w:pStyle w:val="7"/>
        <w:keepNext w:val="0"/>
        <w:keepLines w:val="0"/>
        <w:pageBreakBefore w:val="0"/>
        <w:numPr>
          <w:ilvl w:val="0"/>
          <w:numId w:val="0"/>
        </w:numPr>
        <w:kinsoku/>
        <w:wordWrap/>
        <w:overflowPunct/>
        <w:topLinePunct w:val="0"/>
        <w:bidi w:val="0"/>
        <w:snapToGrid/>
        <w:spacing w:line="560" w:lineRule="exact"/>
        <w:ind w:firstLine="643" w:firstLineChars="200"/>
        <w:jc w:val="left"/>
        <w:textAlignment w:val="auto"/>
        <w:rPr>
          <w:rFonts w:hint="eastAsia" w:ascii="仿宋" w:hAnsi="仿宋" w:eastAsia="仿宋" w:cs="仿宋"/>
          <w:b w:val="0"/>
          <w:bCs w:val="0"/>
          <w:spacing w:val="5"/>
          <w:kern w:val="2"/>
          <w:sz w:val="32"/>
          <w:szCs w:val="32"/>
          <w:lang w:val="en-US" w:eastAsia="zh-CN" w:bidi="ar-SA"/>
        </w:rPr>
      </w:pPr>
      <w:r>
        <w:rPr>
          <w:rFonts w:hint="eastAsia" w:ascii="仿宋" w:hAnsi="仿宋" w:eastAsia="仿宋" w:cs="仿宋"/>
          <w:b/>
          <w:bCs/>
          <w:kern w:val="2"/>
          <w:sz w:val="32"/>
          <w:szCs w:val="32"/>
          <w:lang w:val="en-US" w:eastAsia="zh-CN" w:bidi="ar-SA"/>
        </w:rPr>
        <w:t>四、综合评价情况及评价结论。</w:t>
      </w:r>
      <w:r>
        <w:rPr>
          <w:rFonts w:hint="eastAsia" w:ascii="仿宋" w:hAnsi="仿宋" w:eastAsia="仿宋" w:cs="仿宋"/>
          <w:b w:val="0"/>
          <w:bCs w:val="0"/>
          <w:spacing w:val="5"/>
          <w:kern w:val="2"/>
          <w:sz w:val="32"/>
          <w:szCs w:val="32"/>
          <w:lang w:val="en-US" w:eastAsia="zh-CN" w:bidi="ar-SA"/>
        </w:rPr>
        <w:t>经综合评价，高阳县不动产服务器网络安全升级项目绩效评价得分100分，评价等级为“优”。各项得分具体情况如下。</w:t>
      </w:r>
    </w:p>
    <w:tbl>
      <w:tblPr>
        <w:tblStyle w:val="5"/>
        <w:tblW w:w="9281" w:type="dxa"/>
        <w:jc w:val="center"/>
        <w:tblLayout w:type="fixed"/>
        <w:tblCellMar>
          <w:top w:w="0" w:type="dxa"/>
          <w:left w:w="108" w:type="dxa"/>
          <w:bottom w:w="0" w:type="dxa"/>
          <w:right w:w="108" w:type="dxa"/>
        </w:tblCellMar>
      </w:tblPr>
      <w:tblGrid>
        <w:gridCol w:w="1295"/>
        <w:gridCol w:w="2261"/>
        <w:gridCol w:w="2527"/>
        <w:gridCol w:w="1573"/>
        <w:gridCol w:w="1625"/>
      </w:tblGrid>
      <w:tr>
        <w:tblPrEx>
          <w:tblCellMar>
            <w:top w:w="0" w:type="dxa"/>
            <w:left w:w="108" w:type="dxa"/>
            <w:bottom w:w="0" w:type="dxa"/>
            <w:right w:w="108" w:type="dxa"/>
          </w:tblCellMar>
        </w:tblPrEx>
        <w:trPr>
          <w:trHeight w:val="397" w:hRule="exact"/>
          <w:jc w:val="center"/>
        </w:trPr>
        <w:tc>
          <w:tcPr>
            <w:tcW w:w="12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一级指标</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二级指标</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三级指标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分数权重</w:t>
            </w:r>
          </w:p>
        </w:tc>
        <w:tc>
          <w:tcPr>
            <w:tcW w:w="1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得分</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决策　</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（20分）</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项目立项（6分）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立项依据</w:t>
            </w:r>
            <w:r>
              <w:rPr>
                <w:rFonts w:hint="eastAsia" w:ascii="宋体" w:hAnsi="宋体" w:eastAsia="宋体" w:cs="宋体"/>
                <w:color w:val="000000"/>
                <w:kern w:val="0"/>
                <w:sz w:val="21"/>
                <w:szCs w:val="21"/>
                <w:highlight w:val="none"/>
                <w:lang w:eastAsia="zh-CN" w:bidi="ar"/>
              </w:rPr>
              <w:t>科学</w:t>
            </w:r>
            <w:r>
              <w:rPr>
                <w:rFonts w:hint="eastAsia" w:ascii="宋体" w:hAnsi="宋体" w:eastAsia="宋体" w:cs="宋体"/>
                <w:color w:val="000000"/>
                <w:kern w:val="0"/>
                <w:sz w:val="21"/>
                <w:szCs w:val="21"/>
                <w:highlight w:val="none"/>
                <w:lang w:bidi="ar"/>
              </w:rPr>
              <w:t>充分性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绩效目标（8分）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绩效目标</w:t>
            </w:r>
            <w:r>
              <w:rPr>
                <w:rFonts w:hint="eastAsia" w:ascii="宋体" w:hAnsi="宋体" w:eastAsia="宋体" w:cs="宋体"/>
                <w:color w:val="000000"/>
                <w:kern w:val="0"/>
                <w:sz w:val="21"/>
                <w:szCs w:val="21"/>
                <w:highlight w:val="none"/>
                <w:lang w:eastAsia="zh-CN" w:bidi="ar"/>
              </w:rPr>
              <w:t>明确</w:t>
            </w:r>
            <w:r>
              <w:rPr>
                <w:rFonts w:hint="eastAsia" w:ascii="宋体" w:hAnsi="宋体" w:eastAsia="宋体" w:cs="宋体"/>
                <w:color w:val="000000"/>
                <w:kern w:val="0"/>
                <w:sz w:val="21"/>
                <w:szCs w:val="21"/>
                <w:highlight w:val="none"/>
                <w:lang w:bidi="ar"/>
              </w:rPr>
              <w:t>合理性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资金投入（6分）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资金分配合理性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过程</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（20分）</w:t>
            </w:r>
          </w:p>
        </w:tc>
        <w:tc>
          <w:tcPr>
            <w:tcW w:w="226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资金管理（10分）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资金到位率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i w:val="0"/>
                <w:iCs w:val="0"/>
                <w:color w:val="000000"/>
                <w:kern w:val="0"/>
                <w:sz w:val="21"/>
                <w:szCs w:val="21"/>
                <w:u w:val="none"/>
                <w:lang w:val="en-US" w:eastAsia="zh-CN" w:bidi="ar"/>
              </w:rPr>
              <w:t>3</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3.00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预算执行率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i w:val="0"/>
                <w:iCs w:val="0"/>
                <w:color w:val="000000"/>
                <w:kern w:val="0"/>
                <w:sz w:val="21"/>
                <w:szCs w:val="21"/>
                <w:u w:val="none"/>
                <w:lang w:val="en-US" w:eastAsia="zh-CN" w:bidi="ar"/>
              </w:rPr>
              <w:t>3</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3.00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资金使用合规性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i w:val="0"/>
                <w:iCs w:val="0"/>
                <w:color w:val="000000"/>
                <w:kern w:val="0"/>
                <w:sz w:val="21"/>
                <w:szCs w:val="21"/>
                <w:u w:val="none"/>
                <w:lang w:val="en-US" w:eastAsia="zh-CN" w:bidi="ar"/>
              </w:rPr>
              <w:t>4</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组织实施（10分）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eastAsia="zh-CN" w:bidi="ar"/>
              </w:rPr>
              <w:t>实施方案科学</w:t>
            </w:r>
            <w:r>
              <w:rPr>
                <w:rFonts w:hint="eastAsia" w:ascii="宋体" w:hAnsi="宋体" w:eastAsia="宋体" w:cs="宋体"/>
                <w:color w:val="000000"/>
                <w:kern w:val="0"/>
                <w:sz w:val="21"/>
                <w:szCs w:val="21"/>
                <w:highlight w:val="none"/>
                <w:lang w:bidi="ar"/>
              </w:rPr>
              <w:t>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4.00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eastAsia="zh-CN" w:bidi="ar"/>
              </w:rPr>
              <w:t>执行方案严格</w:t>
            </w:r>
            <w:r>
              <w:rPr>
                <w:rFonts w:hint="eastAsia" w:ascii="宋体" w:hAnsi="宋体" w:eastAsia="宋体" w:cs="宋体"/>
                <w:color w:val="000000"/>
                <w:kern w:val="0"/>
                <w:sz w:val="21"/>
                <w:szCs w:val="21"/>
                <w:highlight w:val="none"/>
                <w:lang w:bidi="ar"/>
              </w:rPr>
              <w:t>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（30分）</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产出数量（8分）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实际完成率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产出质量（8分）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质量达标率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产出时效（8分）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完成及时性</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8.00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产出成本（6分）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成本节约率</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6.00</w:t>
            </w:r>
          </w:p>
        </w:tc>
      </w:tr>
      <w:tr>
        <w:tblPrEx>
          <w:tblCellMar>
            <w:top w:w="0" w:type="dxa"/>
            <w:left w:w="108" w:type="dxa"/>
            <w:bottom w:w="0" w:type="dxa"/>
            <w:right w:w="108" w:type="dxa"/>
          </w:tblCellMar>
        </w:tblPrEx>
        <w:trPr>
          <w:trHeight w:val="397" w:hRule="exact"/>
          <w:jc w:val="center"/>
        </w:trPr>
        <w:tc>
          <w:tcPr>
            <w:tcW w:w="12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效益</w:t>
            </w:r>
            <w:r>
              <w:rPr>
                <w:rFonts w:hint="eastAsia" w:ascii="宋体" w:hAnsi="宋体" w:eastAsia="宋体" w:cs="宋体"/>
                <w:color w:val="000000"/>
                <w:kern w:val="0"/>
                <w:sz w:val="21"/>
                <w:szCs w:val="21"/>
                <w:highlight w:val="none"/>
                <w:lang w:bidi="ar"/>
              </w:rPr>
              <w:br w:type="textWrapping"/>
            </w:r>
            <w:r>
              <w:rPr>
                <w:rFonts w:hint="eastAsia" w:ascii="宋体" w:hAnsi="宋体" w:eastAsia="宋体" w:cs="宋体"/>
                <w:color w:val="000000"/>
                <w:kern w:val="0"/>
                <w:sz w:val="21"/>
                <w:szCs w:val="21"/>
                <w:highlight w:val="none"/>
                <w:lang w:bidi="ar"/>
              </w:rPr>
              <w:t>（30分）</w:t>
            </w: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项目效益（</w:t>
            </w:r>
            <w:r>
              <w:rPr>
                <w:rFonts w:hint="eastAsia" w:ascii="宋体" w:hAnsi="宋体" w:eastAsia="宋体" w:cs="宋体"/>
                <w:color w:val="000000"/>
                <w:kern w:val="0"/>
                <w:sz w:val="21"/>
                <w:szCs w:val="21"/>
                <w:highlight w:val="none"/>
                <w:lang w:val="en-US" w:eastAsia="zh-CN" w:bidi="ar"/>
              </w:rPr>
              <w:t>20</w:t>
            </w:r>
            <w:r>
              <w:rPr>
                <w:rFonts w:hint="eastAsia" w:ascii="宋体" w:hAnsi="宋体" w:eastAsia="宋体" w:cs="宋体"/>
                <w:color w:val="000000"/>
                <w:kern w:val="0"/>
                <w:sz w:val="21"/>
                <w:szCs w:val="21"/>
                <w:highlight w:val="none"/>
                <w:lang w:bidi="ar"/>
              </w:rPr>
              <w:t>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eastAsia="zh-CN" w:bidi="ar"/>
              </w:rPr>
              <w:t>生态</w:t>
            </w:r>
            <w:r>
              <w:rPr>
                <w:rFonts w:hint="eastAsia" w:ascii="宋体" w:hAnsi="宋体" w:eastAsia="宋体" w:cs="宋体"/>
                <w:color w:val="000000"/>
                <w:kern w:val="0"/>
                <w:sz w:val="21"/>
                <w:szCs w:val="21"/>
                <w:highlight w:val="none"/>
                <w:lang w:bidi="ar"/>
              </w:rPr>
              <w:t>效益</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20.00</w:t>
            </w:r>
          </w:p>
        </w:tc>
      </w:tr>
      <w:tr>
        <w:tblPrEx>
          <w:tblCellMar>
            <w:top w:w="0" w:type="dxa"/>
            <w:left w:w="108" w:type="dxa"/>
            <w:bottom w:w="0" w:type="dxa"/>
            <w:right w:w="108" w:type="dxa"/>
          </w:tblCellMar>
        </w:tblPrEx>
        <w:trPr>
          <w:trHeight w:val="397" w:hRule="exact"/>
          <w:jc w:val="center"/>
        </w:trPr>
        <w:tc>
          <w:tcPr>
            <w:tcW w:w="129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p>
        </w:tc>
        <w:tc>
          <w:tcPr>
            <w:tcW w:w="22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满意度（1</w:t>
            </w:r>
            <w:r>
              <w:rPr>
                <w:rFonts w:hint="eastAsia" w:ascii="宋体" w:hAnsi="宋体" w:eastAsia="宋体" w:cs="宋体"/>
                <w:color w:val="000000"/>
                <w:kern w:val="0"/>
                <w:sz w:val="21"/>
                <w:szCs w:val="21"/>
                <w:highlight w:val="none"/>
                <w:lang w:val="en-US" w:eastAsia="zh-CN" w:bidi="ar"/>
              </w:rPr>
              <w:t>0</w:t>
            </w:r>
            <w:r>
              <w:rPr>
                <w:rFonts w:hint="eastAsia" w:ascii="宋体" w:hAnsi="宋体" w:eastAsia="宋体" w:cs="宋体"/>
                <w:color w:val="000000"/>
                <w:kern w:val="0"/>
                <w:sz w:val="21"/>
                <w:szCs w:val="21"/>
                <w:highlight w:val="none"/>
                <w:lang w:bidi="ar"/>
              </w:rPr>
              <w:t>分）</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满意度</w:t>
            </w:r>
          </w:p>
        </w:tc>
        <w:tc>
          <w:tcPr>
            <w:tcW w:w="15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10.00</w:t>
            </w:r>
          </w:p>
        </w:tc>
      </w:tr>
      <w:tr>
        <w:tblPrEx>
          <w:tblCellMar>
            <w:top w:w="0" w:type="dxa"/>
            <w:left w:w="108" w:type="dxa"/>
            <w:bottom w:w="0" w:type="dxa"/>
            <w:right w:w="108" w:type="dxa"/>
          </w:tblCellMar>
        </w:tblPrEx>
        <w:trPr>
          <w:trHeight w:val="397" w:hRule="exact"/>
          <w:jc w:val="center"/>
        </w:trPr>
        <w:tc>
          <w:tcPr>
            <w:tcW w:w="6083"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合计</w:t>
            </w:r>
          </w:p>
        </w:tc>
        <w:tc>
          <w:tcPr>
            <w:tcW w:w="157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i w:val="0"/>
                <w:iCs w:val="0"/>
                <w:color w:val="000000"/>
                <w:kern w:val="0"/>
                <w:sz w:val="21"/>
                <w:szCs w:val="21"/>
                <w:u w:val="none"/>
                <w:lang w:val="en-US" w:eastAsia="zh-CN" w:bidi="ar"/>
              </w:rPr>
              <w:t>100</w:t>
            </w:r>
          </w:p>
        </w:tc>
        <w:tc>
          <w:tcPr>
            <w:tcW w:w="16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bidi w:val="0"/>
              <w:snapToGrid/>
              <w:spacing w:line="400" w:lineRule="exact"/>
              <w:ind w:firstLine="420" w:firstLineChars="200"/>
              <w:jc w:val="left"/>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100</w:t>
            </w:r>
          </w:p>
        </w:tc>
      </w:tr>
    </w:tbl>
    <w:p>
      <w:pPr>
        <w:ind w:firstLine="640" w:firstLineChars="200"/>
        <w:jc w:val="left"/>
        <w:rPr>
          <w:rFonts w:hint="eastAsia" w:asciiTheme="minorEastAsia" w:hAnsiTheme="minorEastAsia" w:eastAsiaTheme="minorEastAsia" w:cstheme="minorEastAsia"/>
          <w:color w:val="auto"/>
          <w:kern w:val="0"/>
          <w:sz w:val="32"/>
          <w:szCs w:val="32"/>
          <w:highlight w:val="none"/>
          <w:lang w:val="en-US" w:eastAsia="zh-CN" w:bidi="ar-SA"/>
        </w:rPr>
      </w:pPr>
    </w:p>
    <w:p>
      <w:pPr>
        <w:pStyle w:val="2"/>
        <w:rPr>
          <w:rFonts w:hint="eastAsia" w:asciiTheme="minorEastAsia" w:hAnsiTheme="minorEastAsia" w:eastAsiaTheme="minorEastAsia" w:cstheme="minorEastAsia"/>
          <w:color w:val="auto"/>
          <w:kern w:val="0"/>
          <w:sz w:val="32"/>
          <w:szCs w:val="32"/>
          <w:highlight w:val="none"/>
          <w:lang w:val="en-US" w:eastAsia="zh-CN" w:bidi="ar-SA"/>
        </w:rPr>
      </w:pPr>
    </w:p>
    <w:p>
      <w:pPr>
        <w:rPr>
          <w:rFonts w:hint="eastAsia"/>
          <w:lang w:val="en-US" w:eastAsia="zh-CN"/>
        </w:rPr>
      </w:pPr>
    </w:p>
    <w:p>
      <w:pPr>
        <w:pStyle w:val="2"/>
        <w:jc w:val="right"/>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高阳县自然资源和规划局</w:t>
      </w:r>
    </w:p>
    <w:p>
      <w:pPr>
        <w:pStyle w:val="2"/>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2025年7月</w:t>
      </w:r>
      <w:bookmarkStart w:id="0" w:name="_GoBack"/>
      <w:bookmarkEnd w:id="0"/>
      <w:r>
        <w:rPr>
          <w:rFonts w:hint="eastAsia" w:ascii="仿宋" w:hAnsi="仿宋" w:eastAsia="仿宋" w:cs="仿宋"/>
          <w:sz w:val="32"/>
          <w:szCs w:val="32"/>
          <w:lang w:val="en-US" w:eastAsia="zh-CN"/>
        </w:rPr>
        <w:t>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D8454A"/>
    <w:multiLevelType w:val="singleLevel"/>
    <w:tmpl w:val="63D8454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44B29"/>
    <w:rsid w:val="09EA0953"/>
    <w:rsid w:val="0E6971B2"/>
    <w:rsid w:val="136043D7"/>
    <w:rsid w:val="1AF9414E"/>
    <w:rsid w:val="1E0850D6"/>
    <w:rsid w:val="1FC365E4"/>
    <w:rsid w:val="238C7292"/>
    <w:rsid w:val="26042336"/>
    <w:rsid w:val="276A4438"/>
    <w:rsid w:val="27B01329"/>
    <w:rsid w:val="2A5F6330"/>
    <w:rsid w:val="2E9402F8"/>
    <w:rsid w:val="30195EF5"/>
    <w:rsid w:val="30937DBD"/>
    <w:rsid w:val="330F26D0"/>
    <w:rsid w:val="3E5F540E"/>
    <w:rsid w:val="3F9C44E8"/>
    <w:rsid w:val="41BC57E8"/>
    <w:rsid w:val="439C7C1F"/>
    <w:rsid w:val="45011D41"/>
    <w:rsid w:val="464E3068"/>
    <w:rsid w:val="486C6BA7"/>
    <w:rsid w:val="4ACF6FC9"/>
    <w:rsid w:val="4BB040B9"/>
    <w:rsid w:val="55DA1F6B"/>
    <w:rsid w:val="591C0B72"/>
    <w:rsid w:val="5C522B03"/>
    <w:rsid w:val="5F0E498F"/>
    <w:rsid w:val="606D163F"/>
    <w:rsid w:val="6A984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c 2"/>
    <w:basedOn w:val="1"/>
    <w:next w:val="1"/>
    <w:semiHidden/>
    <w:qFormat/>
    <w:uiPriority w:val="0"/>
    <w:pPr>
      <w:adjustRightInd w:val="0"/>
      <w:snapToGrid w:val="0"/>
      <w:spacing w:line="560" w:lineRule="exact"/>
      <w:jc w:val="center"/>
    </w:pPr>
    <w:rPr>
      <w:rFonts w:ascii="仿宋_GB2312" w:hAnsi="黑体" w:eastAsia="仿宋_GB2312"/>
      <w:sz w:val="32"/>
      <w:szCs w:val="32"/>
    </w:rPr>
  </w:style>
  <w:style w:type="paragraph" w:styleId="4">
    <w:name w:val="Plain Text"/>
    <w:basedOn w:val="1"/>
    <w:qFormat/>
    <w:uiPriority w:val="0"/>
    <w:rPr>
      <w:rFonts w:ascii="宋体" w:hAnsi="Courier New" w:eastAsia="宋体" w:cs="Times New Roman"/>
      <w:szCs w:val="21"/>
    </w:rPr>
  </w:style>
  <w:style w:type="paragraph" w:customStyle="1" w:styleId="7">
    <w:name w:val="Default"/>
    <w:qFormat/>
    <w:uiPriority w:val="0"/>
    <w:pPr>
      <w:widowControl w:val="0"/>
      <w:autoSpaceDE w:val="0"/>
      <w:autoSpaceDN w:val="0"/>
      <w:adjustRightInd w:val="0"/>
    </w:pPr>
    <w:rPr>
      <w:rFonts w:ascii="??_GB2312" w:hAnsi="Times New Roman" w:eastAsia="Times New Roman" w:cs="Times New Roman"/>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1162</Words>
  <Characters>1262</Characters>
  <Lines>0</Lines>
  <Paragraphs>0</Paragraphs>
  <TotalTime>7</TotalTime>
  <ScaleCrop>false</ScaleCrop>
  <LinksUpToDate>false</LinksUpToDate>
  <CharactersWithSpaces>1266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2025-07-21T07:23:00Z</dcterms:created>
  <dc:creator>Administrator</dc:creator>
  <cp:lastModifiedBy>月倚清秋</cp:lastModifiedBy>
  <dcterms:modified xsi:type="dcterms:W3CDTF">2025-08-08T02:42:26Z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6A2DA3326F354D5A8661F801808BFE99</vt:lpwstr>
  </property>
</Properties>
</file>