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EAAAE">
      <w:pPr>
        <w:jc w:val="center"/>
        <w:rPr>
          <w:rFonts w:ascii="宋体"/>
          <w:b/>
          <w:sz w:val="44"/>
          <w:szCs w:val="44"/>
        </w:rPr>
      </w:pPr>
      <w:r>
        <w:rPr>
          <w:rFonts w:hint="eastAsia" w:ascii="宋体"/>
          <w:b/>
          <w:sz w:val="44"/>
          <w:szCs w:val="44"/>
        </w:rPr>
        <w:t>高阳县自然资源和规划局</w:t>
      </w:r>
    </w:p>
    <w:p w14:paraId="5F581F76">
      <w:pPr>
        <w:jc w:val="center"/>
        <w:rPr>
          <w:rFonts w:ascii="宋体"/>
          <w:b/>
          <w:sz w:val="44"/>
          <w:szCs w:val="44"/>
        </w:rPr>
      </w:pPr>
      <w:r>
        <w:rPr>
          <w:rFonts w:hint="eastAsia" w:ascii="宋体"/>
          <w:b/>
          <w:sz w:val="44"/>
          <w:szCs w:val="44"/>
        </w:rPr>
        <w:t>202</w:t>
      </w:r>
      <w:r>
        <w:rPr>
          <w:rFonts w:ascii="宋体"/>
          <w:b/>
          <w:sz w:val="44"/>
          <w:szCs w:val="44"/>
        </w:rPr>
        <w:t>5</w:t>
      </w:r>
      <w:r>
        <w:rPr>
          <w:rFonts w:hint="eastAsia" w:ascii="宋体"/>
          <w:b/>
          <w:sz w:val="44"/>
          <w:szCs w:val="44"/>
        </w:rPr>
        <w:t>年</w:t>
      </w:r>
      <w:r>
        <w:rPr>
          <w:rFonts w:ascii="宋体"/>
          <w:b/>
          <w:sz w:val="44"/>
          <w:szCs w:val="44"/>
        </w:rPr>
        <w:t>政府信息</w:t>
      </w:r>
      <w:r>
        <w:rPr>
          <w:rFonts w:hint="eastAsia" w:ascii="宋体"/>
          <w:b/>
          <w:sz w:val="44"/>
          <w:szCs w:val="44"/>
        </w:rPr>
        <w:t>公开工作</w:t>
      </w:r>
      <w:r>
        <w:rPr>
          <w:rFonts w:ascii="宋体"/>
          <w:b/>
          <w:sz w:val="44"/>
          <w:szCs w:val="44"/>
        </w:rPr>
        <w:t>年度报告</w:t>
      </w:r>
    </w:p>
    <w:p w14:paraId="3FBD9583">
      <w:pPr>
        <w:jc w:val="center"/>
        <w:rPr>
          <w:rFonts w:ascii="宋体"/>
          <w:b/>
          <w:sz w:val="15"/>
          <w:szCs w:val="15"/>
        </w:rPr>
      </w:pPr>
    </w:p>
    <w:p w14:paraId="51654769">
      <w:pPr>
        <w:ind w:firstLine="640" w:firstLineChars="200"/>
        <w:jc w:val="both"/>
        <w:rPr>
          <w:rFonts w:ascii="仿宋" w:eastAsia="仿宋"/>
          <w:sz w:val="32"/>
          <w:szCs w:val="32"/>
        </w:rPr>
      </w:pPr>
      <w:r>
        <w:rPr>
          <w:rFonts w:hint="eastAsia" w:ascii="仿宋" w:eastAsia="仿宋"/>
          <w:sz w:val="32"/>
          <w:szCs w:val="32"/>
        </w:rPr>
        <w:t>依据《中华人民共和国政府信息公开条例》和《中华人民共和国政府信息公开工作年度报告格式（试行）》要求编制而成。全文包括基本情况、主动公开政府信息情况、收到和处理政府信息公开申请情况、政府信息公开行政复议和行政诉讼情况、存在的主要问题及改进情况、其他需要报告的事项等六部分组成。本年度报告中所列数据的统计期限自202</w:t>
      </w:r>
      <w:r>
        <w:rPr>
          <w:rFonts w:ascii="仿宋" w:eastAsia="仿宋"/>
          <w:sz w:val="32"/>
          <w:szCs w:val="32"/>
        </w:rPr>
        <w:t>5</w:t>
      </w:r>
      <w:r>
        <w:rPr>
          <w:rFonts w:hint="eastAsia" w:ascii="仿宋" w:eastAsia="仿宋"/>
          <w:sz w:val="32"/>
          <w:szCs w:val="32"/>
        </w:rPr>
        <w:t>年1月1日起，至202</w:t>
      </w:r>
      <w:r>
        <w:rPr>
          <w:rFonts w:ascii="仿宋" w:eastAsia="仿宋"/>
          <w:sz w:val="32"/>
          <w:szCs w:val="32"/>
        </w:rPr>
        <w:t>5</w:t>
      </w:r>
      <w:r>
        <w:rPr>
          <w:rFonts w:hint="eastAsia" w:ascii="仿宋" w:eastAsia="仿宋"/>
          <w:sz w:val="32"/>
          <w:szCs w:val="32"/>
        </w:rPr>
        <w:t>年12月31日止。</w:t>
      </w:r>
    </w:p>
    <w:p w14:paraId="7AD1D334">
      <w:pPr>
        <w:ind w:firstLine="640" w:firstLineChars="200"/>
        <w:jc w:val="both"/>
        <w:rPr>
          <w:rFonts w:ascii="仿宋" w:eastAsia="仿宋"/>
          <w:sz w:val="32"/>
          <w:szCs w:val="32"/>
        </w:rPr>
      </w:pPr>
      <w:r>
        <w:rPr>
          <w:rFonts w:hint="eastAsia" w:ascii="仿宋" w:eastAsia="仿宋"/>
          <w:sz w:val="32"/>
          <w:szCs w:val="32"/>
        </w:rPr>
        <w:t>一、总体情况</w:t>
      </w:r>
    </w:p>
    <w:p w14:paraId="6C69CC23">
      <w:pPr>
        <w:jc w:val="both"/>
        <w:rPr>
          <w:rFonts w:ascii="仿宋" w:eastAsia="仿宋"/>
          <w:sz w:val="32"/>
          <w:szCs w:val="32"/>
        </w:rPr>
      </w:pPr>
      <w:r>
        <w:rPr>
          <w:rFonts w:hint="eastAsia" w:ascii="仿宋" w:eastAsia="仿宋"/>
          <w:sz w:val="32"/>
          <w:szCs w:val="32"/>
        </w:rPr>
        <w:t xml:space="preserve">     202</w:t>
      </w:r>
      <w:r>
        <w:rPr>
          <w:rFonts w:ascii="仿宋" w:eastAsia="仿宋"/>
          <w:sz w:val="32"/>
          <w:szCs w:val="32"/>
        </w:rPr>
        <w:t>5</w:t>
      </w:r>
      <w:r>
        <w:rPr>
          <w:rFonts w:hint="eastAsia" w:ascii="仿宋" w:eastAsia="仿宋"/>
          <w:sz w:val="32"/>
          <w:szCs w:val="32"/>
        </w:rPr>
        <w:t>年，县自然资源和规划局结合工作实际，围绕群众关心和社会关注的重要核心，不断丰富公开内容，拓宽公开渠道，创新工作形式,增强公开质量和实效，各项工作扎实有序开展。</w:t>
      </w:r>
    </w:p>
    <w:p w14:paraId="62F56743">
      <w:pPr>
        <w:ind w:firstLine="640" w:firstLineChars="200"/>
        <w:jc w:val="both"/>
        <w:rPr>
          <w:rFonts w:ascii="仿宋" w:eastAsia="仿宋"/>
          <w:sz w:val="32"/>
          <w:szCs w:val="32"/>
        </w:rPr>
      </w:pPr>
      <w:r>
        <w:rPr>
          <w:rFonts w:hint="eastAsia" w:ascii="仿宋" w:eastAsia="仿宋"/>
          <w:sz w:val="32"/>
          <w:szCs w:val="32"/>
        </w:rPr>
        <w:t>(一)主动公开情况</w:t>
      </w:r>
    </w:p>
    <w:p w14:paraId="64557C42">
      <w:pPr>
        <w:ind w:firstLine="640" w:firstLineChars="200"/>
        <w:jc w:val="both"/>
        <w:rPr>
          <w:rFonts w:ascii="仿宋" w:eastAsia="仿宋"/>
          <w:sz w:val="32"/>
          <w:szCs w:val="32"/>
        </w:rPr>
      </w:pPr>
      <w:r>
        <w:rPr>
          <w:rFonts w:hint="eastAsia" w:ascii="仿宋" w:eastAsia="仿宋"/>
          <w:sz w:val="32"/>
          <w:szCs w:val="32"/>
        </w:rPr>
        <w:t>1、加强自然资源和规划领域用权公开。一是加强权力配置信息公开，依法梳理并公开本部门权责清单、公共服务和行政权力中介服务清单等。二是动态调整部门工作职责、机构设置等信息。三是加强权力运行过程信息公开。明确设置意见征集、意见反馈等专栏，统一规范部门政策文件等重大决策类信息的公开。四是按季度做好自然资源各项重点工作任务执行和落实情况信息的公开。本单位在政府信息公开平台全年发布信息</w:t>
      </w:r>
      <w:r>
        <w:rPr>
          <w:rFonts w:ascii="仿宋" w:eastAsia="仿宋"/>
          <w:sz w:val="32"/>
          <w:szCs w:val="32"/>
        </w:rPr>
        <w:t>250</w:t>
      </w:r>
      <w:r>
        <w:rPr>
          <w:rFonts w:hint="eastAsia" w:ascii="仿宋" w:eastAsia="仿宋"/>
          <w:sz w:val="32"/>
          <w:szCs w:val="32"/>
        </w:rPr>
        <w:t>条。</w:t>
      </w:r>
    </w:p>
    <w:p w14:paraId="626BF87B">
      <w:pPr>
        <w:ind w:firstLine="640" w:firstLineChars="200"/>
        <w:jc w:val="both"/>
        <w:rPr>
          <w:rFonts w:ascii="仿宋" w:eastAsia="仿宋"/>
          <w:sz w:val="32"/>
          <w:szCs w:val="32"/>
        </w:rPr>
      </w:pPr>
      <w:r>
        <w:rPr>
          <w:rFonts w:hint="eastAsia" w:ascii="仿宋" w:eastAsia="仿宋"/>
          <w:sz w:val="32"/>
          <w:szCs w:val="32"/>
        </w:rPr>
        <w:t>2、持续深化“放管服”改革，积极推进全县自然资源和规划政务服务事项办理工作,规范信息公开平台法定公开内容和公开目录，提高政策解读精准性。</w:t>
      </w:r>
    </w:p>
    <w:p w14:paraId="6FFAEFC0">
      <w:pPr>
        <w:jc w:val="both"/>
        <w:rPr>
          <w:rFonts w:ascii="仿宋" w:eastAsia="仿宋"/>
          <w:sz w:val="32"/>
          <w:szCs w:val="32"/>
        </w:rPr>
      </w:pPr>
      <w:r>
        <w:rPr>
          <w:rFonts w:hint="eastAsia" w:ascii="仿宋" w:eastAsia="仿宋"/>
          <w:sz w:val="32"/>
          <w:szCs w:val="32"/>
        </w:rPr>
        <w:t xml:space="preserve">    (</w:t>
      </w:r>
      <w:r>
        <w:rPr>
          <w:rFonts w:ascii="仿宋" w:eastAsia="仿宋"/>
          <w:sz w:val="32"/>
          <w:szCs w:val="32"/>
        </w:rPr>
        <w:t>二</w:t>
      </w:r>
      <w:r>
        <w:rPr>
          <w:rFonts w:hint="eastAsia" w:ascii="仿宋" w:eastAsia="仿宋"/>
          <w:sz w:val="32"/>
          <w:szCs w:val="32"/>
        </w:rPr>
        <w:t>)政府信息管理</w:t>
      </w:r>
    </w:p>
    <w:p w14:paraId="2CC91172">
      <w:pPr>
        <w:ind w:firstLine="640" w:firstLineChars="200"/>
        <w:jc w:val="both"/>
        <w:rPr>
          <w:rFonts w:ascii="仿宋" w:eastAsia="仿宋"/>
          <w:sz w:val="32"/>
          <w:szCs w:val="32"/>
        </w:rPr>
      </w:pPr>
      <w:r>
        <w:rPr>
          <w:rFonts w:hint="eastAsia" w:ascii="仿宋" w:eastAsia="仿宋"/>
          <w:sz w:val="32"/>
          <w:szCs w:val="32"/>
        </w:rPr>
        <w:t>一是开展行政规范性文件清理工作，本单位今年未出台规范性文件，截至目前，现行有效规范性文件0件。</w:t>
      </w:r>
      <w:r>
        <w:rPr>
          <w:rFonts w:ascii="仿宋" w:eastAsia="仿宋"/>
          <w:sz w:val="32"/>
          <w:szCs w:val="32"/>
        </w:rPr>
        <w:t>二</w:t>
      </w:r>
      <w:r>
        <w:rPr>
          <w:rFonts w:hint="eastAsia" w:ascii="仿宋" w:eastAsia="仿宋"/>
          <w:sz w:val="32"/>
          <w:szCs w:val="32"/>
        </w:rPr>
        <w:t>是及时修订县自然资源和规划局依申请公开指南。</w:t>
      </w:r>
    </w:p>
    <w:p w14:paraId="16E0F8FB">
      <w:pPr>
        <w:ind w:firstLine="640" w:firstLineChars="200"/>
        <w:jc w:val="both"/>
        <w:rPr>
          <w:rFonts w:ascii="仿宋" w:eastAsia="仿宋"/>
          <w:sz w:val="32"/>
          <w:szCs w:val="32"/>
        </w:rPr>
      </w:pPr>
      <w:r>
        <w:rPr>
          <w:rFonts w:hint="eastAsia" w:ascii="仿宋" w:eastAsia="仿宋"/>
          <w:sz w:val="32"/>
          <w:szCs w:val="32"/>
        </w:rPr>
        <w:t>(</w:t>
      </w:r>
      <w:r>
        <w:rPr>
          <w:rFonts w:ascii="仿宋" w:eastAsia="仿宋"/>
          <w:sz w:val="32"/>
          <w:szCs w:val="32"/>
        </w:rPr>
        <w:t>三</w:t>
      </w:r>
      <w:r>
        <w:rPr>
          <w:rFonts w:hint="eastAsia" w:ascii="仿宋" w:eastAsia="仿宋"/>
          <w:sz w:val="32"/>
          <w:szCs w:val="32"/>
        </w:rPr>
        <w:t>)依申请公开情况</w:t>
      </w:r>
    </w:p>
    <w:p w14:paraId="08DF2DED">
      <w:pPr>
        <w:ind w:firstLine="640" w:firstLineChars="200"/>
        <w:jc w:val="both"/>
        <w:rPr>
          <w:rFonts w:ascii="仿宋" w:eastAsia="仿宋"/>
          <w:sz w:val="32"/>
          <w:szCs w:val="32"/>
        </w:rPr>
      </w:pPr>
      <w:r>
        <w:rPr>
          <w:rFonts w:hint="eastAsia" w:ascii="仿宋" w:eastAsia="仿宋"/>
          <w:sz w:val="32"/>
          <w:szCs w:val="32"/>
        </w:rPr>
        <w:t>202</w:t>
      </w:r>
      <w:r>
        <w:rPr>
          <w:rFonts w:ascii="仿宋" w:eastAsia="仿宋"/>
          <w:sz w:val="32"/>
          <w:szCs w:val="32"/>
        </w:rPr>
        <w:t>5</w:t>
      </w:r>
      <w:r>
        <w:rPr>
          <w:rFonts w:hint="eastAsia" w:ascii="仿宋" w:eastAsia="仿宋"/>
          <w:sz w:val="32"/>
          <w:szCs w:val="32"/>
        </w:rPr>
        <w:t>年办理政府信息公开申请</w:t>
      </w:r>
      <w:r>
        <w:rPr>
          <w:rFonts w:ascii="仿宋" w:eastAsia="仿宋"/>
          <w:sz w:val="32"/>
          <w:szCs w:val="32"/>
        </w:rPr>
        <w:t>12</w:t>
      </w:r>
      <w:r>
        <w:rPr>
          <w:rFonts w:hint="eastAsia" w:ascii="仿宋" w:eastAsia="仿宋"/>
          <w:sz w:val="32"/>
          <w:szCs w:val="32"/>
        </w:rPr>
        <w:t>件。</w:t>
      </w:r>
    </w:p>
    <w:p w14:paraId="38FAF62C">
      <w:pPr>
        <w:widowControl/>
        <w:shd w:val="clear" w:color="auto" w:fill="FFFFFF"/>
        <w:spacing w:line="450" w:lineRule="atLeast"/>
        <w:ind w:firstLine="640" w:firstLineChars="200"/>
        <w:jc w:val="both"/>
        <w:rPr>
          <w:rFonts w:ascii="仿宋" w:eastAsia="仿宋" w:cs="宋体"/>
          <w:color w:val="000000"/>
          <w:kern w:val="0"/>
          <w:sz w:val="32"/>
          <w:szCs w:val="32"/>
        </w:rPr>
      </w:pPr>
      <w:r>
        <w:rPr>
          <w:rFonts w:ascii="仿宋" w:eastAsia="仿宋" w:cs="宋体"/>
          <w:color w:val="000000"/>
          <w:kern w:val="0"/>
          <w:sz w:val="32"/>
          <w:szCs w:val="32"/>
        </w:rPr>
        <w:t>（四）平台建设情况</w:t>
      </w:r>
    </w:p>
    <w:p w14:paraId="2BD3CAA9">
      <w:pPr>
        <w:jc w:val="both"/>
        <w:rPr>
          <w:rFonts w:ascii="微软雅黑" w:hAnsi="微软雅黑" w:eastAsia="仿宋" w:cs="宋体"/>
          <w:color w:val="000000"/>
          <w:kern w:val="0"/>
          <w:sz w:val="32"/>
          <w:szCs w:val="32"/>
        </w:rPr>
      </w:pPr>
      <w:r>
        <w:rPr>
          <w:rFonts w:ascii="微软雅黑" w:hAnsi="微软雅黑" w:eastAsia="仿宋" w:cs="宋体"/>
          <w:color w:val="000000"/>
          <w:kern w:val="0"/>
          <w:sz w:val="32"/>
          <w:szCs w:val="32"/>
        </w:rPr>
        <w:t> </w:t>
      </w:r>
      <w:r>
        <w:rPr>
          <w:rFonts w:ascii="仿宋" w:eastAsia="仿宋" w:cs="宋体"/>
          <w:color w:val="000000"/>
          <w:kern w:val="0"/>
          <w:sz w:val="32"/>
          <w:szCs w:val="32"/>
        </w:rPr>
        <w:t xml:space="preserve"> </w:t>
      </w:r>
      <w:r>
        <w:rPr>
          <w:rFonts w:ascii="微软雅黑" w:hAnsi="微软雅黑" w:eastAsia="仿宋" w:cs="宋体"/>
          <w:color w:val="000000"/>
          <w:kern w:val="0"/>
          <w:sz w:val="32"/>
          <w:szCs w:val="32"/>
        </w:rPr>
        <w:t> </w:t>
      </w:r>
      <w:r>
        <w:rPr>
          <w:rFonts w:hint="eastAsia" w:ascii="微软雅黑" w:hAnsi="微软雅黑" w:eastAsia="仿宋" w:cs="宋体"/>
          <w:color w:val="000000"/>
          <w:kern w:val="0"/>
          <w:sz w:val="32"/>
          <w:szCs w:val="32"/>
        </w:rPr>
        <w:t xml:space="preserve">  健全完善县政府网站的县自然资源和规划局政府信息公开专栏，做好栏目设置。</w:t>
      </w:r>
    </w:p>
    <w:p w14:paraId="67BD1EDE">
      <w:pPr>
        <w:jc w:val="both"/>
        <w:rPr>
          <w:rFonts w:ascii="仿宋" w:eastAsia="仿宋"/>
          <w:sz w:val="32"/>
          <w:szCs w:val="32"/>
        </w:rPr>
      </w:pPr>
      <w:r>
        <w:rPr>
          <w:rFonts w:hint="eastAsia" w:ascii="仿宋" w:eastAsia="仿宋"/>
          <w:sz w:val="32"/>
          <w:szCs w:val="32"/>
        </w:rPr>
        <w:t xml:space="preserve">     (</w:t>
      </w:r>
      <w:r>
        <w:rPr>
          <w:rFonts w:ascii="仿宋" w:eastAsia="仿宋"/>
          <w:sz w:val="32"/>
          <w:szCs w:val="32"/>
        </w:rPr>
        <w:t>五</w:t>
      </w:r>
      <w:r>
        <w:rPr>
          <w:rFonts w:hint="eastAsia" w:ascii="仿宋" w:eastAsia="仿宋"/>
          <w:sz w:val="32"/>
          <w:szCs w:val="32"/>
        </w:rPr>
        <w:t>)监督保障</w:t>
      </w:r>
    </w:p>
    <w:p w14:paraId="50184758">
      <w:pPr>
        <w:ind w:firstLine="640" w:firstLineChars="200"/>
        <w:jc w:val="both"/>
        <w:rPr>
          <w:rFonts w:ascii="仿宋" w:eastAsia="仿宋" w:cs="宋体"/>
          <w:color w:val="000000"/>
          <w:kern w:val="0"/>
          <w:sz w:val="32"/>
          <w:szCs w:val="32"/>
        </w:rPr>
      </w:pPr>
      <w:r>
        <w:rPr>
          <w:rFonts w:hint="eastAsia" w:ascii="仿宋" w:eastAsia="仿宋"/>
          <w:sz w:val="32"/>
          <w:szCs w:val="32"/>
        </w:rPr>
        <w:t>强化组织领导。成立政务公开工作领导小组，明确专人负责信息发布，细化分工，明确职责，为扎实推进政务公开工作打下了良好基础。</w:t>
      </w:r>
      <w:r>
        <w:rPr>
          <w:rFonts w:ascii="仿宋" w:eastAsia="仿宋" w:cs="宋体"/>
          <w:color w:val="000000"/>
          <w:kern w:val="0"/>
          <w:sz w:val="32"/>
          <w:szCs w:val="32"/>
        </w:rPr>
        <w:t>根据政务公开重点工作分解表，建立政务公开重点工作台账，按照完成时限要求，积极督促各相关业务处室完成政务公开任务。</w:t>
      </w:r>
    </w:p>
    <w:p w14:paraId="39554F27">
      <w:pPr>
        <w:rPr>
          <w:rFonts w:ascii="仿宋" w:eastAsia="仿宋" w:cs="宋体"/>
          <w:color w:val="333333"/>
        </w:rPr>
      </w:pPr>
      <w:r>
        <w:rPr>
          <w:rFonts w:hint="eastAsia" w:ascii="仿宋" w:eastAsia="仿宋" w:cs="宋体"/>
          <w:color w:val="333333"/>
          <w:sz w:val="32"/>
          <w:szCs w:val="32"/>
        </w:rPr>
        <w:t>二、主动公开政府信息情况</w:t>
      </w:r>
    </w:p>
    <w:p w14:paraId="2165C5C2">
      <w:pPr>
        <w:pStyle w:val="7"/>
        <w:widowControl/>
        <w:shd w:val="clear" w:color="auto" w:fill="FFFFFF"/>
        <w:spacing w:beforeAutospacing="0" w:afterAutospacing="0"/>
        <w:ind w:firstLine="420"/>
        <w:jc w:val="both"/>
        <w:rPr>
          <w:rFonts w:ascii="仿宋" w:eastAsia="仿宋" w:cs="宋体"/>
          <w:color w:val="333333"/>
        </w:rPr>
      </w:pPr>
    </w:p>
    <w:tbl>
      <w:tblPr>
        <w:tblStyle w:val="8"/>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7422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tcMar>
              <w:left w:w="57" w:type="dxa"/>
              <w:right w:w="57" w:type="dxa"/>
            </w:tcMar>
            <w:vAlign w:val="center"/>
          </w:tcPr>
          <w:p w14:paraId="6258B354">
            <w:pPr>
              <w:widowControl/>
              <w:jc w:val="center"/>
            </w:pPr>
            <w:r>
              <w:rPr>
                <w:rFonts w:hint="eastAsia" w:ascii="宋体" w:cs="宋体"/>
                <w:color w:val="000000"/>
                <w:kern w:val="0"/>
                <w:sz w:val="20"/>
                <w:szCs w:val="20"/>
              </w:rPr>
              <w:t>第二十条第（一）项</w:t>
            </w:r>
          </w:p>
        </w:tc>
      </w:tr>
      <w:tr w14:paraId="47E5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67DC265E">
            <w:pPr>
              <w:widowControl/>
              <w:jc w:val="center"/>
            </w:pPr>
            <w:r>
              <w:rPr>
                <w:rFonts w:hint="eastAsia" w:asci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405B73BB">
            <w:pPr>
              <w:widowControl/>
              <w:jc w:val="center"/>
            </w:pPr>
            <w:r>
              <w:rPr>
                <w:rFonts w:hint="eastAsia" w:ascii="宋体" w:cs="宋体"/>
                <w:color w:val="000000"/>
                <w:kern w:val="0"/>
                <w:sz w:val="20"/>
                <w:szCs w:val="20"/>
              </w:rPr>
              <w:t>本年</w:t>
            </w:r>
            <w:r>
              <w:rPr>
                <w:rFonts w:hint="eastAsia" w:ascii="宋体" w:cs="宋体"/>
                <w:kern w:val="0"/>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610F8277">
            <w:pPr>
              <w:widowControl/>
              <w:jc w:val="center"/>
            </w:pPr>
            <w:r>
              <w:rPr>
                <w:rFonts w:hint="eastAsia" w:asci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65E3779E">
            <w:pPr>
              <w:widowControl/>
              <w:jc w:val="center"/>
            </w:pPr>
            <w:r>
              <w:rPr>
                <w:rFonts w:hint="eastAsia" w:ascii="宋体" w:cs="宋体"/>
                <w:color w:val="000000"/>
                <w:kern w:val="0"/>
                <w:sz w:val="20"/>
                <w:szCs w:val="20"/>
              </w:rPr>
              <w:t>现行有效件</w:t>
            </w:r>
            <w:r>
              <w:rPr>
                <w:rFonts w:hint="eastAsia" w:ascii="宋体" w:cs="宋体"/>
                <w:kern w:val="0"/>
                <w:sz w:val="20"/>
                <w:szCs w:val="20"/>
              </w:rPr>
              <w:t>数</w:t>
            </w:r>
          </w:p>
        </w:tc>
      </w:tr>
      <w:tr w14:paraId="3CA5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shd w:val="clear" w:color="auto" w:fill="auto"/>
            <w:noWrap/>
            <w:tcMar>
              <w:left w:w="57" w:type="dxa"/>
              <w:right w:w="57" w:type="dxa"/>
            </w:tcMar>
            <w:vAlign w:val="center"/>
          </w:tcPr>
          <w:p w14:paraId="04873BF0">
            <w:pPr>
              <w:widowControl/>
              <w:jc w:val="center"/>
            </w:pPr>
            <w:r>
              <w:rPr>
                <w:rFonts w:hint="eastAsia" w:ascii="宋体" w:cs="宋体"/>
                <w:color w:val="000000"/>
                <w:kern w:val="0"/>
                <w:sz w:val="20"/>
                <w:szCs w:val="20"/>
              </w:rPr>
              <w:t>规章</w:t>
            </w:r>
          </w:p>
        </w:tc>
        <w:tc>
          <w:tcPr>
            <w:tcW w:w="2435"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731906E6">
            <w:pPr>
              <w:widowControl/>
              <w:jc w:val="center"/>
            </w:pPr>
            <w:r>
              <w:rPr>
                <w:rFonts w:ascii="宋体" w:cs="宋体"/>
                <w:color w:val="000000"/>
                <w:kern w:val="0"/>
                <w:sz w:val="20"/>
                <w:szCs w:val="20"/>
              </w:rPr>
              <w:t>0</w:t>
            </w:r>
          </w:p>
        </w:tc>
        <w:tc>
          <w:tcPr>
            <w:tcW w:w="2435"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653CDD97">
            <w:pPr>
              <w:widowControl/>
              <w:jc w:val="center"/>
            </w:pPr>
            <w:r>
              <w:rPr>
                <w:rFonts w:ascii="宋体" w:cs="宋体"/>
                <w:color w:val="000000"/>
                <w:kern w:val="0"/>
                <w:sz w:val="20"/>
                <w:szCs w:val="20"/>
              </w:rPr>
              <w:t>0</w:t>
            </w:r>
          </w:p>
        </w:tc>
        <w:tc>
          <w:tcPr>
            <w:tcW w:w="2435"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460AAB02">
            <w:pPr>
              <w:widowControl/>
              <w:jc w:val="center"/>
            </w:pPr>
            <w:r>
              <w:rPr>
                <w:rFonts w:cs="Calibri"/>
                <w:kern w:val="0"/>
                <w:szCs w:val="21"/>
              </w:rPr>
              <w:t>0</w:t>
            </w:r>
          </w:p>
        </w:tc>
      </w:tr>
      <w:tr w14:paraId="5122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shd w:val="clear" w:color="auto" w:fill="auto"/>
            <w:noWrap/>
            <w:tcMar>
              <w:left w:w="57" w:type="dxa"/>
              <w:right w:w="57" w:type="dxa"/>
            </w:tcMar>
            <w:vAlign w:val="center"/>
          </w:tcPr>
          <w:p w14:paraId="2BFB4010">
            <w:pPr>
              <w:widowControl/>
              <w:jc w:val="center"/>
            </w:pPr>
            <w:r>
              <w:rPr>
                <w:rFonts w:hint="eastAsia" w:ascii="宋体" w:cs="宋体"/>
                <w:color w:val="000000"/>
                <w:kern w:val="0"/>
                <w:sz w:val="20"/>
                <w:szCs w:val="20"/>
              </w:rPr>
              <w:t>行政规范性文件</w:t>
            </w:r>
          </w:p>
        </w:tc>
        <w:tc>
          <w:tcPr>
            <w:tcW w:w="2435"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2C5122EE">
            <w:pPr>
              <w:widowControl/>
              <w:jc w:val="center"/>
            </w:pPr>
            <w:r>
              <w:rPr>
                <w:rFonts w:ascii="宋体" w:cs="宋体"/>
                <w:color w:val="000000"/>
                <w:kern w:val="0"/>
                <w:sz w:val="20"/>
                <w:szCs w:val="20"/>
              </w:rPr>
              <w:t>0</w:t>
            </w:r>
          </w:p>
        </w:tc>
        <w:tc>
          <w:tcPr>
            <w:tcW w:w="2435"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1BD17273">
            <w:pPr>
              <w:widowControl/>
              <w:jc w:val="center"/>
            </w:pPr>
            <w:r>
              <w:rPr>
                <w:rFonts w:ascii="宋体" w:cs="宋体"/>
                <w:color w:val="000000"/>
                <w:kern w:val="0"/>
                <w:sz w:val="20"/>
                <w:szCs w:val="20"/>
              </w:rPr>
              <w:t>0</w:t>
            </w:r>
          </w:p>
        </w:tc>
        <w:tc>
          <w:tcPr>
            <w:tcW w:w="2435"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67CF7532">
            <w:pPr>
              <w:widowControl/>
              <w:jc w:val="center"/>
            </w:pPr>
            <w:r>
              <w:rPr>
                <w:rFonts w:cs="Calibri"/>
                <w:kern w:val="0"/>
                <w:szCs w:val="21"/>
              </w:rPr>
              <w:t>0</w:t>
            </w:r>
          </w:p>
        </w:tc>
      </w:tr>
      <w:tr w14:paraId="0F81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14:paraId="75860D5A">
            <w:pPr>
              <w:widowControl/>
              <w:jc w:val="center"/>
            </w:pPr>
            <w:r>
              <w:rPr>
                <w:rFonts w:hint="eastAsia" w:ascii="宋体" w:cs="宋体"/>
                <w:color w:val="000000"/>
                <w:kern w:val="0"/>
                <w:sz w:val="20"/>
                <w:szCs w:val="20"/>
              </w:rPr>
              <w:t>第二十条第（五）项</w:t>
            </w:r>
          </w:p>
        </w:tc>
      </w:tr>
      <w:tr w14:paraId="47BE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29EE45FB">
            <w:pPr>
              <w:widowControl/>
              <w:jc w:val="center"/>
            </w:pPr>
            <w:r>
              <w:rPr>
                <w:rFonts w:hint="eastAsia" w:asci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noWrap/>
            <w:tcMar>
              <w:left w:w="57" w:type="dxa"/>
              <w:right w:w="57" w:type="dxa"/>
            </w:tcMar>
            <w:vAlign w:val="center"/>
          </w:tcPr>
          <w:p w14:paraId="6B426696">
            <w:pPr>
              <w:widowControl/>
              <w:jc w:val="center"/>
            </w:pPr>
            <w:r>
              <w:rPr>
                <w:rFonts w:hint="eastAsia" w:ascii="宋体" w:cs="宋体"/>
                <w:color w:val="000000"/>
                <w:kern w:val="0"/>
                <w:sz w:val="20"/>
                <w:szCs w:val="20"/>
              </w:rPr>
              <w:t>本年处理决定数量</w:t>
            </w:r>
          </w:p>
        </w:tc>
      </w:tr>
      <w:tr w14:paraId="46B4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6BB246FE">
            <w:pPr>
              <w:widowControl/>
              <w:jc w:val="center"/>
            </w:pPr>
            <w:r>
              <w:rPr>
                <w:rFonts w:hint="eastAsia" w:asci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noWrap/>
            <w:tcMar>
              <w:left w:w="57" w:type="dxa"/>
              <w:right w:w="57" w:type="dxa"/>
            </w:tcMar>
            <w:vAlign w:val="center"/>
          </w:tcPr>
          <w:p w14:paraId="63191966">
            <w:pPr>
              <w:widowControl/>
              <w:jc w:val="center"/>
              <w:rPr>
                <w:rFonts w:hint="default" w:eastAsia="宋体"/>
                <w:color w:val="FF0000"/>
                <w:lang w:val="en-US" w:eastAsia="zh-CN"/>
              </w:rPr>
            </w:pPr>
            <w:r>
              <w:rPr>
                <w:rFonts w:hint="eastAsia" w:cs="Calibri"/>
                <w:kern w:val="0"/>
                <w:szCs w:val="21"/>
                <w:lang w:val="en-US" w:eastAsia="zh-CN"/>
              </w:rPr>
              <w:t>41</w:t>
            </w:r>
          </w:p>
        </w:tc>
      </w:tr>
      <w:tr w14:paraId="7FC8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14:paraId="42636DF5">
            <w:pPr>
              <w:widowControl/>
              <w:jc w:val="center"/>
            </w:pPr>
            <w:r>
              <w:rPr>
                <w:rFonts w:hint="eastAsia" w:ascii="宋体" w:cs="宋体"/>
                <w:color w:val="000000"/>
                <w:kern w:val="0"/>
                <w:sz w:val="20"/>
                <w:szCs w:val="20"/>
              </w:rPr>
              <w:t>第二十条第（六）项</w:t>
            </w:r>
          </w:p>
        </w:tc>
      </w:tr>
      <w:tr w14:paraId="5BCB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54A18F84">
            <w:pPr>
              <w:widowControl/>
              <w:jc w:val="center"/>
            </w:pPr>
            <w:r>
              <w:rPr>
                <w:rFonts w:hint="eastAsia" w:asci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78873D90">
            <w:pPr>
              <w:widowControl/>
              <w:jc w:val="center"/>
            </w:pPr>
            <w:r>
              <w:rPr>
                <w:rFonts w:hint="eastAsia" w:ascii="宋体" w:cs="宋体"/>
                <w:color w:val="000000"/>
                <w:kern w:val="0"/>
                <w:sz w:val="20"/>
                <w:szCs w:val="20"/>
              </w:rPr>
              <w:t>本年处理决定数量</w:t>
            </w:r>
          </w:p>
        </w:tc>
      </w:tr>
      <w:tr w14:paraId="7E90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2601963B">
            <w:pPr>
              <w:widowControl/>
              <w:jc w:val="center"/>
            </w:pPr>
            <w:r>
              <w:rPr>
                <w:rFonts w:hint="eastAsia" w:asci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noWrap/>
            <w:tcMar>
              <w:left w:w="57" w:type="dxa"/>
              <w:right w:w="57" w:type="dxa"/>
            </w:tcMar>
            <w:vAlign w:val="center"/>
          </w:tcPr>
          <w:p w14:paraId="1E0C9F76">
            <w:pPr>
              <w:widowControl/>
              <w:jc w:val="center"/>
            </w:pPr>
            <w:r>
              <w:rPr>
                <w:rFonts w:ascii="宋体" w:cs="宋体"/>
                <w:kern w:val="0"/>
                <w:sz w:val="20"/>
                <w:szCs w:val="20"/>
              </w:rPr>
              <w:t>100</w:t>
            </w:r>
          </w:p>
        </w:tc>
      </w:tr>
      <w:tr w14:paraId="4865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1AEFD5F4">
            <w:pPr>
              <w:widowControl/>
              <w:jc w:val="center"/>
            </w:pPr>
            <w:r>
              <w:rPr>
                <w:rFonts w:hint="eastAsia" w:asci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noWrap/>
            <w:tcMar>
              <w:left w:w="57" w:type="dxa"/>
              <w:right w:w="57" w:type="dxa"/>
            </w:tcMar>
            <w:vAlign w:val="center"/>
          </w:tcPr>
          <w:p w14:paraId="485213CE">
            <w:pPr>
              <w:widowControl/>
              <w:jc w:val="center"/>
            </w:pPr>
            <w:r>
              <w:rPr>
                <w:rFonts w:ascii="宋体" w:cs="宋体"/>
                <w:color w:val="000000"/>
                <w:kern w:val="0"/>
                <w:sz w:val="20"/>
                <w:szCs w:val="20"/>
              </w:rPr>
              <w:t>0</w:t>
            </w:r>
          </w:p>
        </w:tc>
      </w:tr>
      <w:tr w14:paraId="2BC5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tcMar>
              <w:left w:w="57" w:type="dxa"/>
              <w:right w:w="57" w:type="dxa"/>
            </w:tcMar>
            <w:vAlign w:val="center"/>
          </w:tcPr>
          <w:p w14:paraId="16E84D88">
            <w:pPr>
              <w:widowControl/>
              <w:jc w:val="center"/>
            </w:pPr>
            <w:r>
              <w:rPr>
                <w:rFonts w:hint="eastAsia" w:ascii="宋体" w:cs="宋体"/>
                <w:color w:val="000000"/>
                <w:kern w:val="0"/>
                <w:sz w:val="20"/>
                <w:szCs w:val="20"/>
              </w:rPr>
              <w:t>第二十条第（八）项</w:t>
            </w:r>
          </w:p>
        </w:tc>
      </w:tr>
      <w:tr w14:paraId="7BB4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1A6783E1">
            <w:pPr>
              <w:widowControl/>
              <w:jc w:val="center"/>
            </w:pPr>
            <w:r>
              <w:rPr>
                <w:rFonts w:hint="eastAsia" w:asci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noWrap/>
            <w:tcMar>
              <w:left w:w="57" w:type="dxa"/>
              <w:right w:w="57" w:type="dxa"/>
            </w:tcMar>
            <w:vAlign w:val="center"/>
          </w:tcPr>
          <w:p w14:paraId="48EA7685">
            <w:pPr>
              <w:widowControl/>
              <w:jc w:val="center"/>
            </w:pPr>
            <w:r>
              <w:rPr>
                <w:rFonts w:hint="eastAsia" w:ascii="宋体" w:cs="宋体"/>
                <w:color w:val="000000"/>
                <w:kern w:val="0"/>
                <w:sz w:val="20"/>
                <w:szCs w:val="20"/>
              </w:rPr>
              <w:t>本年收费金额（单位：万元）</w:t>
            </w:r>
          </w:p>
        </w:tc>
      </w:tr>
      <w:tr w14:paraId="41FD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6DF360F7">
            <w:pPr>
              <w:widowControl/>
              <w:jc w:val="center"/>
            </w:pPr>
            <w:r>
              <w:rPr>
                <w:rFonts w:hint="eastAsia" w:asci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noWrap/>
            <w:tcMar>
              <w:left w:w="57" w:type="dxa"/>
              <w:right w:w="57" w:type="dxa"/>
            </w:tcMar>
            <w:vAlign w:val="center"/>
          </w:tcPr>
          <w:p w14:paraId="31DA7593">
            <w:pPr>
              <w:jc w:val="center"/>
              <w:rPr>
                <w:rFonts w:ascii="宋体"/>
                <w:sz w:val="24"/>
                <w:szCs w:val="24"/>
              </w:rPr>
            </w:pPr>
            <w:r>
              <w:rPr>
                <w:rFonts w:ascii="宋体"/>
                <w:sz w:val="24"/>
                <w:szCs w:val="24"/>
              </w:rPr>
              <w:t>0</w:t>
            </w:r>
          </w:p>
        </w:tc>
      </w:tr>
    </w:tbl>
    <w:tbl>
      <w:tblPr>
        <w:tblStyle w:val="9"/>
        <w:tblpPr w:leftFromText="180" w:rightFromText="180" w:vertAnchor="text" w:tblpX="10214" w:tblpY="-3478"/>
        <w:tblOverlap w:val="never"/>
        <w:tblW w:w="1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31"/>
      </w:tblGrid>
      <w:tr w14:paraId="18C7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Before w:w="0" w:type="auto"/>
          <w:wAfter w:w="0" w:type="auto"/>
          <w:trHeight w:val="30" w:hRule="atLeast"/>
        </w:trPr>
        <w:tc>
          <w:tcPr>
            <w:tcW w:w="1631" w:type="dxa"/>
          </w:tcPr>
          <w:p w14:paraId="624B8987">
            <w:pPr>
              <w:widowControl/>
              <w:jc w:val="left"/>
              <w:rPr>
                <w:vertAlign w:val="baseline"/>
              </w:rPr>
            </w:pPr>
          </w:p>
        </w:tc>
      </w:tr>
    </w:tbl>
    <w:p w14:paraId="5A06AC10">
      <w:pPr>
        <w:widowControl/>
        <w:jc w:val="left"/>
      </w:pPr>
    </w:p>
    <w:p w14:paraId="60B97BA1">
      <w:pPr>
        <w:pStyle w:val="7"/>
        <w:widowControl/>
        <w:shd w:val="clear" w:color="auto" w:fill="FFFFFF"/>
        <w:spacing w:beforeAutospacing="0" w:afterAutospacing="0"/>
        <w:ind w:firstLine="420"/>
        <w:jc w:val="both"/>
        <w:rPr>
          <w:rFonts w:ascii="宋体" w:cs="宋体"/>
          <w:color w:val="333333"/>
        </w:rPr>
      </w:pPr>
      <w:r>
        <w:rPr>
          <w:rFonts w:hint="eastAsia" w:ascii="宋体" w:cs="宋体"/>
          <w:b/>
          <w:bCs/>
          <w:color w:val="333333"/>
          <w:shd w:val="clear" w:color="auto" w:fill="FFFFFF"/>
        </w:rPr>
        <w:t>三、收到和处理政府信息公开申请情况</w:t>
      </w:r>
    </w:p>
    <w:p w14:paraId="51874B72">
      <w:pPr>
        <w:pStyle w:val="7"/>
        <w:widowControl/>
        <w:shd w:val="clear" w:color="auto" w:fill="FFFFFF"/>
        <w:spacing w:beforeAutospacing="0" w:afterAutospacing="0"/>
        <w:ind w:firstLine="420"/>
        <w:jc w:val="both"/>
        <w:rPr>
          <w:rFonts w:ascii="宋体" w:cs="宋体"/>
          <w:color w:val="333333"/>
        </w:rPr>
      </w:pPr>
    </w:p>
    <w:tbl>
      <w:tblPr>
        <w:tblStyle w:val="8"/>
        <w:tblW w:w="101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85"/>
        <w:gridCol w:w="959"/>
        <w:gridCol w:w="3406"/>
        <w:gridCol w:w="714"/>
        <w:gridCol w:w="714"/>
        <w:gridCol w:w="714"/>
        <w:gridCol w:w="714"/>
        <w:gridCol w:w="714"/>
        <w:gridCol w:w="714"/>
        <w:gridCol w:w="714"/>
      </w:tblGrid>
      <w:tr w14:paraId="4805CE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noWrap/>
            <w:tcMar>
              <w:left w:w="108" w:type="dxa"/>
              <w:right w:w="108" w:type="dxa"/>
            </w:tcMar>
            <w:vAlign w:val="center"/>
          </w:tcPr>
          <w:p w14:paraId="07EFD1EA">
            <w:pPr>
              <w:widowControl/>
              <w:jc w:val="left"/>
            </w:pPr>
            <w:r>
              <w:rPr>
                <w:rFonts w:hint="eastAsia" w:ascii="楷体" w:eastAsia="楷体" w:cs="楷体"/>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4C72875A">
            <w:pPr>
              <w:widowControl/>
              <w:jc w:val="center"/>
            </w:pPr>
            <w:r>
              <w:rPr>
                <w:rFonts w:hint="eastAsia" w:ascii="宋体" w:cs="宋体"/>
                <w:kern w:val="0"/>
                <w:sz w:val="20"/>
                <w:szCs w:val="20"/>
              </w:rPr>
              <w:t>申请人情况</w:t>
            </w:r>
          </w:p>
        </w:tc>
      </w:tr>
      <w:tr w14:paraId="54C510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noWrap/>
            <w:tcMar>
              <w:left w:w="108" w:type="dxa"/>
              <w:right w:w="108" w:type="dxa"/>
            </w:tcMar>
            <w:vAlign w:val="center"/>
          </w:tcPr>
          <w:p w14:paraId="33D060DD"/>
        </w:tc>
        <w:tc>
          <w:tcPr>
            <w:tcW w:w="714" w:type="dxa"/>
            <w:vMerge w:val="restart"/>
            <w:tcBorders>
              <w:top w:val="nil"/>
              <w:left w:val="nil"/>
              <w:bottom w:val="single" w:color="auto" w:sz="8" w:space="0"/>
              <w:right w:val="single" w:color="auto" w:sz="8" w:space="0"/>
            </w:tcBorders>
            <w:shd w:val="clear" w:color="auto" w:fill="auto"/>
            <w:noWrap/>
            <w:tcMar>
              <w:left w:w="57" w:type="dxa"/>
              <w:right w:w="57" w:type="dxa"/>
            </w:tcMar>
            <w:vAlign w:val="center"/>
          </w:tcPr>
          <w:p w14:paraId="696F59C6">
            <w:pPr>
              <w:widowControl/>
              <w:jc w:val="center"/>
              <w:rPr>
                <w:rFonts w:ascii="宋体"/>
                <w:sz w:val="24"/>
                <w:szCs w:val="24"/>
              </w:rPr>
            </w:pPr>
            <w:r>
              <w:rPr>
                <w:rFonts w:hint="eastAsia" w:ascii="宋体" w:cs="宋体"/>
                <w:kern w:val="0"/>
                <w:sz w:val="20"/>
                <w:szCs w:val="20"/>
              </w:rPr>
              <w:t>自然人</w:t>
            </w:r>
          </w:p>
        </w:tc>
        <w:tc>
          <w:tcPr>
            <w:tcW w:w="3570" w:type="dxa"/>
            <w:gridSpan w:val="5"/>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4BC3A65D">
            <w:pPr>
              <w:widowControl/>
              <w:jc w:val="center"/>
            </w:pPr>
            <w:r>
              <w:rPr>
                <w:rFonts w:hint="eastAsia" w:ascii="宋体" w:cs="宋体"/>
                <w:kern w:val="0"/>
                <w:sz w:val="20"/>
                <w:szCs w:val="20"/>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noWrap/>
            <w:tcMar>
              <w:left w:w="57" w:type="dxa"/>
              <w:right w:w="57" w:type="dxa"/>
            </w:tcMar>
            <w:vAlign w:val="center"/>
          </w:tcPr>
          <w:p w14:paraId="438AE018">
            <w:pPr>
              <w:widowControl/>
              <w:jc w:val="center"/>
            </w:pPr>
            <w:r>
              <w:rPr>
                <w:rFonts w:hint="eastAsia" w:ascii="宋体" w:cs="宋体"/>
                <w:kern w:val="0"/>
                <w:sz w:val="20"/>
                <w:szCs w:val="20"/>
              </w:rPr>
              <w:t>总计</w:t>
            </w:r>
          </w:p>
        </w:tc>
      </w:tr>
      <w:tr w14:paraId="2FAACA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noWrap/>
            <w:tcMar>
              <w:left w:w="108" w:type="dxa"/>
              <w:right w:w="108" w:type="dxa"/>
            </w:tcMar>
            <w:vAlign w:val="center"/>
          </w:tcPr>
          <w:p w14:paraId="712FB4AD"/>
        </w:tc>
        <w:tc>
          <w:tcPr>
            <w:tcW w:w="714" w:type="dxa"/>
            <w:vMerge w:val="continue"/>
            <w:tcBorders>
              <w:top w:val="nil"/>
              <w:left w:val="nil"/>
              <w:bottom w:val="single" w:color="auto" w:sz="8" w:space="0"/>
              <w:right w:val="single" w:color="auto" w:sz="8" w:space="0"/>
            </w:tcBorders>
            <w:shd w:val="clear" w:color="auto" w:fill="auto"/>
            <w:noWrap/>
            <w:tcMar>
              <w:left w:w="57" w:type="dxa"/>
              <w:right w:w="57" w:type="dxa"/>
            </w:tcMar>
            <w:vAlign w:val="center"/>
          </w:tcPr>
          <w:p w14:paraId="336A3843"/>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A49FA79">
            <w:pPr>
              <w:widowControl/>
              <w:jc w:val="center"/>
              <w:rPr>
                <w:rFonts w:ascii="宋体"/>
                <w:sz w:val="24"/>
                <w:szCs w:val="24"/>
              </w:rPr>
            </w:pPr>
            <w:r>
              <w:rPr>
                <w:rFonts w:hint="eastAsia" w:ascii="宋体" w:cs="宋体"/>
                <w:kern w:val="0"/>
                <w:sz w:val="20"/>
                <w:szCs w:val="20"/>
              </w:rPr>
              <w:t>商业</w:t>
            </w:r>
          </w:p>
          <w:p w14:paraId="042086AE">
            <w:pPr>
              <w:widowControl/>
              <w:jc w:val="center"/>
            </w:pPr>
            <w:r>
              <w:rPr>
                <w:rFonts w:hint="eastAsia" w:ascii="宋体" w:cs="宋体"/>
                <w:kern w:val="0"/>
                <w:sz w:val="20"/>
                <w:szCs w:val="20"/>
              </w:rPr>
              <w:t>企业</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B511EEB">
            <w:pPr>
              <w:widowControl/>
              <w:jc w:val="center"/>
            </w:pPr>
            <w:r>
              <w:rPr>
                <w:rFonts w:hint="eastAsia" w:ascii="宋体" w:cs="宋体"/>
                <w:kern w:val="0"/>
                <w:sz w:val="20"/>
                <w:szCs w:val="20"/>
              </w:rPr>
              <w:t>科研</w:t>
            </w:r>
          </w:p>
          <w:p w14:paraId="1214ED8B">
            <w:pPr>
              <w:widowControl/>
              <w:jc w:val="center"/>
            </w:pPr>
            <w:r>
              <w:rPr>
                <w:rFonts w:hint="eastAsia" w:ascii="宋体" w:cs="宋体"/>
                <w:kern w:val="0"/>
                <w:sz w:val="20"/>
                <w:szCs w:val="20"/>
              </w:rPr>
              <w:t>机构</w:t>
            </w:r>
          </w:p>
        </w:tc>
        <w:tc>
          <w:tcPr>
            <w:tcW w:w="714"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6CED546F">
            <w:pPr>
              <w:widowControl/>
              <w:jc w:val="center"/>
            </w:pPr>
            <w:r>
              <w:rPr>
                <w:rFonts w:hint="eastAsia" w:ascii="宋体" w:cs="宋体"/>
                <w:kern w:val="0"/>
                <w:sz w:val="20"/>
                <w:szCs w:val="20"/>
              </w:rPr>
              <w:t>社会公益组织</w:t>
            </w:r>
          </w:p>
        </w:tc>
        <w:tc>
          <w:tcPr>
            <w:tcW w:w="714"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3CFFCB9B">
            <w:pPr>
              <w:widowControl/>
              <w:jc w:val="center"/>
            </w:pPr>
            <w:r>
              <w:rPr>
                <w:rFonts w:hint="eastAsia" w:ascii="宋体" w:cs="宋体"/>
                <w:kern w:val="0"/>
                <w:sz w:val="20"/>
                <w:szCs w:val="20"/>
              </w:rPr>
              <w:t>法律服务机构</w:t>
            </w:r>
          </w:p>
        </w:tc>
        <w:tc>
          <w:tcPr>
            <w:tcW w:w="714"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3CF5CBDB">
            <w:pPr>
              <w:widowControl/>
              <w:jc w:val="center"/>
            </w:pPr>
            <w:r>
              <w:rPr>
                <w:rFonts w:hint="eastAsia" w:ascii="宋体" w:cs="宋体"/>
                <w:kern w:val="0"/>
                <w:sz w:val="20"/>
                <w:szCs w:val="20"/>
              </w:rPr>
              <w:t>其他</w:t>
            </w:r>
          </w:p>
        </w:tc>
        <w:tc>
          <w:tcPr>
            <w:tcW w:w="714" w:type="dxa"/>
            <w:vMerge w:val="continue"/>
            <w:tcBorders>
              <w:top w:val="single" w:color="auto" w:sz="8" w:space="0"/>
              <w:left w:val="nil"/>
              <w:bottom w:val="outset" w:color="auto" w:sz="8" w:space="0"/>
              <w:right w:val="single" w:color="auto" w:sz="8" w:space="0"/>
            </w:tcBorders>
            <w:shd w:val="clear" w:color="auto" w:fill="auto"/>
            <w:noWrap/>
            <w:tcMar>
              <w:left w:w="57" w:type="dxa"/>
              <w:right w:w="57" w:type="dxa"/>
            </w:tcMar>
            <w:vAlign w:val="center"/>
          </w:tcPr>
          <w:p w14:paraId="2E8A7F93"/>
        </w:tc>
      </w:tr>
      <w:tr w14:paraId="2884D7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3657B0B9">
            <w:pPr>
              <w:widowControl/>
              <w:jc w:val="center"/>
              <w:rPr>
                <w:rFonts w:ascii="宋体"/>
                <w:sz w:val="24"/>
                <w:szCs w:val="24"/>
              </w:rPr>
            </w:pPr>
            <w:r>
              <w:rPr>
                <w:rFonts w:hint="eastAsia" w:ascii="宋体" w:cs="宋体"/>
                <w:kern w:val="0"/>
                <w:sz w:val="20"/>
                <w:szCs w:val="20"/>
              </w:rPr>
              <w:t>一、本年新收政府信息公开申请数量</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0570064">
            <w:pPr>
              <w:widowControl/>
              <w:jc w:val="center"/>
            </w:pPr>
            <w:r>
              <w:rPr>
                <w:rFonts w:hint="eastAsia"/>
              </w:rPr>
              <w:t>1</w:t>
            </w:r>
            <w:r>
              <w:t>2</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50EE2C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5329F4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A68309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49626A2">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DCEB06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1D2AD19">
            <w:pPr>
              <w:widowControl/>
              <w:jc w:val="center"/>
            </w:pPr>
            <w:r>
              <w:rPr>
                <w:rFonts w:hint="eastAsia" w:cs="Calibri"/>
                <w:kern w:val="0"/>
                <w:sz w:val="20"/>
                <w:szCs w:val="20"/>
              </w:rPr>
              <w:t>1</w:t>
            </w:r>
            <w:r>
              <w:rPr>
                <w:rFonts w:cs="Calibri"/>
                <w:kern w:val="0"/>
                <w:sz w:val="20"/>
                <w:szCs w:val="20"/>
              </w:rPr>
              <w:t>2</w:t>
            </w:r>
          </w:p>
        </w:tc>
      </w:tr>
      <w:tr w14:paraId="6A99E6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1CE34F2D">
            <w:pPr>
              <w:widowControl/>
              <w:jc w:val="center"/>
            </w:pPr>
            <w:r>
              <w:rPr>
                <w:rFonts w:hint="eastAsia" w:ascii="宋体" w:cs="宋体"/>
                <w:kern w:val="0"/>
                <w:sz w:val="20"/>
                <w:szCs w:val="20"/>
              </w:rPr>
              <w:t>二、上年结转政府信息公开申请数量</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B057441">
            <w:pPr>
              <w:widowControl/>
              <w:jc w:val="center"/>
            </w:pPr>
            <w:r>
              <w:t>4</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8C8F50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39BCA5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212E57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5EBF6BF">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D34727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2652BDE">
            <w:pPr>
              <w:widowControl/>
              <w:jc w:val="center"/>
            </w:pPr>
            <w:r>
              <w:rPr>
                <w:rFonts w:cs="Calibri"/>
                <w:kern w:val="0"/>
                <w:sz w:val="20"/>
                <w:szCs w:val="20"/>
              </w:rPr>
              <w:t>4</w:t>
            </w:r>
          </w:p>
        </w:tc>
      </w:tr>
      <w:tr w14:paraId="4B53D8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053C48A6">
            <w:pPr>
              <w:widowControl/>
              <w:jc w:val="center"/>
            </w:pPr>
            <w:r>
              <w:rPr>
                <w:rFonts w:hint="eastAsia" w:ascii="宋体" w:cs="宋体"/>
                <w:kern w:val="0"/>
                <w:sz w:val="20"/>
                <w:szCs w:val="20"/>
              </w:rPr>
              <w:t>三、本年度办理结果</w:t>
            </w:r>
          </w:p>
        </w:tc>
        <w:tc>
          <w:tcPr>
            <w:tcW w:w="4365" w:type="dxa"/>
            <w:gridSpan w:val="2"/>
            <w:tcBorders>
              <w:top w:val="nil"/>
              <w:left w:val="nil"/>
              <w:bottom w:val="single" w:color="auto" w:sz="8" w:space="0"/>
              <w:right w:val="single" w:color="auto" w:sz="8" w:space="0"/>
            </w:tcBorders>
            <w:shd w:val="clear" w:color="auto" w:fill="auto"/>
            <w:noWrap/>
            <w:tcMar>
              <w:left w:w="57" w:type="dxa"/>
              <w:right w:w="57" w:type="dxa"/>
            </w:tcMar>
            <w:vAlign w:val="center"/>
          </w:tcPr>
          <w:p w14:paraId="26D7022A">
            <w:pPr>
              <w:widowControl/>
              <w:jc w:val="center"/>
            </w:pPr>
            <w:r>
              <w:rPr>
                <w:rFonts w:hint="eastAsia" w:ascii="宋体" w:cs="宋体"/>
                <w:kern w:val="0"/>
                <w:sz w:val="20"/>
                <w:szCs w:val="20"/>
              </w:rPr>
              <w:t>（一）予以公开</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1C624E1">
            <w:pPr>
              <w:widowControl/>
              <w:jc w:val="center"/>
            </w:pPr>
            <w:r>
              <w:t>16</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D7A368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71D45C7">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E260B43">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14F5D2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F31B80D">
            <w:pPr>
              <w:widowControl/>
              <w:jc w:val="center"/>
            </w:pPr>
            <w:r>
              <w:rPr>
                <w:rFonts w:cs="Calibri"/>
                <w:kern w:val="0"/>
                <w:sz w:val="20"/>
                <w:szCs w:val="20"/>
              </w:rPr>
              <w:t>0</w:t>
            </w:r>
          </w:p>
        </w:tc>
        <w:tc>
          <w:tcPr>
            <w:tcW w:w="714"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45F71624">
            <w:pPr>
              <w:widowControl/>
              <w:jc w:val="center"/>
            </w:pPr>
            <w:r>
              <w:rPr>
                <w:rFonts w:cs="Calibri"/>
                <w:kern w:val="0"/>
                <w:sz w:val="20"/>
                <w:szCs w:val="20"/>
              </w:rPr>
              <w:t>16</w:t>
            </w:r>
          </w:p>
        </w:tc>
      </w:tr>
      <w:tr w14:paraId="50C5D1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08DDFD82"/>
        </w:tc>
        <w:tc>
          <w:tcPr>
            <w:tcW w:w="4365" w:type="dxa"/>
            <w:gridSpan w:val="2"/>
            <w:tcBorders>
              <w:top w:val="nil"/>
              <w:left w:val="nil"/>
              <w:bottom w:val="single" w:color="auto" w:sz="8" w:space="0"/>
              <w:right w:val="single" w:color="auto" w:sz="8" w:space="0"/>
            </w:tcBorders>
            <w:shd w:val="clear" w:color="auto" w:fill="auto"/>
            <w:noWrap/>
            <w:tcMar>
              <w:left w:w="57" w:type="dxa"/>
              <w:right w:w="57" w:type="dxa"/>
            </w:tcMar>
            <w:vAlign w:val="center"/>
          </w:tcPr>
          <w:p w14:paraId="133542D3">
            <w:pPr>
              <w:widowControl/>
              <w:jc w:val="center"/>
              <w:rPr>
                <w:rFonts w:ascii="宋体"/>
                <w:sz w:val="24"/>
                <w:szCs w:val="24"/>
              </w:rPr>
            </w:pPr>
            <w:r>
              <w:rPr>
                <w:rFonts w:hint="eastAsia" w:ascii="宋体" w:cs="宋体"/>
                <w:kern w:val="0"/>
                <w:sz w:val="20"/>
                <w:szCs w:val="20"/>
              </w:rPr>
              <w:t>（二）部分公开</w:t>
            </w:r>
            <w:r>
              <w:rPr>
                <w:rFonts w:hint="eastAsia" w:ascii="楷体" w:eastAsia="楷体" w:cs="楷体"/>
                <w:kern w:val="0"/>
                <w:sz w:val="20"/>
                <w:szCs w:val="20"/>
              </w:rPr>
              <w:t>（区分处理的，只计这一情形，不计其他情形）</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63EFDB5">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4BA84E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EBAE262">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756B35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E5B044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8DAEB72">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BBD0B12">
            <w:pPr>
              <w:widowControl/>
              <w:jc w:val="center"/>
            </w:pPr>
            <w:r>
              <w:rPr>
                <w:rFonts w:cs="Calibri"/>
                <w:kern w:val="0"/>
                <w:sz w:val="20"/>
                <w:szCs w:val="20"/>
              </w:rPr>
              <w:t>0</w:t>
            </w:r>
          </w:p>
        </w:tc>
      </w:tr>
      <w:tr w14:paraId="33BC09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1C796518"/>
        </w:tc>
        <w:tc>
          <w:tcPr>
            <w:tcW w:w="959" w:type="dxa"/>
            <w:vMerge w:val="restart"/>
            <w:tcBorders>
              <w:top w:val="nil"/>
              <w:left w:val="nil"/>
              <w:bottom w:val="outset" w:color="auto" w:sz="8" w:space="0"/>
              <w:right w:val="single" w:color="auto" w:sz="8" w:space="0"/>
            </w:tcBorders>
            <w:shd w:val="clear" w:color="auto" w:fill="auto"/>
            <w:noWrap/>
            <w:tcMar>
              <w:left w:w="57" w:type="dxa"/>
              <w:right w:w="57" w:type="dxa"/>
            </w:tcMar>
            <w:vAlign w:val="center"/>
          </w:tcPr>
          <w:p w14:paraId="7CA6433B">
            <w:pPr>
              <w:widowControl/>
              <w:jc w:val="center"/>
              <w:rPr>
                <w:rFonts w:ascii="宋体"/>
                <w:sz w:val="24"/>
                <w:szCs w:val="24"/>
              </w:rPr>
            </w:pPr>
            <w:r>
              <w:rPr>
                <w:rFonts w:hint="eastAsia" w:ascii="宋体" w:cs="宋体"/>
                <w:kern w:val="0"/>
                <w:sz w:val="20"/>
                <w:szCs w:val="20"/>
              </w:rPr>
              <w:t>（三）不予公开</w:t>
            </w:r>
          </w:p>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62C6A12F">
            <w:pPr>
              <w:widowControl/>
              <w:jc w:val="center"/>
            </w:pPr>
            <w:r>
              <w:rPr>
                <w:rFonts w:hint="eastAsia" w:ascii="宋体" w:cs="宋体"/>
                <w:kern w:val="0"/>
                <w:sz w:val="20"/>
                <w:szCs w:val="20"/>
              </w:rPr>
              <w:t>1.属于国家秘密</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7D3C977">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41E8A7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1EA7F5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B2826D3">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CF4957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E5A9769">
            <w:pPr>
              <w:widowControl/>
              <w:jc w:val="center"/>
            </w:pPr>
            <w:r>
              <w:rPr>
                <w:rFonts w:cs="Calibri"/>
                <w:kern w:val="0"/>
                <w:sz w:val="20"/>
                <w:szCs w:val="20"/>
              </w:rPr>
              <w:t>0</w:t>
            </w:r>
          </w:p>
        </w:tc>
        <w:tc>
          <w:tcPr>
            <w:tcW w:w="714" w:type="dxa"/>
            <w:tcBorders>
              <w:top w:val="single" w:color="auto" w:sz="8" w:space="0"/>
              <w:left w:val="nil"/>
              <w:bottom w:val="single" w:color="auto" w:sz="8" w:space="0"/>
              <w:right w:val="single" w:color="auto" w:sz="8" w:space="0"/>
            </w:tcBorders>
            <w:shd w:val="clear" w:color="auto" w:fill="auto"/>
            <w:noWrap/>
            <w:tcMar>
              <w:left w:w="57" w:type="dxa"/>
              <w:right w:w="57" w:type="dxa"/>
            </w:tcMar>
            <w:vAlign w:val="center"/>
          </w:tcPr>
          <w:p w14:paraId="13602DC1">
            <w:pPr>
              <w:widowControl/>
              <w:jc w:val="center"/>
            </w:pPr>
            <w:r>
              <w:rPr>
                <w:rFonts w:cs="Calibri"/>
                <w:kern w:val="0"/>
                <w:sz w:val="20"/>
                <w:szCs w:val="20"/>
              </w:rPr>
              <w:t>0</w:t>
            </w:r>
          </w:p>
        </w:tc>
      </w:tr>
      <w:tr w14:paraId="70A0E9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6BC28022"/>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71392BE6"/>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1B09B6A9">
            <w:pPr>
              <w:widowControl/>
              <w:jc w:val="center"/>
              <w:rPr>
                <w:rFonts w:ascii="宋体"/>
                <w:sz w:val="24"/>
                <w:szCs w:val="24"/>
              </w:rPr>
            </w:pPr>
            <w:r>
              <w:rPr>
                <w:rFonts w:hint="eastAsia" w:ascii="宋体" w:cs="宋体"/>
                <w:kern w:val="0"/>
                <w:sz w:val="20"/>
                <w:szCs w:val="20"/>
              </w:rPr>
              <w:t>2.其他法律行政法规禁止公开</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B095C8A">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596A10D">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358BD7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5680A9D">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9A4330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4B4B52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C4AB0E0">
            <w:pPr>
              <w:widowControl/>
              <w:jc w:val="center"/>
            </w:pPr>
            <w:r>
              <w:rPr>
                <w:rFonts w:cs="Calibri"/>
                <w:kern w:val="0"/>
                <w:sz w:val="20"/>
                <w:szCs w:val="20"/>
              </w:rPr>
              <w:t>0</w:t>
            </w:r>
          </w:p>
        </w:tc>
      </w:tr>
      <w:tr w14:paraId="5F888F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5683F778"/>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5AA99EC5"/>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1DE8AB89">
            <w:pPr>
              <w:widowControl/>
              <w:jc w:val="center"/>
              <w:rPr>
                <w:rFonts w:ascii="宋体"/>
                <w:sz w:val="24"/>
                <w:szCs w:val="24"/>
              </w:rPr>
            </w:pPr>
            <w:r>
              <w:rPr>
                <w:rFonts w:hint="eastAsia" w:ascii="宋体" w:cs="宋体"/>
                <w:kern w:val="0"/>
                <w:sz w:val="20"/>
                <w:szCs w:val="20"/>
              </w:rPr>
              <w:t>3.危及“三安全一稳定”</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93B4BFD">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7FBE77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6082E5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AB555DC">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BF671B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0DA45A7">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41AE4E0">
            <w:pPr>
              <w:widowControl/>
              <w:jc w:val="center"/>
            </w:pPr>
            <w:r>
              <w:rPr>
                <w:rFonts w:cs="Calibri"/>
                <w:kern w:val="0"/>
                <w:sz w:val="20"/>
                <w:szCs w:val="20"/>
              </w:rPr>
              <w:t>0</w:t>
            </w:r>
          </w:p>
        </w:tc>
      </w:tr>
      <w:tr w14:paraId="55DC32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507CDC95"/>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53095004"/>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4210124A">
            <w:pPr>
              <w:widowControl/>
              <w:jc w:val="center"/>
              <w:rPr>
                <w:rFonts w:ascii="宋体"/>
                <w:sz w:val="24"/>
                <w:szCs w:val="24"/>
              </w:rPr>
            </w:pPr>
            <w:r>
              <w:rPr>
                <w:rFonts w:hint="eastAsia" w:ascii="宋体" w:cs="宋体"/>
                <w:kern w:val="0"/>
                <w:sz w:val="20"/>
                <w:szCs w:val="20"/>
              </w:rPr>
              <w:t>4.保护第三方合法权益</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74A2C3C">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856526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AAF535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C57827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8E6D03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933EBC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16863B7">
            <w:pPr>
              <w:widowControl/>
              <w:jc w:val="center"/>
            </w:pPr>
            <w:r>
              <w:rPr>
                <w:rFonts w:cs="Calibri"/>
                <w:kern w:val="0"/>
                <w:sz w:val="20"/>
                <w:szCs w:val="20"/>
              </w:rPr>
              <w:t>0</w:t>
            </w:r>
          </w:p>
        </w:tc>
      </w:tr>
      <w:tr w14:paraId="4A8284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5313B811"/>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3300A24F"/>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5B1AC3A5">
            <w:pPr>
              <w:widowControl/>
              <w:jc w:val="center"/>
              <w:rPr>
                <w:rFonts w:ascii="宋体"/>
                <w:sz w:val="24"/>
                <w:szCs w:val="24"/>
              </w:rPr>
            </w:pPr>
            <w:r>
              <w:rPr>
                <w:rFonts w:hint="eastAsia" w:ascii="宋体" w:cs="宋体"/>
                <w:kern w:val="0"/>
                <w:sz w:val="20"/>
                <w:szCs w:val="20"/>
              </w:rPr>
              <w:t>5.属于三类内部事务信息</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B7A5A9F">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C97D94C">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61E7AA2">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AD0EB6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B2B41B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F8AD9E3">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0FF67C5">
            <w:pPr>
              <w:widowControl/>
              <w:jc w:val="center"/>
            </w:pPr>
            <w:r>
              <w:rPr>
                <w:rFonts w:cs="Calibri"/>
                <w:kern w:val="0"/>
                <w:sz w:val="20"/>
                <w:szCs w:val="20"/>
              </w:rPr>
              <w:t>0</w:t>
            </w:r>
          </w:p>
        </w:tc>
      </w:tr>
      <w:tr w14:paraId="4B027E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550C1444"/>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429FD235"/>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59BDD73A">
            <w:pPr>
              <w:widowControl/>
              <w:jc w:val="center"/>
              <w:rPr>
                <w:rFonts w:ascii="宋体"/>
                <w:sz w:val="24"/>
                <w:szCs w:val="24"/>
              </w:rPr>
            </w:pPr>
            <w:r>
              <w:rPr>
                <w:rFonts w:hint="eastAsia" w:ascii="宋体" w:cs="宋体"/>
                <w:kern w:val="0"/>
                <w:sz w:val="20"/>
                <w:szCs w:val="20"/>
              </w:rPr>
              <w:t>6.属于四类过程性信息</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5B6D92C">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8C490C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4DF168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E728B5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3D09EB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6EDBD82">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F6F701F">
            <w:pPr>
              <w:widowControl/>
              <w:jc w:val="center"/>
            </w:pPr>
            <w:r>
              <w:rPr>
                <w:rFonts w:cs="Calibri"/>
                <w:kern w:val="0"/>
                <w:sz w:val="20"/>
                <w:szCs w:val="20"/>
              </w:rPr>
              <w:t>0</w:t>
            </w:r>
          </w:p>
        </w:tc>
      </w:tr>
      <w:tr w14:paraId="56C737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221736E4"/>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474599C3"/>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4D0DA20C">
            <w:pPr>
              <w:widowControl/>
              <w:jc w:val="center"/>
              <w:rPr>
                <w:rFonts w:ascii="宋体"/>
                <w:sz w:val="24"/>
                <w:szCs w:val="24"/>
              </w:rPr>
            </w:pPr>
            <w:r>
              <w:rPr>
                <w:rFonts w:hint="eastAsia" w:ascii="宋体" w:cs="宋体"/>
                <w:kern w:val="0"/>
                <w:sz w:val="20"/>
                <w:szCs w:val="20"/>
              </w:rPr>
              <w:t>7.属于行政执法案卷</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C2695A6">
            <w:pPr>
              <w:widowControl/>
              <w:jc w:val="center"/>
            </w:pPr>
            <w: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EF25F6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E6A286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8FAF23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FD702A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47E396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98F70A0">
            <w:pPr>
              <w:widowControl/>
              <w:jc w:val="center"/>
            </w:pPr>
            <w:r>
              <w:rPr>
                <w:rFonts w:cs="Calibri"/>
                <w:kern w:val="0"/>
                <w:sz w:val="20"/>
                <w:szCs w:val="20"/>
              </w:rPr>
              <w:t>0</w:t>
            </w:r>
          </w:p>
        </w:tc>
      </w:tr>
      <w:tr w14:paraId="014E9F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4726D617"/>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21A9F850"/>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4ABC3F6F">
            <w:pPr>
              <w:widowControl/>
              <w:jc w:val="center"/>
              <w:rPr>
                <w:rFonts w:ascii="宋体"/>
                <w:sz w:val="24"/>
                <w:szCs w:val="24"/>
              </w:rPr>
            </w:pPr>
            <w:r>
              <w:rPr>
                <w:rFonts w:hint="eastAsia" w:ascii="宋体" w:cs="宋体"/>
                <w:kern w:val="0"/>
                <w:sz w:val="20"/>
                <w:szCs w:val="20"/>
              </w:rPr>
              <w:t>8.属于行政查询事项</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0AEF0F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78D8D4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CB62D5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B09946C">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155000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57CD6B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16FCFC9">
            <w:pPr>
              <w:widowControl/>
              <w:jc w:val="center"/>
            </w:pPr>
            <w:r>
              <w:rPr>
                <w:rFonts w:cs="Calibri"/>
                <w:kern w:val="0"/>
                <w:sz w:val="20"/>
                <w:szCs w:val="20"/>
              </w:rPr>
              <w:t>0</w:t>
            </w:r>
          </w:p>
        </w:tc>
      </w:tr>
      <w:tr w14:paraId="2F2D39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613F6034"/>
        </w:tc>
        <w:tc>
          <w:tcPr>
            <w:tcW w:w="959" w:type="dxa"/>
            <w:vMerge w:val="restart"/>
            <w:tcBorders>
              <w:top w:val="nil"/>
              <w:left w:val="nil"/>
              <w:bottom w:val="outset" w:color="auto" w:sz="8" w:space="0"/>
              <w:right w:val="single" w:color="auto" w:sz="8" w:space="0"/>
            </w:tcBorders>
            <w:shd w:val="clear" w:color="auto" w:fill="auto"/>
            <w:noWrap/>
            <w:tcMar>
              <w:left w:w="57" w:type="dxa"/>
              <w:right w:w="57" w:type="dxa"/>
            </w:tcMar>
            <w:vAlign w:val="center"/>
          </w:tcPr>
          <w:p w14:paraId="03AFA53F">
            <w:pPr>
              <w:widowControl/>
              <w:jc w:val="center"/>
              <w:rPr>
                <w:rFonts w:ascii="宋体"/>
                <w:sz w:val="24"/>
                <w:szCs w:val="24"/>
              </w:rPr>
            </w:pPr>
            <w:r>
              <w:rPr>
                <w:rFonts w:hint="eastAsia" w:ascii="宋体" w:cs="宋体"/>
                <w:kern w:val="0"/>
                <w:sz w:val="20"/>
                <w:szCs w:val="20"/>
              </w:rPr>
              <w:t>（四）无法提供</w:t>
            </w:r>
          </w:p>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3E760791">
            <w:pPr>
              <w:widowControl/>
              <w:jc w:val="center"/>
            </w:pPr>
            <w:r>
              <w:rPr>
                <w:rFonts w:hint="eastAsia" w:ascii="宋体" w:cs="宋体"/>
                <w:kern w:val="0"/>
                <w:sz w:val="20"/>
                <w:szCs w:val="20"/>
              </w:rPr>
              <w:t>1.本机关不掌握相关政府信息</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1B72553">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28E234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9CF233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BBD005D">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9E4747C">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F092B6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F23E773">
            <w:pPr>
              <w:widowControl/>
              <w:jc w:val="center"/>
            </w:pPr>
            <w:r>
              <w:rPr>
                <w:rFonts w:cs="Calibri"/>
                <w:kern w:val="0"/>
                <w:sz w:val="20"/>
                <w:szCs w:val="20"/>
              </w:rPr>
              <w:t>0</w:t>
            </w:r>
          </w:p>
        </w:tc>
      </w:tr>
      <w:tr w14:paraId="3F2E02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0FD7405F"/>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63F404FF"/>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1B641544">
            <w:pPr>
              <w:widowControl/>
              <w:jc w:val="center"/>
              <w:rPr>
                <w:rFonts w:ascii="宋体"/>
                <w:sz w:val="24"/>
                <w:szCs w:val="24"/>
              </w:rPr>
            </w:pPr>
            <w:r>
              <w:rPr>
                <w:rFonts w:hint="eastAsia" w:ascii="宋体" w:cs="宋体"/>
                <w:kern w:val="0"/>
                <w:sz w:val="20"/>
                <w:szCs w:val="20"/>
              </w:rPr>
              <w:t>2.没有现成信息需要另行制作</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A2947C7">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4E046E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B8AFCD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1E6244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48454C7">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DAD539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CA2DE5C">
            <w:pPr>
              <w:widowControl/>
              <w:jc w:val="center"/>
            </w:pPr>
            <w:r>
              <w:rPr>
                <w:rFonts w:cs="Calibri"/>
                <w:kern w:val="0"/>
                <w:sz w:val="20"/>
                <w:szCs w:val="20"/>
              </w:rPr>
              <w:t>0</w:t>
            </w:r>
          </w:p>
        </w:tc>
      </w:tr>
      <w:tr w14:paraId="41F66D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53758B4F"/>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119530BD"/>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11D9F4EC">
            <w:pPr>
              <w:widowControl/>
              <w:jc w:val="center"/>
              <w:rPr>
                <w:rFonts w:ascii="宋体"/>
                <w:sz w:val="24"/>
                <w:szCs w:val="24"/>
              </w:rPr>
            </w:pPr>
            <w:r>
              <w:rPr>
                <w:rFonts w:hint="eastAsia" w:ascii="宋体" w:cs="宋体"/>
                <w:kern w:val="0"/>
                <w:sz w:val="20"/>
                <w:szCs w:val="20"/>
              </w:rPr>
              <w:t>3.补正后申请内容仍不明确</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9D8B30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B117D6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4FB313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CA253D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B08D66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523E7D3">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58E35D2">
            <w:pPr>
              <w:widowControl/>
              <w:jc w:val="center"/>
            </w:pPr>
            <w:r>
              <w:rPr>
                <w:rFonts w:cs="Calibri"/>
                <w:kern w:val="0"/>
                <w:sz w:val="20"/>
                <w:szCs w:val="20"/>
              </w:rPr>
              <w:t>0</w:t>
            </w:r>
          </w:p>
        </w:tc>
      </w:tr>
      <w:tr w14:paraId="01130F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157AF06F"/>
        </w:tc>
        <w:tc>
          <w:tcPr>
            <w:tcW w:w="959" w:type="dxa"/>
            <w:vMerge w:val="restart"/>
            <w:tcBorders>
              <w:top w:val="nil"/>
              <w:left w:val="nil"/>
              <w:bottom w:val="outset" w:color="auto" w:sz="8" w:space="0"/>
              <w:right w:val="single" w:color="auto" w:sz="8" w:space="0"/>
            </w:tcBorders>
            <w:shd w:val="clear" w:color="auto" w:fill="auto"/>
            <w:noWrap/>
            <w:tcMar>
              <w:left w:w="57" w:type="dxa"/>
              <w:right w:w="57" w:type="dxa"/>
            </w:tcMar>
            <w:vAlign w:val="center"/>
          </w:tcPr>
          <w:p w14:paraId="39F1E688">
            <w:pPr>
              <w:widowControl/>
              <w:jc w:val="center"/>
              <w:rPr>
                <w:rFonts w:ascii="宋体"/>
                <w:sz w:val="24"/>
                <w:szCs w:val="24"/>
              </w:rPr>
            </w:pPr>
            <w:r>
              <w:rPr>
                <w:rFonts w:hint="eastAsia" w:ascii="宋体" w:cs="宋体"/>
                <w:kern w:val="0"/>
                <w:sz w:val="20"/>
                <w:szCs w:val="20"/>
              </w:rPr>
              <w:t>（五）不予处理</w:t>
            </w:r>
          </w:p>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2FE65C15">
            <w:pPr>
              <w:widowControl/>
              <w:jc w:val="center"/>
            </w:pPr>
            <w:r>
              <w:rPr>
                <w:rFonts w:hint="eastAsia" w:ascii="宋体" w:cs="宋体"/>
                <w:kern w:val="0"/>
                <w:sz w:val="20"/>
                <w:szCs w:val="20"/>
              </w:rPr>
              <w:t>1.信访举报投诉类申请</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B8C980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A0A59E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E76C06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48404F2">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B9CBCDF">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5C958DD">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17FE2DB">
            <w:pPr>
              <w:widowControl/>
              <w:jc w:val="center"/>
            </w:pPr>
            <w:r>
              <w:rPr>
                <w:rFonts w:cs="Calibri"/>
                <w:kern w:val="0"/>
                <w:sz w:val="20"/>
                <w:szCs w:val="20"/>
              </w:rPr>
              <w:t>0</w:t>
            </w:r>
          </w:p>
        </w:tc>
      </w:tr>
      <w:tr w14:paraId="7A7FC0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6453460D"/>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643E1141"/>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2755F03B">
            <w:pPr>
              <w:widowControl/>
              <w:jc w:val="center"/>
              <w:rPr>
                <w:rFonts w:ascii="宋体"/>
                <w:sz w:val="24"/>
                <w:szCs w:val="24"/>
              </w:rPr>
            </w:pPr>
            <w:r>
              <w:rPr>
                <w:rFonts w:hint="eastAsia" w:ascii="宋体" w:cs="宋体"/>
                <w:kern w:val="0"/>
                <w:sz w:val="20"/>
                <w:szCs w:val="20"/>
              </w:rPr>
              <w:t>2.重复申请</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1B954A4">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DD6BEA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A8B6B97">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9BF88DF">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2D29E0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0296BC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786F103">
            <w:pPr>
              <w:widowControl/>
              <w:jc w:val="center"/>
            </w:pPr>
            <w:r>
              <w:rPr>
                <w:rFonts w:cs="Calibri"/>
                <w:kern w:val="0"/>
                <w:sz w:val="20"/>
                <w:szCs w:val="20"/>
              </w:rPr>
              <w:t>0</w:t>
            </w:r>
          </w:p>
        </w:tc>
      </w:tr>
      <w:tr w14:paraId="4B3E16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35BBF046"/>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6E2A3AD0"/>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72131BC3">
            <w:pPr>
              <w:widowControl/>
              <w:jc w:val="center"/>
              <w:rPr>
                <w:rFonts w:ascii="宋体"/>
                <w:sz w:val="24"/>
                <w:szCs w:val="24"/>
              </w:rPr>
            </w:pPr>
            <w:r>
              <w:rPr>
                <w:rFonts w:hint="eastAsia" w:ascii="宋体" w:cs="宋体"/>
                <w:kern w:val="0"/>
                <w:sz w:val="20"/>
                <w:szCs w:val="20"/>
              </w:rPr>
              <w:t>3.要求提供公开出版物</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CD7B4E3">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40BB22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C99E0A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E2122F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6B7AEA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80FFED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4E460CD">
            <w:pPr>
              <w:widowControl/>
              <w:jc w:val="center"/>
            </w:pPr>
            <w:r>
              <w:rPr>
                <w:rFonts w:cs="Calibri"/>
                <w:kern w:val="0"/>
                <w:sz w:val="20"/>
                <w:szCs w:val="20"/>
              </w:rPr>
              <w:t>0</w:t>
            </w:r>
          </w:p>
        </w:tc>
      </w:tr>
      <w:tr w14:paraId="6C8C13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5A226207"/>
        </w:tc>
        <w:tc>
          <w:tcPr>
            <w:tcW w:w="959" w:type="dxa"/>
            <w:vMerge w:val="continue"/>
            <w:tcBorders>
              <w:top w:val="nil"/>
              <w:left w:val="nil"/>
              <w:bottom w:val="outset" w:color="auto" w:sz="8" w:space="0"/>
              <w:right w:val="single" w:color="auto" w:sz="8" w:space="0"/>
            </w:tcBorders>
            <w:shd w:val="clear" w:color="auto" w:fill="auto"/>
            <w:noWrap/>
            <w:tcMar>
              <w:left w:w="57" w:type="dxa"/>
              <w:right w:w="57" w:type="dxa"/>
            </w:tcMar>
            <w:vAlign w:val="center"/>
          </w:tcPr>
          <w:p w14:paraId="2EF57CE4"/>
        </w:tc>
        <w:tc>
          <w:tcPr>
            <w:tcW w:w="3406" w:type="dxa"/>
            <w:tcBorders>
              <w:top w:val="nil"/>
              <w:left w:val="nil"/>
              <w:bottom w:val="single" w:color="auto" w:sz="8" w:space="0"/>
              <w:right w:val="single" w:color="auto" w:sz="8" w:space="0"/>
            </w:tcBorders>
            <w:shd w:val="clear" w:color="auto" w:fill="auto"/>
            <w:noWrap/>
            <w:tcMar>
              <w:left w:w="57" w:type="dxa"/>
              <w:right w:w="57" w:type="dxa"/>
            </w:tcMar>
          </w:tcPr>
          <w:p w14:paraId="25C2D26F">
            <w:pPr>
              <w:widowControl/>
              <w:jc w:val="center"/>
              <w:rPr>
                <w:rFonts w:ascii="宋体"/>
                <w:sz w:val="24"/>
                <w:szCs w:val="24"/>
              </w:rPr>
            </w:pPr>
            <w:r>
              <w:rPr>
                <w:rFonts w:hint="eastAsia" w:ascii="宋体" w:cs="宋体"/>
                <w:kern w:val="0"/>
                <w:sz w:val="20"/>
                <w:szCs w:val="20"/>
              </w:rPr>
              <w:t>4.无正当理由大量反复申请</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B71691C">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A79CC9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CF6A5C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99FBFB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03975E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DD3940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06B696A">
            <w:pPr>
              <w:widowControl/>
              <w:jc w:val="center"/>
            </w:pPr>
            <w:r>
              <w:rPr>
                <w:rFonts w:cs="Calibri"/>
                <w:kern w:val="0"/>
                <w:sz w:val="20"/>
                <w:szCs w:val="20"/>
              </w:rPr>
              <w:t>0</w:t>
            </w:r>
          </w:p>
        </w:tc>
      </w:tr>
      <w:tr w14:paraId="436F99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single" w:color="auto" w:sz="4" w:space="0"/>
              <w:right w:val="single" w:color="auto" w:sz="8" w:space="0"/>
            </w:tcBorders>
            <w:shd w:val="clear" w:color="auto" w:fill="auto"/>
            <w:noWrap/>
            <w:tcMar>
              <w:left w:w="57" w:type="dxa"/>
              <w:right w:w="57" w:type="dxa"/>
            </w:tcMar>
            <w:vAlign w:val="center"/>
          </w:tcPr>
          <w:p w14:paraId="0131D863"/>
        </w:tc>
        <w:tc>
          <w:tcPr>
            <w:tcW w:w="959" w:type="dxa"/>
            <w:vMerge w:val="continue"/>
            <w:tcBorders>
              <w:top w:val="nil"/>
              <w:left w:val="nil"/>
              <w:bottom w:val="single" w:color="auto" w:sz="4" w:space="0"/>
              <w:right w:val="single" w:color="auto" w:sz="8" w:space="0"/>
            </w:tcBorders>
            <w:shd w:val="clear" w:color="auto" w:fill="auto"/>
            <w:noWrap/>
            <w:tcMar>
              <w:left w:w="57" w:type="dxa"/>
              <w:right w:w="57" w:type="dxa"/>
            </w:tcMar>
            <w:vAlign w:val="center"/>
          </w:tcPr>
          <w:p w14:paraId="5B2D72AB"/>
        </w:tc>
        <w:tc>
          <w:tcPr>
            <w:tcW w:w="3406"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3F275C7E">
            <w:pPr>
              <w:widowControl/>
              <w:jc w:val="center"/>
              <w:rPr>
                <w:rFonts w:ascii="宋体"/>
                <w:sz w:val="24"/>
                <w:szCs w:val="24"/>
              </w:rPr>
            </w:pPr>
            <w:r>
              <w:rPr>
                <w:rFonts w:hint="eastAsia" w:ascii="宋体" w:cs="宋体"/>
                <w:kern w:val="0"/>
                <w:sz w:val="20"/>
                <w:szCs w:val="20"/>
              </w:rPr>
              <w:t>5.要求行政机关确认或重新出具已获取信息</w:t>
            </w:r>
          </w:p>
        </w:tc>
        <w:tc>
          <w:tcPr>
            <w:tcW w:w="714"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2E8B07F3">
            <w:pPr>
              <w:widowControl/>
              <w:jc w:val="center"/>
            </w:pPr>
            <w:r>
              <w:rPr>
                <w:rFonts w:cs="Calibri"/>
                <w:kern w:val="0"/>
                <w:sz w:val="20"/>
                <w:szCs w:val="20"/>
              </w:rPr>
              <w:t>0</w:t>
            </w:r>
          </w:p>
        </w:tc>
        <w:tc>
          <w:tcPr>
            <w:tcW w:w="714"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0F1C23B6">
            <w:pPr>
              <w:widowControl/>
              <w:jc w:val="center"/>
            </w:pPr>
            <w:r>
              <w:rPr>
                <w:rFonts w:cs="Calibri"/>
                <w:kern w:val="0"/>
                <w:sz w:val="20"/>
                <w:szCs w:val="20"/>
              </w:rPr>
              <w:t>0</w:t>
            </w:r>
          </w:p>
        </w:tc>
        <w:tc>
          <w:tcPr>
            <w:tcW w:w="714"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64C918D0">
            <w:pPr>
              <w:widowControl/>
              <w:jc w:val="center"/>
            </w:pPr>
            <w:r>
              <w:rPr>
                <w:rFonts w:cs="Calibri"/>
                <w:kern w:val="0"/>
                <w:sz w:val="20"/>
                <w:szCs w:val="20"/>
              </w:rPr>
              <w:t>0</w:t>
            </w:r>
          </w:p>
        </w:tc>
        <w:tc>
          <w:tcPr>
            <w:tcW w:w="714"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0ECED346">
            <w:pPr>
              <w:widowControl/>
              <w:jc w:val="center"/>
            </w:pPr>
            <w:r>
              <w:rPr>
                <w:rFonts w:cs="Calibri"/>
                <w:kern w:val="0"/>
                <w:sz w:val="20"/>
                <w:szCs w:val="20"/>
              </w:rPr>
              <w:t>0</w:t>
            </w:r>
          </w:p>
        </w:tc>
        <w:tc>
          <w:tcPr>
            <w:tcW w:w="714"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467FFC1E">
            <w:pPr>
              <w:widowControl/>
              <w:jc w:val="center"/>
            </w:pPr>
            <w:r>
              <w:rPr>
                <w:rFonts w:cs="Calibri"/>
                <w:kern w:val="0"/>
                <w:sz w:val="20"/>
                <w:szCs w:val="20"/>
              </w:rPr>
              <w:t>0</w:t>
            </w:r>
          </w:p>
        </w:tc>
        <w:tc>
          <w:tcPr>
            <w:tcW w:w="714"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15F4192E">
            <w:pPr>
              <w:widowControl/>
              <w:jc w:val="center"/>
            </w:pPr>
            <w:r>
              <w:rPr>
                <w:rFonts w:cs="Calibri"/>
                <w:kern w:val="0"/>
                <w:sz w:val="20"/>
                <w:szCs w:val="20"/>
              </w:rPr>
              <w:t>0</w:t>
            </w:r>
          </w:p>
        </w:tc>
        <w:tc>
          <w:tcPr>
            <w:tcW w:w="714" w:type="dxa"/>
            <w:tcBorders>
              <w:top w:val="nil"/>
              <w:left w:val="nil"/>
              <w:bottom w:val="single" w:color="auto" w:sz="4" w:space="0"/>
              <w:right w:val="single" w:color="auto" w:sz="8" w:space="0"/>
            </w:tcBorders>
            <w:shd w:val="clear" w:color="auto" w:fill="auto"/>
            <w:noWrap/>
            <w:tcMar>
              <w:left w:w="57" w:type="dxa"/>
              <w:right w:w="57" w:type="dxa"/>
            </w:tcMar>
            <w:vAlign w:val="center"/>
          </w:tcPr>
          <w:p w14:paraId="7282B9A4">
            <w:pPr>
              <w:widowControl/>
              <w:jc w:val="center"/>
            </w:pPr>
            <w:r>
              <w:rPr>
                <w:rFonts w:cs="Calibri"/>
                <w:kern w:val="0"/>
                <w:sz w:val="20"/>
                <w:szCs w:val="20"/>
              </w:rPr>
              <w:t>0</w:t>
            </w:r>
          </w:p>
        </w:tc>
      </w:tr>
      <w:tr w14:paraId="485062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6" w:hRule="atLeast"/>
          <w:jc w:val="center"/>
        </w:trPr>
        <w:tc>
          <w:tcPr>
            <w:tcW w:w="785" w:type="dxa"/>
            <w:vMerge w:val="continue"/>
            <w:tcBorders>
              <w:top w:val="single" w:color="auto" w:sz="4" w:space="0"/>
              <w:left w:val="single" w:color="auto" w:sz="8" w:space="0"/>
              <w:bottom w:val="outset" w:color="auto" w:sz="8" w:space="0"/>
              <w:right w:val="single" w:color="auto" w:sz="8" w:space="0"/>
            </w:tcBorders>
            <w:shd w:val="clear" w:color="auto" w:fill="auto"/>
            <w:noWrap/>
            <w:tcMar>
              <w:left w:w="57" w:type="dxa"/>
              <w:right w:w="57" w:type="dxa"/>
            </w:tcMar>
            <w:vAlign w:val="center"/>
          </w:tcPr>
          <w:p w14:paraId="19ABAD68"/>
        </w:tc>
        <w:tc>
          <w:tcPr>
            <w:tcW w:w="959" w:type="dxa"/>
            <w:vMerge w:val="restart"/>
            <w:tcBorders>
              <w:top w:val="single" w:color="auto" w:sz="4" w:space="0"/>
              <w:left w:val="nil"/>
              <w:bottom w:val="outset" w:color="auto" w:sz="8" w:space="0"/>
              <w:right w:val="single" w:color="auto" w:sz="8" w:space="0"/>
            </w:tcBorders>
            <w:shd w:val="clear" w:color="auto" w:fill="auto"/>
            <w:noWrap/>
            <w:tcMar>
              <w:left w:w="57" w:type="dxa"/>
              <w:right w:w="57" w:type="dxa"/>
            </w:tcMar>
            <w:vAlign w:val="center"/>
          </w:tcPr>
          <w:p w14:paraId="34A2F08E">
            <w:pPr>
              <w:widowControl/>
              <w:jc w:val="center"/>
              <w:rPr>
                <w:rFonts w:ascii="宋体"/>
                <w:sz w:val="24"/>
                <w:szCs w:val="24"/>
              </w:rPr>
            </w:pPr>
            <w:r>
              <w:rPr>
                <w:rFonts w:hint="eastAsia" w:ascii="宋体" w:cs="宋体"/>
                <w:kern w:val="0"/>
                <w:sz w:val="20"/>
                <w:szCs w:val="20"/>
              </w:rPr>
              <w:t>（六）其他处理</w:t>
            </w:r>
          </w:p>
        </w:tc>
        <w:tc>
          <w:tcPr>
            <w:tcW w:w="3406"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5B000053">
            <w:pPr>
              <w:widowControl/>
              <w:jc w:val="center"/>
            </w:pPr>
            <w:r>
              <w:rPr>
                <w:rFonts w:hint="eastAsia" w:ascii="宋体" w:cs="宋体"/>
                <w:kern w:val="0"/>
                <w:sz w:val="20"/>
                <w:szCs w:val="20"/>
              </w:rPr>
              <w:t>1.申请人无正当理由逾期不补正、行政机关不再处理其政府信息公开申请</w:t>
            </w:r>
          </w:p>
        </w:tc>
        <w:tc>
          <w:tcPr>
            <w:tcW w:w="714"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7617316A">
            <w:pPr>
              <w:widowControl/>
              <w:jc w:val="center"/>
            </w:pPr>
            <w:r>
              <w:rPr>
                <w:rFonts w:cs="Calibri"/>
                <w:kern w:val="0"/>
                <w:sz w:val="20"/>
                <w:szCs w:val="20"/>
              </w:rPr>
              <w:t>0</w:t>
            </w:r>
          </w:p>
        </w:tc>
        <w:tc>
          <w:tcPr>
            <w:tcW w:w="714"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6D465294">
            <w:pPr>
              <w:widowControl/>
              <w:jc w:val="center"/>
            </w:pPr>
            <w:r>
              <w:rPr>
                <w:rFonts w:cs="Calibri"/>
                <w:kern w:val="0"/>
                <w:sz w:val="20"/>
                <w:szCs w:val="20"/>
              </w:rPr>
              <w:t>0</w:t>
            </w:r>
          </w:p>
        </w:tc>
        <w:tc>
          <w:tcPr>
            <w:tcW w:w="714"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51D86539">
            <w:pPr>
              <w:widowControl/>
              <w:jc w:val="center"/>
            </w:pPr>
            <w:r>
              <w:rPr>
                <w:rFonts w:cs="Calibri"/>
                <w:kern w:val="0"/>
                <w:sz w:val="20"/>
                <w:szCs w:val="20"/>
              </w:rPr>
              <w:t>0</w:t>
            </w:r>
          </w:p>
        </w:tc>
        <w:tc>
          <w:tcPr>
            <w:tcW w:w="714"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7437D19B">
            <w:pPr>
              <w:widowControl/>
              <w:jc w:val="center"/>
            </w:pPr>
            <w:r>
              <w:rPr>
                <w:rFonts w:cs="Calibri"/>
                <w:kern w:val="0"/>
                <w:sz w:val="20"/>
                <w:szCs w:val="20"/>
              </w:rPr>
              <w:t>0</w:t>
            </w:r>
          </w:p>
        </w:tc>
        <w:tc>
          <w:tcPr>
            <w:tcW w:w="714"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1E61F813">
            <w:pPr>
              <w:widowControl/>
              <w:jc w:val="center"/>
            </w:pPr>
            <w:r>
              <w:rPr>
                <w:rFonts w:cs="Calibri"/>
                <w:kern w:val="0"/>
                <w:sz w:val="20"/>
                <w:szCs w:val="20"/>
              </w:rPr>
              <w:t>0</w:t>
            </w:r>
          </w:p>
        </w:tc>
        <w:tc>
          <w:tcPr>
            <w:tcW w:w="714"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41A9D0AB">
            <w:pPr>
              <w:widowControl/>
              <w:jc w:val="center"/>
            </w:pPr>
            <w:r>
              <w:rPr>
                <w:rFonts w:cs="Calibri"/>
                <w:kern w:val="0"/>
                <w:sz w:val="20"/>
                <w:szCs w:val="20"/>
              </w:rPr>
              <w:t>0</w:t>
            </w:r>
          </w:p>
        </w:tc>
        <w:tc>
          <w:tcPr>
            <w:tcW w:w="714" w:type="dxa"/>
            <w:tcBorders>
              <w:top w:val="single" w:color="auto" w:sz="4" w:space="0"/>
              <w:left w:val="nil"/>
              <w:bottom w:val="single" w:color="auto" w:sz="8" w:space="0"/>
              <w:right w:val="single" w:color="auto" w:sz="8" w:space="0"/>
            </w:tcBorders>
            <w:shd w:val="clear" w:color="auto" w:fill="auto"/>
            <w:noWrap/>
            <w:tcMar>
              <w:left w:w="57" w:type="dxa"/>
              <w:right w:w="57" w:type="dxa"/>
            </w:tcMar>
            <w:vAlign w:val="center"/>
          </w:tcPr>
          <w:p w14:paraId="10808CEF">
            <w:pPr>
              <w:widowControl/>
              <w:jc w:val="center"/>
            </w:pPr>
            <w:r>
              <w:rPr>
                <w:rFonts w:cs="Calibri"/>
                <w:kern w:val="0"/>
                <w:sz w:val="20"/>
                <w:szCs w:val="20"/>
              </w:rPr>
              <w:t>0</w:t>
            </w:r>
          </w:p>
        </w:tc>
      </w:tr>
      <w:tr w14:paraId="23C533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689B743D"/>
        </w:tc>
        <w:tc>
          <w:tcPr>
            <w:tcW w:w="959" w:type="dxa"/>
            <w:vMerge w:val="continue"/>
            <w:tcBorders>
              <w:top w:val="outset" w:color="auto" w:sz="8" w:space="0"/>
              <w:left w:val="nil"/>
              <w:bottom w:val="outset" w:color="auto" w:sz="8" w:space="0"/>
              <w:right w:val="single" w:color="auto" w:sz="8" w:space="0"/>
            </w:tcBorders>
            <w:shd w:val="clear" w:color="auto" w:fill="auto"/>
            <w:noWrap/>
            <w:tcMar>
              <w:left w:w="57" w:type="dxa"/>
              <w:right w:w="57" w:type="dxa"/>
            </w:tcMar>
            <w:vAlign w:val="center"/>
          </w:tcPr>
          <w:p w14:paraId="5D4F81A0"/>
        </w:tc>
        <w:tc>
          <w:tcPr>
            <w:tcW w:w="3406"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5AE6377">
            <w:pPr>
              <w:widowControl/>
              <w:jc w:val="center"/>
              <w:rPr>
                <w:rFonts w:ascii="宋体"/>
                <w:sz w:val="24"/>
                <w:szCs w:val="24"/>
              </w:rPr>
            </w:pPr>
            <w:r>
              <w:rPr>
                <w:rFonts w:hint="eastAsia" w:ascii="宋体" w:cs="宋体"/>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E3BC4F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1842AC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7FBE249">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EBA7EB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B7CB72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4310820">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22E17DD">
            <w:pPr>
              <w:widowControl/>
              <w:jc w:val="center"/>
            </w:pPr>
            <w:r>
              <w:rPr>
                <w:rFonts w:cs="Calibri"/>
                <w:kern w:val="0"/>
                <w:sz w:val="20"/>
                <w:szCs w:val="20"/>
              </w:rPr>
              <w:t>0</w:t>
            </w:r>
          </w:p>
        </w:tc>
      </w:tr>
      <w:tr w14:paraId="5610ED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553C1D11"/>
        </w:tc>
        <w:tc>
          <w:tcPr>
            <w:tcW w:w="959" w:type="dxa"/>
            <w:vMerge w:val="continue"/>
            <w:tcBorders>
              <w:top w:val="outset" w:color="auto" w:sz="8" w:space="0"/>
              <w:left w:val="nil"/>
              <w:bottom w:val="outset" w:color="auto" w:sz="8" w:space="0"/>
              <w:right w:val="single" w:color="auto" w:sz="8" w:space="0"/>
            </w:tcBorders>
            <w:shd w:val="clear" w:color="auto" w:fill="auto"/>
            <w:noWrap/>
            <w:tcMar>
              <w:left w:w="57" w:type="dxa"/>
              <w:right w:w="57" w:type="dxa"/>
            </w:tcMar>
            <w:vAlign w:val="center"/>
          </w:tcPr>
          <w:p w14:paraId="50B249A0"/>
        </w:tc>
        <w:tc>
          <w:tcPr>
            <w:tcW w:w="3406"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606C7AC5">
            <w:pPr>
              <w:widowControl/>
              <w:jc w:val="center"/>
              <w:rPr>
                <w:rFonts w:ascii="宋体"/>
                <w:sz w:val="24"/>
                <w:szCs w:val="24"/>
              </w:rPr>
            </w:pPr>
            <w:r>
              <w:rPr>
                <w:rFonts w:hint="eastAsia" w:ascii="宋体" w:cs="宋体"/>
                <w:kern w:val="0"/>
                <w:sz w:val="20"/>
                <w:szCs w:val="20"/>
              </w:rPr>
              <w:t>3.其他</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29E510E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EED15F4">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AB4447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A323368">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57F9974">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323BCB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2328A5B">
            <w:pPr>
              <w:widowControl/>
              <w:jc w:val="center"/>
            </w:pPr>
            <w:r>
              <w:rPr>
                <w:rFonts w:cs="Calibri"/>
                <w:kern w:val="0"/>
                <w:sz w:val="20"/>
                <w:szCs w:val="20"/>
              </w:rPr>
              <w:t>0</w:t>
            </w:r>
          </w:p>
        </w:tc>
      </w:tr>
      <w:tr w14:paraId="36ED0D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noWrap/>
            <w:tcMar>
              <w:left w:w="57" w:type="dxa"/>
              <w:right w:w="57" w:type="dxa"/>
            </w:tcMar>
            <w:vAlign w:val="center"/>
          </w:tcPr>
          <w:p w14:paraId="3FBA1A57"/>
        </w:tc>
        <w:tc>
          <w:tcPr>
            <w:tcW w:w="4365" w:type="dxa"/>
            <w:gridSpan w:val="2"/>
            <w:tcBorders>
              <w:top w:val="nil"/>
              <w:left w:val="nil"/>
              <w:bottom w:val="single" w:color="auto" w:sz="8" w:space="0"/>
              <w:right w:val="single" w:color="auto" w:sz="8" w:space="0"/>
            </w:tcBorders>
            <w:shd w:val="clear" w:color="auto" w:fill="auto"/>
            <w:noWrap/>
            <w:tcMar>
              <w:left w:w="57" w:type="dxa"/>
              <w:right w:w="57" w:type="dxa"/>
            </w:tcMar>
            <w:vAlign w:val="center"/>
          </w:tcPr>
          <w:p w14:paraId="6C5CE9E3">
            <w:pPr>
              <w:widowControl/>
              <w:jc w:val="center"/>
              <w:rPr>
                <w:rFonts w:ascii="宋体"/>
                <w:sz w:val="24"/>
                <w:szCs w:val="24"/>
              </w:rPr>
            </w:pPr>
            <w:r>
              <w:rPr>
                <w:rFonts w:hint="eastAsia" w:ascii="宋体" w:cs="宋体"/>
                <w:kern w:val="0"/>
                <w:sz w:val="20"/>
                <w:szCs w:val="20"/>
              </w:rPr>
              <w:t>（七）总计</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572CA921">
            <w:pPr>
              <w:widowControl/>
              <w:jc w:val="center"/>
            </w:pPr>
            <w:r>
              <w:rPr>
                <w:rFonts w:cs="Calibri"/>
                <w:kern w:val="0"/>
                <w:sz w:val="20"/>
                <w:szCs w:val="20"/>
              </w:rPr>
              <w:t>16</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F484F51">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67FF706">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386980D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11535A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56CD64E">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0608FDEC">
            <w:pPr>
              <w:widowControl/>
              <w:jc w:val="center"/>
            </w:pPr>
            <w:r>
              <w:rPr>
                <w:rFonts w:cs="Calibri"/>
                <w:kern w:val="0"/>
                <w:sz w:val="20"/>
                <w:szCs w:val="20"/>
              </w:rPr>
              <w:t>16</w:t>
            </w:r>
          </w:p>
        </w:tc>
      </w:tr>
      <w:tr w14:paraId="32D803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noWrap/>
            <w:tcMar>
              <w:left w:w="57" w:type="dxa"/>
              <w:right w:w="57" w:type="dxa"/>
            </w:tcMar>
            <w:vAlign w:val="center"/>
          </w:tcPr>
          <w:p w14:paraId="0BBE5DF3">
            <w:pPr>
              <w:widowControl/>
              <w:jc w:val="center"/>
            </w:pPr>
            <w:r>
              <w:rPr>
                <w:rFonts w:hint="eastAsia" w:ascii="宋体" w:cs="宋体"/>
                <w:kern w:val="0"/>
                <w:sz w:val="20"/>
                <w:szCs w:val="20"/>
              </w:rPr>
              <w:t>四、结转下年度继续办理</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11E1D8BC">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7DCAE7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415634A">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7F31F6B">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48D4403C">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B85CD35">
            <w:pPr>
              <w:widowControl/>
              <w:jc w:val="center"/>
            </w:pPr>
            <w:r>
              <w:rPr>
                <w:rFonts w:cs="Calibri"/>
                <w:kern w:val="0"/>
                <w:sz w:val="20"/>
                <w:szCs w:val="20"/>
              </w:rPr>
              <w:t>0</w:t>
            </w:r>
          </w:p>
        </w:tc>
        <w:tc>
          <w:tcPr>
            <w:tcW w:w="714" w:type="dxa"/>
            <w:tcBorders>
              <w:top w:val="nil"/>
              <w:left w:val="nil"/>
              <w:bottom w:val="single" w:color="auto" w:sz="8" w:space="0"/>
              <w:right w:val="single" w:color="auto" w:sz="8" w:space="0"/>
            </w:tcBorders>
            <w:shd w:val="clear" w:color="auto" w:fill="auto"/>
            <w:noWrap/>
            <w:tcMar>
              <w:left w:w="57" w:type="dxa"/>
              <w:right w:w="57" w:type="dxa"/>
            </w:tcMar>
            <w:vAlign w:val="center"/>
          </w:tcPr>
          <w:p w14:paraId="7D813E11">
            <w:pPr>
              <w:jc w:val="center"/>
              <w:rPr>
                <w:rFonts w:ascii="宋体"/>
                <w:sz w:val="24"/>
                <w:szCs w:val="24"/>
              </w:rPr>
            </w:pPr>
            <w:r>
              <w:rPr>
                <w:rFonts w:ascii="宋体"/>
                <w:sz w:val="24"/>
                <w:szCs w:val="24"/>
              </w:rPr>
              <w:t>0</w:t>
            </w:r>
          </w:p>
        </w:tc>
      </w:tr>
    </w:tbl>
    <w:tbl>
      <w:tblPr>
        <w:tblStyle w:val="9"/>
        <w:tblpPr w:leftFromText="180" w:rightFromText="180" w:vertAnchor="text" w:tblpX="10214" w:tblpY="-3189"/>
        <w:tblOverlap w:val="never"/>
        <w:tblW w:w="3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251"/>
      </w:tblGrid>
      <w:tr w14:paraId="3284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Before w:w="0" w:type="auto"/>
          <w:wAfter w:w="0" w:type="auto"/>
          <w:trHeight w:val="30" w:hRule="atLeast"/>
        </w:trPr>
        <w:tc>
          <w:tcPr>
            <w:tcW w:w="3251" w:type="dxa"/>
          </w:tcPr>
          <w:p w14:paraId="3F124E5E">
            <w:pPr>
              <w:widowControl/>
              <w:jc w:val="center"/>
              <w:rPr>
                <w:rFonts w:ascii="宋体" w:cs="宋体"/>
                <w:color w:val="333333"/>
                <w:sz w:val="24"/>
                <w:szCs w:val="24"/>
                <w:vertAlign w:val="baseline"/>
              </w:rPr>
            </w:pPr>
          </w:p>
        </w:tc>
      </w:tr>
    </w:tbl>
    <w:p w14:paraId="13FE40D8">
      <w:pPr>
        <w:widowControl/>
        <w:shd w:val="clear" w:color="auto" w:fill="FFFFFF"/>
        <w:jc w:val="center"/>
        <w:rPr>
          <w:rFonts w:ascii="宋体" w:cs="宋体"/>
          <w:color w:val="333333"/>
          <w:sz w:val="24"/>
          <w:szCs w:val="24"/>
        </w:rPr>
      </w:pPr>
    </w:p>
    <w:p w14:paraId="2163C646">
      <w:pPr>
        <w:pStyle w:val="7"/>
        <w:widowControl/>
        <w:shd w:val="clear" w:color="auto" w:fill="FFFFFF"/>
        <w:spacing w:beforeAutospacing="0" w:afterAutospacing="0"/>
        <w:ind w:firstLine="420"/>
        <w:jc w:val="both"/>
        <w:rPr>
          <w:rFonts w:ascii="宋体" w:cs="宋体"/>
          <w:color w:val="333333"/>
        </w:rPr>
      </w:pPr>
      <w:r>
        <w:rPr>
          <w:rFonts w:hint="eastAsia" w:ascii="宋体" w:cs="宋体"/>
          <w:b/>
          <w:bCs/>
          <w:color w:val="333333"/>
          <w:shd w:val="clear" w:color="auto" w:fill="FFFFFF"/>
        </w:rPr>
        <w:t>四、政府信息公开行政复议、行政诉讼情况</w:t>
      </w:r>
    </w:p>
    <w:p w14:paraId="58B81520">
      <w:pPr>
        <w:widowControl/>
        <w:shd w:val="clear" w:color="auto" w:fill="FFFFFF"/>
        <w:jc w:val="center"/>
        <w:rPr>
          <w:rFonts w:ascii="宋体" w:cs="宋体"/>
          <w:color w:val="333333"/>
          <w:sz w:val="24"/>
          <w:szCs w:val="24"/>
        </w:rPr>
      </w:pPr>
    </w:p>
    <w:tbl>
      <w:tblPr>
        <w:tblStyle w:val="8"/>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786E6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7142DF07">
            <w:pPr>
              <w:widowControl/>
              <w:jc w:val="center"/>
            </w:pPr>
            <w:r>
              <w:rPr>
                <w:rFonts w:hint="eastAsia" w:ascii="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3291EC32">
            <w:pPr>
              <w:widowControl/>
              <w:jc w:val="center"/>
            </w:pPr>
            <w:r>
              <w:rPr>
                <w:rFonts w:hint="eastAsia" w:ascii="宋体" w:cs="宋体"/>
                <w:kern w:val="0"/>
                <w:sz w:val="20"/>
                <w:szCs w:val="20"/>
              </w:rPr>
              <w:t>行政诉讼</w:t>
            </w:r>
          </w:p>
        </w:tc>
      </w:tr>
      <w:tr w14:paraId="4C0B3E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ED38F78">
            <w:pPr>
              <w:widowControl/>
              <w:jc w:val="center"/>
            </w:pPr>
            <w:r>
              <w:rPr>
                <w:rFonts w:hint="eastAsia" w:ascii="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414D4B7">
            <w:pPr>
              <w:widowControl/>
              <w:jc w:val="center"/>
            </w:pPr>
            <w:r>
              <w:rPr>
                <w:rFonts w:hint="eastAsia" w:ascii="宋体" w:cs="宋体"/>
                <w:kern w:val="0"/>
                <w:sz w:val="20"/>
                <w:szCs w:val="20"/>
              </w:rPr>
              <w:t>结果</w:t>
            </w:r>
            <w:r>
              <w:rPr>
                <w:rFonts w:hint="eastAsia" w:ascii="宋体" w:cs="宋体"/>
                <w:kern w:val="0"/>
                <w:sz w:val="20"/>
                <w:szCs w:val="20"/>
              </w:rPr>
              <w:br w:type="textWrapping"/>
            </w:r>
            <w:r>
              <w:rPr>
                <w:rFonts w:hint="eastAsia" w:ascii="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457F749F">
            <w:pPr>
              <w:widowControl/>
              <w:jc w:val="center"/>
            </w:pPr>
            <w:r>
              <w:rPr>
                <w:rFonts w:hint="eastAsia" w:ascii="宋体" w:cs="宋体"/>
                <w:kern w:val="0"/>
                <w:sz w:val="20"/>
                <w:szCs w:val="20"/>
              </w:rPr>
              <w:t>其他</w:t>
            </w:r>
            <w:r>
              <w:rPr>
                <w:rFonts w:hint="eastAsia" w:ascii="宋体" w:cs="宋体"/>
                <w:kern w:val="0"/>
                <w:sz w:val="20"/>
                <w:szCs w:val="20"/>
              </w:rPr>
              <w:br w:type="textWrapping"/>
            </w:r>
            <w:r>
              <w:rPr>
                <w:rFonts w:hint="eastAsia" w:ascii="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C5026D3">
            <w:pPr>
              <w:widowControl/>
              <w:jc w:val="center"/>
            </w:pPr>
            <w:r>
              <w:rPr>
                <w:rFonts w:hint="eastAsia" w:ascii="宋体" w:cs="宋体"/>
                <w:kern w:val="0"/>
                <w:sz w:val="20"/>
                <w:szCs w:val="20"/>
              </w:rPr>
              <w:t>尚未</w:t>
            </w:r>
            <w:r>
              <w:rPr>
                <w:rFonts w:hint="eastAsia" w:ascii="宋体" w:cs="宋体"/>
                <w:kern w:val="0"/>
                <w:sz w:val="20"/>
                <w:szCs w:val="20"/>
              </w:rPr>
              <w:br w:type="textWrapping"/>
            </w:r>
            <w:r>
              <w:rPr>
                <w:rFonts w:hint="eastAsia" w:ascii="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5B80602B">
            <w:pPr>
              <w:widowControl/>
              <w:jc w:val="center"/>
            </w:pPr>
            <w:r>
              <w:rPr>
                <w:rFonts w:hint="eastAsia" w:ascii="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BEA4C7B">
            <w:pPr>
              <w:widowControl/>
              <w:jc w:val="center"/>
            </w:pPr>
            <w:r>
              <w:rPr>
                <w:rFonts w:hint="eastAsia" w:ascii="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5E01B438">
            <w:pPr>
              <w:widowControl/>
              <w:jc w:val="center"/>
            </w:pPr>
            <w:r>
              <w:rPr>
                <w:rFonts w:hint="eastAsia" w:ascii="宋体" w:cs="宋体"/>
                <w:kern w:val="0"/>
                <w:sz w:val="20"/>
                <w:szCs w:val="20"/>
              </w:rPr>
              <w:t>复议后起诉</w:t>
            </w:r>
          </w:p>
        </w:tc>
      </w:tr>
      <w:tr w14:paraId="2B7657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D5B657F"/>
        </w:tc>
        <w:tc>
          <w:tcPr>
            <w:tcW w:w="642" w:type="dxa"/>
            <w:vMerge w:val="continue"/>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CF9ECE0"/>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36AB480"/>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084460F"/>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3EBA8CB0"/>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A816D28">
            <w:pPr>
              <w:widowControl/>
              <w:jc w:val="center"/>
              <w:rPr>
                <w:rFonts w:ascii="宋体"/>
                <w:sz w:val="24"/>
                <w:szCs w:val="24"/>
              </w:rPr>
            </w:pPr>
            <w:r>
              <w:rPr>
                <w:rFonts w:hint="eastAsia" w:ascii="宋体" w:cs="宋体"/>
                <w:kern w:val="0"/>
                <w:sz w:val="20"/>
                <w:szCs w:val="20"/>
              </w:rPr>
              <w:t>结果</w:t>
            </w:r>
            <w:r>
              <w:rPr>
                <w:rFonts w:hint="eastAsia" w:ascii="宋体" w:cs="宋体"/>
                <w:kern w:val="0"/>
                <w:sz w:val="20"/>
                <w:szCs w:val="20"/>
              </w:rPr>
              <w:br w:type="textWrapping"/>
            </w:r>
            <w:r>
              <w:rPr>
                <w:rFonts w:hint="eastAsia" w:ascii="宋体" w:cs="宋体"/>
                <w:kern w:val="0"/>
                <w:sz w:val="20"/>
                <w:szCs w:val="20"/>
              </w:rPr>
              <w:t>维持</w:t>
            </w:r>
          </w:p>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C89C189">
            <w:pPr>
              <w:widowControl/>
              <w:jc w:val="center"/>
            </w:pPr>
            <w:r>
              <w:rPr>
                <w:rFonts w:hint="eastAsia" w:ascii="宋体" w:cs="宋体"/>
                <w:kern w:val="0"/>
                <w:sz w:val="20"/>
                <w:szCs w:val="20"/>
              </w:rPr>
              <w:t>结果</w:t>
            </w:r>
            <w:r>
              <w:rPr>
                <w:rFonts w:hint="eastAsia" w:ascii="宋体" w:cs="宋体"/>
                <w:kern w:val="0"/>
                <w:sz w:val="20"/>
                <w:szCs w:val="20"/>
              </w:rPr>
              <w:br w:type="textWrapping"/>
            </w:r>
            <w:r>
              <w:rPr>
                <w:rFonts w:hint="eastAsia" w:asci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42EF5615">
            <w:pPr>
              <w:widowControl/>
              <w:jc w:val="center"/>
            </w:pPr>
            <w:r>
              <w:rPr>
                <w:rFonts w:hint="eastAsia" w:ascii="宋体" w:cs="宋体"/>
                <w:kern w:val="0"/>
                <w:sz w:val="20"/>
                <w:szCs w:val="20"/>
              </w:rPr>
              <w:t>其他</w:t>
            </w:r>
            <w:r>
              <w:rPr>
                <w:rFonts w:hint="eastAsia" w:ascii="宋体" w:cs="宋体"/>
                <w:kern w:val="0"/>
                <w:sz w:val="20"/>
                <w:szCs w:val="20"/>
              </w:rPr>
              <w:br w:type="textWrapping"/>
            </w:r>
            <w:r>
              <w:rPr>
                <w:rFonts w:hint="eastAsia" w:ascii="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60FAFDA">
            <w:pPr>
              <w:widowControl/>
              <w:jc w:val="center"/>
            </w:pPr>
            <w:r>
              <w:rPr>
                <w:rFonts w:hint="eastAsia" w:ascii="宋体" w:cs="宋体"/>
                <w:kern w:val="0"/>
                <w:sz w:val="20"/>
                <w:szCs w:val="20"/>
              </w:rPr>
              <w:t>尚未</w:t>
            </w:r>
            <w:r>
              <w:rPr>
                <w:rFonts w:hint="eastAsia" w:ascii="宋体" w:cs="宋体"/>
                <w:kern w:val="0"/>
                <w:sz w:val="20"/>
                <w:szCs w:val="20"/>
              </w:rPr>
              <w:br w:type="textWrapping"/>
            </w:r>
            <w:r>
              <w:rPr>
                <w:rFonts w:hint="eastAsia" w:asci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17236CB">
            <w:pPr>
              <w:widowControl/>
              <w:jc w:val="center"/>
            </w:pPr>
            <w:r>
              <w:rPr>
                <w:rFonts w:hint="eastAsia" w:ascii="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6340F992">
            <w:pPr>
              <w:widowControl/>
              <w:jc w:val="center"/>
            </w:pPr>
            <w:r>
              <w:rPr>
                <w:rFonts w:hint="eastAsia" w:ascii="宋体" w:cs="宋体"/>
                <w:kern w:val="0"/>
                <w:sz w:val="20"/>
                <w:szCs w:val="20"/>
              </w:rPr>
              <w:t>结果</w:t>
            </w:r>
            <w:r>
              <w:rPr>
                <w:rFonts w:hint="eastAsia" w:ascii="宋体" w:cs="宋体"/>
                <w:kern w:val="0"/>
                <w:sz w:val="20"/>
                <w:szCs w:val="20"/>
              </w:rPr>
              <w:br w:type="textWrapping"/>
            </w:r>
            <w:r>
              <w:rPr>
                <w:rFonts w:hint="eastAsia" w:ascii="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3EF61DA">
            <w:pPr>
              <w:widowControl/>
              <w:jc w:val="center"/>
            </w:pPr>
            <w:r>
              <w:rPr>
                <w:rFonts w:hint="eastAsia" w:ascii="宋体" w:cs="宋体"/>
                <w:kern w:val="0"/>
                <w:sz w:val="20"/>
                <w:szCs w:val="20"/>
              </w:rPr>
              <w:t>结果</w:t>
            </w:r>
            <w:r>
              <w:rPr>
                <w:rFonts w:hint="eastAsia" w:ascii="宋体" w:cs="宋体"/>
                <w:kern w:val="0"/>
                <w:sz w:val="20"/>
                <w:szCs w:val="20"/>
              </w:rPr>
              <w:br w:type="textWrapping"/>
            </w:r>
            <w:r>
              <w:rPr>
                <w:rFonts w:hint="eastAsia" w:asci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6A7CD334">
            <w:pPr>
              <w:widowControl/>
              <w:jc w:val="center"/>
            </w:pPr>
            <w:r>
              <w:rPr>
                <w:rFonts w:hint="eastAsia" w:ascii="宋体" w:cs="宋体"/>
                <w:color w:val="000000"/>
                <w:kern w:val="0"/>
                <w:sz w:val="20"/>
                <w:szCs w:val="20"/>
              </w:rPr>
              <w:t>其他</w:t>
            </w:r>
            <w:r>
              <w:rPr>
                <w:rFonts w:hint="eastAsia" w:ascii="宋体" w:cs="宋体"/>
                <w:color w:val="000000"/>
                <w:kern w:val="0"/>
                <w:sz w:val="20"/>
                <w:szCs w:val="20"/>
              </w:rPr>
              <w:br w:type="textWrapping"/>
            </w:r>
            <w:r>
              <w:rPr>
                <w:rFonts w:hint="eastAsia" w:ascii="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5514E08">
            <w:pPr>
              <w:widowControl/>
              <w:jc w:val="center"/>
            </w:pPr>
            <w:r>
              <w:rPr>
                <w:rFonts w:hint="eastAsia" w:ascii="宋体" w:cs="宋体"/>
                <w:kern w:val="0"/>
                <w:sz w:val="20"/>
                <w:szCs w:val="20"/>
              </w:rPr>
              <w:t>尚未</w:t>
            </w:r>
            <w:r>
              <w:rPr>
                <w:rFonts w:hint="eastAsia" w:ascii="宋体" w:cs="宋体"/>
                <w:kern w:val="0"/>
                <w:sz w:val="20"/>
                <w:szCs w:val="20"/>
              </w:rPr>
              <w:br w:type="textWrapping"/>
            </w:r>
            <w:r>
              <w:rPr>
                <w:rFonts w:hint="eastAsia" w:asci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C473B1D">
            <w:pPr>
              <w:widowControl/>
              <w:jc w:val="center"/>
            </w:pPr>
            <w:r>
              <w:rPr>
                <w:rFonts w:hint="eastAsia" w:ascii="宋体" w:cs="宋体"/>
                <w:color w:val="000000"/>
                <w:kern w:val="0"/>
                <w:sz w:val="20"/>
                <w:szCs w:val="20"/>
              </w:rPr>
              <w:t>总计</w:t>
            </w:r>
          </w:p>
        </w:tc>
      </w:tr>
      <w:tr w14:paraId="34B3E2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0E2687E">
            <w:pPr>
              <w:widowControl/>
              <w:jc w:val="center"/>
            </w:pPr>
            <w:r>
              <w:rPr>
                <w:rFonts w:ascii="黑体" w:eastAsia="黑体" w:cs="黑体"/>
                <w:kern w:val="0"/>
                <w:sz w:val="20"/>
                <w:szCs w:val="20"/>
              </w:rPr>
              <w:t>2</w:t>
            </w:r>
          </w:p>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0EA2A07">
            <w:pPr>
              <w:widowControl/>
              <w:jc w:val="center"/>
            </w:pPr>
            <w:r>
              <w:rPr>
                <w:rFonts w:hint="eastAsia" w:ascii="黑体" w:eastAsia="黑体" w:cs="黑体"/>
                <w:kern w:val="0"/>
                <w:sz w:val="20"/>
                <w:szCs w:val="20"/>
              </w:rPr>
              <w:t> </w:t>
            </w:r>
            <w:r>
              <w:rPr>
                <w:rFonts w:ascii="黑体" w:eastAsia="黑体" w:cs="黑体"/>
                <w:kern w:val="0"/>
                <w:sz w:val="20"/>
                <w:szCs w:val="20"/>
              </w:rPr>
              <w:t>2</w:t>
            </w:r>
          </w:p>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3416F98">
            <w:pPr>
              <w:widowControl/>
              <w:jc w:val="center"/>
            </w:pPr>
            <w:r>
              <w:rPr>
                <w:rFonts w:ascii="黑体" w:eastAsia="黑体" w:cs="黑体"/>
                <w:kern w:val="0"/>
                <w:sz w:val="20"/>
                <w:szCs w:val="20"/>
              </w:rPr>
              <w:t>1</w:t>
            </w:r>
          </w:p>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4333DAE">
            <w:pPr>
              <w:widowControl/>
              <w:jc w:val="center"/>
            </w:pPr>
            <w:r>
              <w:rPr>
                <w:rFonts w:ascii="黑体" w:eastAsia="黑体" w:cs="黑体"/>
                <w:kern w:val="0"/>
                <w:sz w:val="20"/>
                <w:szCs w:val="20"/>
              </w:rPr>
              <w:t>0</w:t>
            </w:r>
          </w:p>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709F4B8">
            <w:pPr>
              <w:widowControl/>
              <w:jc w:val="center"/>
            </w:pPr>
            <w:r>
              <w:rPr>
                <w:rFonts w:ascii="黑体" w:eastAsia="黑体" w:cs="黑体"/>
                <w:kern w:val="0"/>
                <w:sz w:val="20"/>
                <w:szCs w:val="20"/>
              </w:rPr>
              <w:t>5</w:t>
            </w:r>
          </w:p>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248B864">
            <w:pPr>
              <w:widowControl/>
              <w:jc w:val="center"/>
            </w:pPr>
            <w:r>
              <w:rPr>
                <w:rFonts w:ascii="黑体" w:eastAsia="黑体" w:cs="黑体"/>
                <w:kern w:val="0"/>
                <w:sz w:val="20"/>
                <w:szCs w:val="20"/>
              </w:rPr>
              <w:t>2</w:t>
            </w:r>
          </w:p>
        </w:tc>
        <w:tc>
          <w:tcPr>
            <w:tcW w:w="642"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286BD62">
            <w:pPr>
              <w:widowControl/>
              <w:jc w:val="center"/>
            </w:pPr>
            <w:r>
              <w:rPr>
                <w:rFonts w:hint="eastAsia" w:ascii="黑体" w:eastAsia="黑体" w:cs="黑体"/>
                <w:kern w:val="0"/>
                <w:sz w:val="20"/>
                <w:szCs w:val="20"/>
              </w:rPr>
              <w:t> </w:t>
            </w:r>
            <w:r>
              <w:rPr>
                <w:rFonts w:ascii="黑体" w:eastAsia="黑体" w:cs="黑体"/>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A71AB39">
            <w:pPr>
              <w:widowControl/>
              <w:jc w:val="center"/>
            </w:pPr>
            <w:r>
              <w:rPr>
                <w:rFonts w:ascii="黑体" w:eastAsia="黑体" w:cs="黑体"/>
                <w:kern w:val="0"/>
                <w:sz w:val="20"/>
                <w:szCs w:val="20"/>
              </w:rPr>
              <w:t>1</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12BC3B6">
            <w:pPr>
              <w:widowControl/>
              <w:jc w:val="center"/>
            </w:pPr>
            <w:r>
              <w:rPr>
                <w:rFonts w:ascii="黑体" w:eastAsia="黑体" w:cs="黑体"/>
                <w:kern w:val="0"/>
                <w:sz w:val="20"/>
                <w:szCs w:val="20"/>
              </w:rPr>
              <w:t>1</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03AB013">
            <w:pPr>
              <w:widowControl/>
              <w:jc w:val="center"/>
            </w:pPr>
            <w:r>
              <w:rPr>
                <w:rFonts w:ascii="黑体" w:eastAsia="黑体" w:cs="黑体"/>
                <w:kern w:val="0"/>
                <w:sz w:val="20"/>
                <w:szCs w:val="20"/>
              </w:rPr>
              <w:t>4</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1DEB6A8">
            <w:pPr>
              <w:widowControl/>
              <w:jc w:val="center"/>
            </w:pPr>
            <w:r>
              <w:rPr>
                <w:rFonts w:hint="eastAsia" w:ascii="黑体" w:eastAsia="黑体" w:cs="黑体"/>
                <w:kern w:val="0"/>
                <w:sz w:val="20"/>
                <w:szCs w:val="20"/>
              </w:rPr>
              <w:t> </w:t>
            </w:r>
            <w:r>
              <w:rPr>
                <w:rFonts w:ascii="黑体" w:eastAsia="黑体" w:cs="黑体"/>
                <w:kern w:val="0"/>
                <w:sz w:val="20"/>
                <w:szCs w:val="20"/>
              </w:rPr>
              <w:t>0</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B355800">
            <w:pPr>
              <w:widowControl/>
              <w:jc w:val="center"/>
            </w:pPr>
            <w:r>
              <w:rPr>
                <w:rFonts w:ascii="黑体" w:eastAsia="黑体" w:cs="黑体"/>
                <w:kern w:val="0"/>
                <w:sz w:val="20"/>
                <w:szCs w:val="20"/>
              </w:rPr>
              <w:t>0</w:t>
            </w:r>
            <w:r>
              <w:rPr>
                <w:rFonts w:hint="eastAsia" w:ascii="黑体" w:eastAsia="黑体" w:cs="黑体"/>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7A18CC7">
            <w:pPr>
              <w:widowControl/>
              <w:jc w:val="center"/>
            </w:pPr>
            <w:r>
              <w:rPr>
                <w:rFonts w:ascii="黑体" w:eastAsia="黑体" w:cs="黑体"/>
                <w:kern w:val="0"/>
                <w:sz w:val="20"/>
                <w:szCs w:val="20"/>
              </w:rPr>
              <w:t>0</w:t>
            </w:r>
            <w:r>
              <w:rPr>
                <w:rFonts w:hint="eastAsia" w:ascii="黑体" w:eastAsia="黑体" w:cs="黑体"/>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ADBD7BB">
            <w:pPr>
              <w:widowControl/>
              <w:jc w:val="center"/>
            </w:pPr>
            <w:r>
              <w:rPr>
                <w:rFonts w:ascii="黑体" w:eastAsia="黑体" w:cs="黑体"/>
                <w:kern w:val="0"/>
                <w:sz w:val="20"/>
                <w:szCs w:val="20"/>
              </w:rPr>
              <w:t>0</w:t>
            </w:r>
            <w:r>
              <w:rPr>
                <w:rFonts w:hint="eastAsia" w:ascii="黑体" w:eastAsia="黑体" w:cs="黑体"/>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188B9D4">
            <w:pPr>
              <w:jc w:val="center"/>
              <w:rPr>
                <w:rFonts w:ascii="宋体"/>
                <w:sz w:val="24"/>
                <w:szCs w:val="24"/>
              </w:rPr>
            </w:pPr>
            <w:r>
              <w:rPr>
                <w:rFonts w:ascii="宋体"/>
                <w:sz w:val="24"/>
                <w:szCs w:val="24"/>
              </w:rPr>
              <w:t>0</w:t>
            </w:r>
          </w:p>
        </w:tc>
      </w:tr>
    </w:tbl>
    <w:p w14:paraId="55503A29">
      <w:pPr>
        <w:widowControl/>
        <w:shd w:val="clear" w:color="auto" w:fill="FFFFFF"/>
        <w:ind w:firstLine="420"/>
        <w:rPr>
          <w:rFonts w:ascii="Verdana" w:hAnsi="Verdana" w:cs="宋体"/>
          <w:color w:val="484747"/>
          <w:kern w:val="0"/>
          <w:szCs w:val="21"/>
        </w:rPr>
      </w:pPr>
      <w:r>
        <w:rPr>
          <w:rFonts w:hint="eastAsia" w:ascii="宋体" w:cs="宋体"/>
          <w:color w:val="333333"/>
          <w:kern w:val="0"/>
          <w:sz w:val="24"/>
          <w:szCs w:val="24"/>
        </w:rPr>
        <w:t> </w:t>
      </w:r>
    </w:p>
    <w:p w14:paraId="5F44E068">
      <w:pPr>
        <w:widowControl/>
        <w:shd w:val="clear" w:color="auto" w:fill="FFFFFF"/>
        <w:spacing w:line="560" w:lineRule="atLeast"/>
        <w:ind w:firstLine="420"/>
        <w:rPr>
          <w:rFonts w:ascii="仿宋" w:eastAsia="仿宋" w:cs="宋体"/>
          <w:color w:val="484747"/>
          <w:kern w:val="0"/>
          <w:szCs w:val="21"/>
        </w:rPr>
      </w:pPr>
      <w:r>
        <w:rPr>
          <w:rFonts w:hint="eastAsia" w:ascii="仿宋" w:eastAsia="仿宋" w:cs="宋体"/>
          <w:color w:val="333333"/>
          <w:kern w:val="0"/>
          <w:sz w:val="32"/>
          <w:szCs w:val="32"/>
        </w:rPr>
        <w:t>五、存在的主要问题及改进情况</w:t>
      </w:r>
    </w:p>
    <w:p w14:paraId="4883B7C5">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eastAsia="仿宋" w:cs="宋体"/>
          <w:color w:val="484747"/>
          <w:kern w:val="0"/>
          <w:szCs w:val="21"/>
        </w:rPr>
      </w:pPr>
      <w:r>
        <w:rPr>
          <w:rFonts w:hint="eastAsia" w:ascii="仿宋" w:eastAsia="仿宋" w:cs="宋体"/>
          <w:color w:val="333333"/>
          <w:kern w:val="0"/>
          <w:sz w:val="32"/>
          <w:szCs w:val="32"/>
        </w:rPr>
        <w:t>（一）存在的主要问题</w:t>
      </w:r>
    </w:p>
    <w:p w14:paraId="707DB742">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eastAsia="仿宋" w:cs="宋体"/>
          <w:color w:val="484747"/>
          <w:kern w:val="0"/>
          <w:szCs w:val="21"/>
        </w:rPr>
      </w:pPr>
      <w:r>
        <w:rPr>
          <w:rFonts w:hint="eastAsia" w:ascii="仿宋" w:eastAsia="仿宋" w:cs="宋体"/>
          <w:color w:val="333333"/>
          <w:kern w:val="0"/>
          <w:sz w:val="32"/>
          <w:szCs w:val="32"/>
        </w:rPr>
        <w:t>主要问题：</w:t>
      </w:r>
      <w:r>
        <w:rPr>
          <w:rFonts w:ascii="仿宋" w:eastAsia="仿宋" w:cs="宋体"/>
          <w:color w:val="333333"/>
          <w:kern w:val="0"/>
          <w:sz w:val="32"/>
          <w:szCs w:val="32"/>
        </w:rPr>
        <w:t>一</w:t>
      </w:r>
      <w:r>
        <w:rPr>
          <w:rFonts w:hint="eastAsia" w:ascii="仿宋" w:eastAsia="仿宋" w:cs="宋体"/>
          <w:color w:val="333333"/>
          <w:kern w:val="0"/>
          <w:sz w:val="32"/>
          <w:szCs w:val="32"/>
        </w:rPr>
        <w:t>是主动公开形式创新不足，公开形式、载体单一；</w:t>
      </w:r>
      <w:r>
        <w:rPr>
          <w:rFonts w:ascii="仿宋" w:eastAsia="仿宋" w:cs="宋体"/>
          <w:color w:val="333333"/>
          <w:kern w:val="0"/>
          <w:sz w:val="32"/>
          <w:szCs w:val="32"/>
        </w:rPr>
        <w:t>二</w:t>
      </w:r>
      <w:r>
        <w:rPr>
          <w:rFonts w:hint="eastAsia" w:ascii="仿宋" w:eastAsia="仿宋" w:cs="宋体"/>
          <w:color w:val="333333"/>
          <w:kern w:val="0"/>
          <w:sz w:val="32"/>
          <w:szCs w:val="32"/>
        </w:rPr>
        <w:t>是信息公开的</w:t>
      </w:r>
      <w:r>
        <w:rPr>
          <w:rFonts w:ascii="仿宋" w:eastAsia="仿宋" w:cs="宋体"/>
          <w:color w:val="333333"/>
          <w:kern w:val="0"/>
          <w:sz w:val="32"/>
          <w:szCs w:val="32"/>
        </w:rPr>
        <w:t>部分内容不够及时</w:t>
      </w:r>
      <w:r>
        <w:rPr>
          <w:rFonts w:hint="eastAsia" w:ascii="仿宋" w:eastAsia="仿宋" w:cs="宋体"/>
          <w:color w:val="333333"/>
          <w:kern w:val="0"/>
          <w:sz w:val="32"/>
          <w:szCs w:val="32"/>
        </w:rPr>
        <w:t>;三是部分新闻信息的质量还需要进一步提高。</w:t>
      </w:r>
    </w:p>
    <w:p w14:paraId="21687114">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200"/>
        <w:textAlignment w:val="auto"/>
        <w:rPr>
          <w:rFonts w:ascii="仿宋" w:eastAsia="仿宋" w:cs="宋体"/>
          <w:color w:val="484747"/>
          <w:kern w:val="0"/>
          <w:szCs w:val="21"/>
        </w:rPr>
      </w:pPr>
      <w:r>
        <w:rPr>
          <w:rFonts w:hint="eastAsia" w:ascii="仿宋" w:eastAsia="仿宋" w:cs="宋体"/>
          <w:color w:val="3D3D3D"/>
          <w:kern w:val="0"/>
          <w:sz w:val="32"/>
          <w:szCs w:val="32"/>
        </w:rPr>
        <w:t>（二）下一步工作打算</w:t>
      </w:r>
      <w:r>
        <w:rPr>
          <w:rFonts w:hint="eastAsia" w:ascii="仿宋" w:eastAsia="仿宋" w:cs="宋体"/>
          <w:color w:val="3D3D3D"/>
          <w:kern w:val="0"/>
          <w:sz w:val="32"/>
          <w:szCs w:val="32"/>
        </w:rPr>
        <w:br w:type="textWrapping"/>
      </w:r>
      <w:r>
        <w:rPr>
          <w:rFonts w:hint="eastAsia" w:ascii="仿宋" w:eastAsia="仿宋" w:cs="宋体"/>
          <w:color w:val="3D3D3D"/>
          <w:kern w:val="0"/>
          <w:sz w:val="32"/>
          <w:szCs w:val="32"/>
        </w:rPr>
        <w:t>　　</w:t>
      </w:r>
      <w:r>
        <w:rPr>
          <w:rFonts w:hint="eastAsia" w:ascii="仿宋" w:eastAsia="仿宋" w:cs="宋体"/>
          <w:color w:val="333333"/>
          <w:kern w:val="0"/>
          <w:sz w:val="32"/>
          <w:szCs w:val="32"/>
        </w:rPr>
        <w:t>202</w:t>
      </w:r>
      <w:r>
        <w:rPr>
          <w:rFonts w:ascii="仿宋" w:eastAsia="仿宋" w:cs="宋体"/>
          <w:color w:val="333333"/>
          <w:kern w:val="0"/>
          <w:sz w:val="32"/>
          <w:szCs w:val="32"/>
        </w:rPr>
        <w:t>6</w:t>
      </w:r>
      <w:r>
        <w:rPr>
          <w:rFonts w:hint="eastAsia" w:ascii="仿宋" w:eastAsia="仿宋" w:cs="宋体"/>
          <w:color w:val="333333"/>
          <w:kern w:val="0"/>
          <w:sz w:val="32"/>
          <w:szCs w:val="32"/>
        </w:rPr>
        <w:t>年，严格按照条例办法要求，强化主动公开意识，及时准确公开政府信息，不断提升政府信息公开工作水平。二是健全完善制度，规范办理流程。以推进政务公开标准化、规范化为目标，进一步细化完善各项制度，规范办理流程，落实各环节责任，确保工作高质高效。三是创新公开形式，提高信息公开主动性，增强信息公开知晓率，扩大信息公开覆盖面。</w:t>
      </w:r>
    </w:p>
    <w:p w14:paraId="1169D947">
      <w:pPr>
        <w:widowControl/>
        <w:shd w:val="clear" w:color="auto" w:fill="FFFFFF"/>
        <w:spacing w:line="560" w:lineRule="atLeast"/>
        <w:ind w:firstLine="640"/>
        <w:rPr>
          <w:rFonts w:ascii="仿宋" w:eastAsia="仿宋" w:cs="宋体"/>
          <w:color w:val="484747"/>
          <w:kern w:val="0"/>
          <w:szCs w:val="21"/>
        </w:rPr>
      </w:pPr>
      <w:r>
        <w:rPr>
          <w:rFonts w:hint="eastAsia" w:ascii="仿宋" w:eastAsia="仿宋" w:cs="宋体"/>
          <w:color w:val="333333"/>
          <w:kern w:val="0"/>
          <w:sz w:val="32"/>
          <w:szCs w:val="32"/>
        </w:rPr>
        <w:t>六、其他需要报告的事项</w:t>
      </w:r>
    </w:p>
    <w:p w14:paraId="3A445C8D">
      <w:pPr>
        <w:ind w:firstLine="640" w:firstLineChars="200"/>
        <w:jc w:val="left"/>
        <w:rPr>
          <w:rFonts w:ascii="仿宋" w:eastAsia="仿宋"/>
          <w:sz w:val="28"/>
          <w:szCs w:val="28"/>
        </w:rPr>
      </w:pPr>
      <w:r>
        <w:rPr>
          <w:rFonts w:hint="eastAsia" w:ascii="仿宋" w:eastAsia="仿宋" w:cs="宋体"/>
          <w:color w:val="333333"/>
          <w:kern w:val="0"/>
          <w:sz w:val="32"/>
          <w:szCs w:val="32"/>
        </w:rPr>
        <w:t>认真贯彻执行国务院办公厅《政府信息公开信息处理费管理办法》和《关于政府信息公开处理费管理有关事项的通知》。202</w:t>
      </w:r>
      <w:r>
        <w:rPr>
          <w:rFonts w:ascii="仿宋" w:eastAsia="仿宋" w:cs="宋体"/>
          <w:color w:val="333333"/>
          <w:kern w:val="0"/>
          <w:sz w:val="32"/>
          <w:szCs w:val="32"/>
        </w:rPr>
        <w:t>5</w:t>
      </w:r>
      <w:r>
        <w:rPr>
          <w:rFonts w:hint="eastAsia" w:ascii="仿宋" w:eastAsia="仿宋" w:cs="宋体"/>
          <w:color w:val="333333"/>
          <w:kern w:val="0"/>
          <w:sz w:val="32"/>
          <w:szCs w:val="32"/>
        </w:rPr>
        <w:t>年本行政机关未收取信息处理费</w:t>
      </w:r>
      <w:bookmarkStart w:id="0" w:name="_GoBack"/>
      <w:bookmarkEnd w:id="0"/>
      <w:r>
        <w:rPr>
          <w:rFonts w:hint="eastAsia" w:ascii="仿宋" w:eastAsia="仿宋" w:cs="宋体"/>
          <w:color w:val="333333"/>
          <w:kern w:val="0"/>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貰励貈励湸㔴"/>
  </w:docVars>
  <w:rsids>
    <w:rsidRoot w:val="00000000"/>
    <w:rsid w:val="1B6968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0">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kern w:val="0"/>
      <w:sz w:val="24"/>
      <w:szCs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1037</Words>
  <Characters>1060</Characters>
  <Lines>375</Lines>
  <Paragraphs>306</Paragraphs>
  <TotalTime>133</TotalTime>
  <ScaleCrop>false</ScaleCrop>
  <LinksUpToDate>false</LinksUpToDate>
  <CharactersWithSpaces>1085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2025-01-09T08:46:00Z</dcterms:created>
  <dc:creator>Administrator</dc:creator>
  <cp:lastModifiedBy>郝思含</cp:lastModifiedBy>
  <dcterms:modified xsi:type="dcterms:W3CDTF">2026-01-21T03:06:36Z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C9B4CADCB9AF40F6B449283ADC59B0B0_12</vt:lpwstr>
  </property>
  <property fmtid="{D5CDD505-2E9C-101B-9397-08002B2CF9AE}" pid="4" name="KSOTemplateDocerSaveRecord">
    <vt:lpwstr>eyJoZGlkIjoiNDM5MTZmYTgyZjAxMDQ0M2EyNzc0ZTBmNWQ2YzIyMzkiLCJ1c2VySWQiOiIxNjgyODk4OTk2In0=</vt:lpwstr>
  </property>
</Properties>
</file>